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bookmarkStart w:id="20" w:name="Xa4e7f1691cee10ff733b9e022baf63b3fabfe05"/>
    <w:p>
      <w:pPr>
        <w:pStyle w:val="Title"/>
      </w:pPr>
      <w:r>
        <w:t>2026 Channel Review:</w:t>
        <w:br/>
        <w:t>Region and Category Performance</w:t>
      </w:r>
    </w:p>
    <w:p>
      <w:r>
        <w:br w:type="page"/>
      </w:r>
    </w:p>
    <w:p>
      <w:pPr>
        <w:pStyle w:val="TOCHeading"/>
      </w:pPr>
      <w:r>
        <w:t>Table of Contents</w:t>
      </w:r>
    </w:p>
    <w:p>
      <w:r>
        <w:fldChar w:fldCharType="begin" w:dirty="true"/>
      </w:r>
      <w:r>
        <w:instrText xml:space="preserve"> TOC \o "1-3" \h \z \u </w:instrText>
      </w:r>
      <w:r>
        <w:fldChar w:fldCharType="separate"/>
      </w:r>
      <w:r>
        <w:t>(Press F9 after opening, or print, to populate the table of contents.)</w:t>
      </w:r>
      <w:r>
        <w:fldChar w:fldCharType="end"/>
      </w:r>
    </w:p>
    <w:p>
      <w:r>
        <w:br w:type="page"/>
      </w:r>
    </w:p>
    <w:bookmarkEnd w:id="20"/>
    <w:bookmarkStart w:id="21" w:name="executive-summary"/>
    <w:p>
      <w:pPr>
        <w:pStyle w:val="Heading1"/>
      </w:pPr>
      <w:r>
        <w:t xml:space="preserve">1. Executive Summary</w:t>
      </w:r>
    </w:p>
    <w:p>
      <w:pPr>
        <w:pStyle w:val="FirstParagraph"/>
      </w:pPr>
      <w:r>
        <w:t xml:space="preserve">Revenue across the first three quarters of 2026 totalled 3,430.90 kUSD, and Hardware contributed 1,592.20 kUSD of it (calculated in this study, Table 1). Software earned 1,044 kUSD with the lowest mean return rate of any category, 1.11%, which makes it the better candidate for extra marketing budget (calculated in this study, Table 1). South is the weakest region at 814.80 kUSD, against 965 kUSD in North (calculated in this study, Table 2).</w:t>
      </w:r>
    </w:p>
    <w:bookmarkEnd w:id="21"/>
    <w:bookmarkStart w:id="22" w:name="key-findings"/>
    <w:p>
      <w:pPr>
        <w:pStyle w:val="Heading1"/>
      </w:pPr>
      <w:r>
        <w:t xml:space="preserve">2. Key Findings</w:t>
      </w:r>
    </w:p>
    <w:p>
      <w:pPr>
        <w:pStyle w:val="FirstParagraph"/>
      </w:pPr>
      <w:r>
        <w:t xml:space="preserve">Hardware is the largest category, 1,592.20 kUSD of the 3,430.90 kUSD total (calculated in this study, Table 1). Its mean return rate of 2.80% is more than double Software’s 1.11% (calculated in this study, Table 1).</w:t>
      </w:r>
    </w:p>
    <w:p>
      <w:pPr>
        <w:pStyle w:val="BodyText"/>
        <w:keepNext/>
      </w:pPr>
      <w:r>
        <w:t xml:space="preserve">Table 1. Revenue and mean return rate by product category, Q1-Q3 2026</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524"/>
        <w:gridCol w:w="2277"/>
        <w:gridCol w:w="3118"/>
      </w:tblGrid>
      <w:tr>
        <w:trPr>
          <w:tblHeader w:val="true"/>
          <w:cantSplit/>
        </w:trPr>
        <w:tc>
          <w:tcPr>
            <w:shd w:fill="D9E2F3" w:val="clear"/>
            <w:shd w:fill="D9E2F3" w:val="clear"/>
          </w:tcPr>
          <w:p>
            <w:pPr>
              <w:pStyle w:val="Compact"/>
              <w:keepNext/>
              <w:jc w:val="left"/>
            </w:pPr>
            <w:r>
              <w:rPr>
                <w:b/>
              </w:rPr>
              <w:t xml:space="preserve">Category</w:t>
            </w:r>
          </w:p>
        </w:tc>
        <w:tc>
          <w:tcPr>
            <w:shd w:fill="D9E2F3" w:val="clear"/>
            <w:shd w:fill="D9E2F3" w:val="clear"/>
          </w:tcPr>
          <w:p>
            <w:pPr>
              <w:pStyle w:val="Compact"/>
              <w:keepNext/>
              <w:jc w:val="left"/>
            </w:pPr>
            <w:r>
              <w:rPr>
                <w:b/>
              </w:rPr>
              <w:t xml:space="preserve">Revenue (kUSD)</w:t>
            </w:r>
          </w:p>
        </w:tc>
        <w:tc>
          <w:tcPr>
            <w:shd w:fill="D9E2F3" w:val="clear"/>
            <w:shd w:fill="D9E2F3" w:val="clear"/>
          </w:tcPr>
          <w:p>
            <w:pPr>
              <w:pStyle w:val="Compact"/>
              <w:keepNext/>
              <w:jc w:val="left"/>
            </w:pPr>
            <w:r>
              <w:rPr>
                <w:b/>
              </w:rPr>
              <w:t xml:space="preserve">Mean return rate (%)</w:t>
            </w:r>
          </w:p>
        </w:tc>
      </w:tr>
      <w:tr>
        <w:trPr>
          <w:cantSplit/>
        </w:trPr>
        <w:tc>
          <w:tcPr/>
          <w:p>
            <w:pPr>
              <w:pStyle w:val="Compact"/>
              <w:keepNext/>
              <w:jc w:val="left"/>
            </w:pPr>
            <w:r>
              <w:t xml:space="preserve">Hardware</w:t>
            </w:r>
          </w:p>
        </w:tc>
        <w:tc>
          <w:tcPr/>
          <w:p>
            <w:pPr>
              <w:pStyle w:val="Compact"/>
              <w:keepNext/>
              <w:jc w:val="left"/>
            </w:pPr>
            <w:r>
              <w:t xml:space="preserve">1,592.20</w:t>
            </w:r>
          </w:p>
        </w:tc>
        <w:tc>
          <w:tcPr/>
          <w:p>
            <w:pPr>
              <w:pStyle w:val="Compact"/>
              <w:keepNext/>
              <w:jc w:val="left"/>
            </w:pPr>
            <w:r>
              <w:t xml:space="preserve">2.80</w:t>
            </w:r>
          </w:p>
        </w:tc>
      </w:tr>
      <w:tr>
        <w:trPr>
          <w:cantSplit/>
        </w:trPr>
        <w:tc>
          <w:tcPr/>
          <w:p>
            <w:pPr>
              <w:pStyle w:val="Compact"/>
              <w:keepNext/>
              <w:jc w:val="left"/>
            </w:pPr>
            <w:r>
              <w:t xml:space="preserve">Services</w:t>
            </w:r>
          </w:p>
        </w:tc>
        <w:tc>
          <w:tcPr/>
          <w:p>
            <w:pPr>
              <w:pStyle w:val="Compact"/>
              <w:keepNext/>
              <w:jc w:val="left"/>
            </w:pPr>
            <w:r>
              <w:t xml:space="preserve">794.70</w:t>
            </w:r>
          </w:p>
        </w:tc>
        <w:tc>
          <w:tcPr/>
          <w:p>
            <w:pPr>
              <w:pStyle w:val="Compact"/>
              <w:keepNext/>
              <w:jc w:val="left"/>
            </w:pPr>
            <w:r>
              <w:t xml:space="preserve">1.26</w:t>
            </w:r>
          </w:p>
        </w:tc>
      </w:tr>
      <w:tr>
        <w:trPr>
          <w:cantSplit/>
        </w:trPr>
        <w:tc>
          <w:tcPr/>
          <w:p>
            <w:pPr>
              <w:pStyle w:val="Compact"/>
              <w:keepNext/>
              <w:jc w:val="left"/>
            </w:pPr>
            <w:r>
              <w:t xml:space="preserve">Software</w:t>
            </w:r>
          </w:p>
        </w:tc>
        <w:tc>
          <w:tcPr/>
          <w:p>
            <w:pPr>
              <w:pStyle w:val="Compact"/>
              <w:keepNext/>
              <w:jc w:val="left"/>
            </w:pPr>
            <w:r>
              <w:t xml:space="preserve">1,044</w:t>
            </w:r>
          </w:p>
        </w:tc>
        <w:tc>
          <w:tcPr/>
          <w:p>
            <w:pPr>
              <w:pStyle w:val="Compact"/>
              <w:keepNext/>
              <w:jc w:val="left"/>
            </w:pPr>
            <w:r>
              <w:t xml:space="preserve">1.11</w:t>
            </w:r>
          </w:p>
        </w:tc>
      </w:tr>
      <w:tr>
        <w:trPr>
          <w:cantSplit/>
        </w:trPr>
        <w:tc>
          <w:tcPr/>
          <w:p>
            <w:pPr>
              <w:pStyle w:val="Compact"/>
              <w:keepNext/>
              <w:jc w:val="left"/>
            </w:pPr>
            <w:r>
              <w:t xml:space="preserve">All</w:t>
            </w:r>
          </w:p>
        </w:tc>
        <w:tc>
          <w:tcPr/>
          <w:p>
            <w:pPr>
              <w:pStyle w:val="Compact"/>
              <w:keepNext/>
              <w:jc w:val="left"/>
            </w:pPr>
            <w:r>
              <w:t xml:space="preserve">3,430.90</w:t>
            </w:r>
          </w:p>
        </w:tc>
        <w:tc>
          <w:tcPr/>
          <w:p>
            <w:pPr>
              <w:pStyle w:val="Compact"/>
              <w:keepNext/>
              <w:jc w:val="left"/>
            </w:pPr>
            <w:r>
              <w:t xml:space="preserve">1.72</w:t>
            </w:r>
          </w:p>
        </w:tc>
      </w:tr>
    </w:tbl>
    <w:p>
      <w:pPr>
        <w:pStyle w:val="BodyText"/>
      </w:pPr>
      <w:r>
        <w:t xml:space="preserve">Source: calculated in this study (calculation record C1)</w:t>
      </w:r>
    </w:p>
    <w:p>
      <w:pPr>
        <w:pStyle w:val="BodyText"/>
      </w:pPr>
      <w:r>
        <w:t xml:space="preserve">By region, North leads at 965 kUSD and South trails at 814.80 kUSD (calculated in this study, Table 2). West has the highest mean return rate of the four regions, 1.90% (calculated in this study, Table 2).</w:t>
      </w:r>
    </w:p>
    <w:p>
      <w:pPr>
        <w:pStyle w:val="BodyText"/>
        <w:keepNext/>
      </w:pPr>
      <w:r>
        <w:t xml:space="preserve">Table 2. Revenue and mean return rate by region, Q1-Q3 2026</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13"/>
        <w:gridCol w:w="2410"/>
        <w:gridCol w:w="3295"/>
      </w:tblGrid>
      <w:tr>
        <w:trPr>
          <w:tblHeader w:val="true"/>
          <w:cantSplit/>
        </w:trPr>
        <w:tc>
          <w:tcPr>
            <w:shd w:fill="D9E2F3" w:val="clear"/>
            <w:shd w:fill="D9E2F3" w:val="clear"/>
          </w:tcPr>
          <w:p>
            <w:pPr>
              <w:pStyle w:val="Compact"/>
              <w:keepNext/>
              <w:jc w:val="left"/>
            </w:pPr>
            <w:r>
              <w:rPr>
                <w:b/>
              </w:rPr>
              <w:t xml:space="preserve">Region</w:t>
            </w:r>
          </w:p>
        </w:tc>
        <w:tc>
          <w:tcPr>
            <w:shd w:fill="D9E2F3" w:val="clear"/>
            <w:shd w:fill="D9E2F3" w:val="clear"/>
          </w:tcPr>
          <w:p>
            <w:pPr>
              <w:pStyle w:val="Compact"/>
              <w:keepNext/>
              <w:jc w:val="left"/>
            </w:pPr>
            <w:r>
              <w:rPr>
                <w:b/>
              </w:rPr>
              <w:t xml:space="preserve">Revenue (kUSD)</w:t>
            </w:r>
          </w:p>
        </w:tc>
        <w:tc>
          <w:tcPr>
            <w:shd w:fill="D9E2F3" w:val="clear"/>
            <w:shd w:fill="D9E2F3" w:val="clear"/>
          </w:tcPr>
          <w:p>
            <w:pPr>
              <w:pStyle w:val="Compact"/>
              <w:keepNext/>
              <w:jc w:val="left"/>
            </w:pPr>
            <w:r>
              <w:rPr>
                <w:b/>
              </w:rPr>
              <w:t xml:space="preserve">Mean return rate (%)</w:t>
            </w:r>
          </w:p>
        </w:tc>
      </w:tr>
      <w:tr>
        <w:trPr>
          <w:cantSplit/>
        </w:trPr>
        <w:tc>
          <w:tcPr/>
          <w:p>
            <w:pPr>
              <w:pStyle w:val="Compact"/>
              <w:keepNext/>
              <w:jc w:val="left"/>
            </w:pPr>
            <w:r>
              <w:t xml:space="preserve">East</w:t>
            </w:r>
          </w:p>
        </w:tc>
        <w:tc>
          <w:tcPr/>
          <w:p>
            <w:pPr>
              <w:pStyle w:val="Compact"/>
              <w:keepNext/>
              <w:jc w:val="left"/>
            </w:pPr>
            <w:r>
              <w:t xml:space="preserve">825.10</w:t>
            </w:r>
          </w:p>
        </w:tc>
        <w:tc>
          <w:tcPr/>
          <w:p>
            <w:pPr>
              <w:pStyle w:val="Compact"/>
              <w:keepNext/>
              <w:jc w:val="left"/>
            </w:pPr>
            <w:r>
              <w:t xml:space="preserve">1.73</w:t>
            </w:r>
          </w:p>
        </w:tc>
      </w:tr>
      <w:tr>
        <w:trPr>
          <w:cantSplit/>
        </w:trPr>
        <w:tc>
          <w:tcPr/>
          <w:p>
            <w:pPr>
              <w:pStyle w:val="Compact"/>
              <w:keepNext/>
              <w:jc w:val="left"/>
            </w:pPr>
            <w:r>
              <w:t xml:space="preserve">North</w:t>
            </w:r>
          </w:p>
        </w:tc>
        <w:tc>
          <w:tcPr/>
          <w:p>
            <w:pPr>
              <w:pStyle w:val="Compact"/>
              <w:keepNext/>
              <w:jc w:val="left"/>
            </w:pPr>
            <w:r>
              <w:t xml:space="preserve">965</w:t>
            </w:r>
          </w:p>
        </w:tc>
        <w:tc>
          <w:tcPr/>
          <w:p>
            <w:pPr>
              <w:pStyle w:val="Compact"/>
              <w:keepNext/>
              <w:jc w:val="left"/>
            </w:pPr>
            <w:r>
              <w:t xml:space="preserve">1.51</w:t>
            </w:r>
          </w:p>
        </w:tc>
      </w:tr>
      <w:tr>
        <w:trPr>
          <w:cantSplit/>
        </w:trPr>
        <w:tc>
          <w:tcPr/>
          <w:p>
            <w:pPr>
              <w:pStyle w:val="Compact"/>
              <w:keepNext/>
              <w:jc w:val="left"/>
            </w:pPr>
            <w:r>
              <w:t xml:space="preserve">South</w:t>
            </w:r>
          </w:p>
        </w:tc>
        <w:tc>
          <w:tcPr/>
          <w:p>
            <w:pPr>
              <w:pStyle w:val="Compact"/>
              <w:keepNext/>
              <w:jc w:val="left"/>
            </w:pPr>
            <w:r>
              <w:t xml:space="preserve">814.80</w:t>
            </w:r>
          </w:p>
        </w:tc>
        <w:tc>
          <w:tcPr/>
          <w:p>
            <w:pPr>
              <w:pStyle w:val="Compact"/>
              <w:keepNext/>
              <w:jc w:val="left"/>
            </w:pPr>
            <w:r>
              <w:t xml:space="preserve">1.74</w:t>
            </w:r>
          </w:p>
        </w:tc>
      </w:tr>
      <w:tr>
        <w:trPr>
          <w:cantSplit/>
        </w:trPr>
        <w:tc>
          <w:tcPr/>
          <w:p>
            <w:pPr>
              <w:pStyle w:val="Compact"/>
              <w:keepNext/>
              <w:jc w:val="left"/>
            </w:pPr>
            <w:r>
              <w:t xml:space="preserve">West</w:t>
            </w:r>
          </w:p>
        </w:tc>
        <w:tc>
          <w:tcPr/>
          <w:p>
            <w:pPr>
              <w:pStyle w:val="Compact"/>
              <w:keepNext/>
              <w:jc w:val="left"/>
            </w:pPr>
            <w:r>
              <w:t xml:space="preserve">826</w:t>
            </w:r>
          </w:p>
        </w:tc>
        <w:tc>
          <w:tcPr/>
          <w:p>
            <w:pPr>
              <w:pStyle w:val="Compact"/>
              <w:keepNext/>
              <w:jc w:val="left"/>
            </w:pPr>
            <w:r>
              <w:t xml:space="preserve">1.90</w:t>
            </w:r>
          </w:p>
        </w:tc>
      </w:tr>
      <w:tr>
        <w:trPr>
          <w:cantSplit/>
        </w:trPr>
        <w:tc>
          <w:tcPr/>
          <w:p>
            <w:pPr>
              <w:pStyle w:val="Compact"/>
              <w:keepNext/>
              <w:jc w:val="left"/>
            </w:pPr>
            <w:r>
              <w:t xml:space="preserve">All</w:t>
            </w:r>
          </w:p>
        </w:tc>
        <w:tc>
          <w:tcPr/>
          <w:p>
            <w:pPr>
              <w:pStyle w:val="Compact"/>
              <w:keepNext/>
              <w:jc w:val="left"/>
            </w:pPr>
            <w:r>
              <w:t xml:space="preserve">3,430.90</w:t>
            </w:r>
          </w:p>
        </w:tc>
        <w:tc>
          <w:tcPr/>
          <w:p>
            <w:pPr>
              <w:pStyle w:val="Compact"/>
              <w:keepNext/>
              <w:jc w:val="left"/>
            </w:pPr>
            <w:r>
              <w:t xml:space="preserve">1.72</w:t>
            </w:r>
          </w:p>
        </w:tc>
      </w:tr>
    </w:tbl>
    <w:p>
      <w:pPr>
        <w:pStyle w:val="BodyText"/>
      </w:pPr>
      <w:r>
        <w:t xml:space="preserve">Source: calculated in this study (calculation record C2)</w:t>
      </w:r>
    </w:p>
    <w:p>
      <w:pPr>
        <w:pStyle w:val="BodyText"/>
      </w:pPr>
      <w:r>
        <w:t xml:space="preserve">Revenue grew every quarter, from 1,082.50 kUSD in 2026-Q1 to 1,197.20 kUSD in 2026-Q3 (calculated in this study, calculation record C3). Service levels are not a constraint: the support desk is staffed 7×24 and answers within 3 minutes on average (compiled in this study, calculation record C4).</w:t>
      </w:r>
    </w:p>
    <w:bookmarkEnd w:id="22"/>
    <w:bookmarkStart w:id="23" w:name="data-limitations-and-counter-evidence"/>
    <w:p>
      <w:pPr>
        <w:pStyle w:val="Heading1"/>
      </w:pPr>
      <w:r>
        <w:t xml:space="preserve">3. Data Limitations and Counter-Evidence</w:t>
      </w:r>
    </w:p>
    <w:p>
      <w:pPr>
        <w:pStyle w:val="FirstParagraph"/>
      </w:pPr>
      <w:r>
        <w:t xml:space="preserve">The logistics team estimates that 60% of hardware returns cite damaged packaging, so the Hardware return gap may be a shipping problem rather than a product one (compiled in this study, calculation record C5).</w:t>
      </w:r>
    </w:p>
    <w:p>
      <w:pPr>
        <w:pStyle w:val="BodyText"/>
      </w:pPr>
      <w:r>
        <w:t xml:space="preserve">North opened two new stores in Q2 2026, so part of its lead over South may reflect store count rather than store performance (compiled in this study, calculation record C6; calculated in this study, Table 2).</w:t>
      </w:r>
    </w:p>
    <w:p>
      <w:pPr>
        <w:pStyle w:val="BodyText"/>
      </w:pPr>
      <w:r>
        <w:t xml:space="preserve">The data cover three quarters only, 2026-Q1 to 2026-Q3, so a full-year comparison is not possible (calculated in this study, calculation record C3).</w:t>
      </w:r>
    </w:p>
    <w:bookmarkEnd w:id="23"/>
    <w:bookmarkStart w:id="24" w:name="recommendations"/>
    <w:p>
      <w:pPr>
        <w:pStyle w:val="Heading1"/>
      </w:pPr>
      <w:r>
        <w:t xml:space="preserve">4. Recommendations</w:t>
      </w:r>
    </w:p>
    <w:p>
      <w:pPr>
        <w:pStyle w:val="FirstParagraph"/>
      </w:pPr>
      <w:r>
        <w:t xml:space="preserve">Software should receive more marketing budget next year: it earned 1,044 kUSD with the lowest return rate, 1.11% (calculated in this study, Table 1).</w:t>
      </w:r>
    </w:p>
    <w:p>
      <w:pPr>
        <w:pStyle w:val="BodyText"/>
      </w:pPr>
      <w:r>
        <w:t xml:space="preserve">South is the underperforming region, with 814.80 kUSD of revenue, and should be reviewed first (calculated in this study, Table 2).</w:t>
      </w:r>
    </w:p>
    <w:p>
      <w:pPr>
        <w:pStyle w:val="BodyText"/>
      </w:pPr>
      <w:r>
        <w:t xml:space="preserve">Before changing Hardware’s budget, run the packaging supplier trial, which costs 45 kUSD per quarter (compiled in this study, calculation record C7).</w:t>
      </w:r>
    </w:p>
    <w:bookmarkEnd w:id="24"/>
    <w:sectPr>
      <w:footerReference r:id="rId9" w:type="default"/>
      <w:footnotePr>
        <w:numRestart w:val="eachSect"/>
      </w:footnotePr>
      <w:pgSz w:h="16838" w:w="11906"/>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2026-10-19T12:33:17Z</dcterms:created>
  <dcterms:modified xsi:type="dcterms:W3CDTF">2026-10-19T12:33:17Z</dcterms:modified>
</cp:coreProperties>
</file>

<file path=docProps/custom.xml><?xml version="1.0" encoding="utf-8"?>
<Properties xmlns="http://schemas.openxmlformats.org/officeDocument/2006/custom-properties" xmlns:vt="http://schemas.openxmlformats.org/officeDocument/2006/docPropsVTypes"/>
</file>