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X9906466e7b86a3cdea200e7144f02321e2c3a67"/>
    <w:p>
      <w:pPr>
        <w:pStyle w:val="Title"/>
      </w:pPr>
      <w:r>
        <w:t xml:space="preserve">Does the 20-Day Momentum Signal Predict Next-Week Basket Returns?</w:t>
      </w:r>
    </w:p>
    <w:p>
      <w:pPr>
        <w:pStyle w:val="FirstParagraph"/>
      </w:pPr>
      <w:r>
        <w:t xml:space="preserve">Quant Research Desk</w:t>
      </w:r>
    </w:p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(Press F9 after opening, or print, to populate the table of contents.)</w:t>
      </w:r>
      <w:r>
        <w:fldChar w:fldCharType="end"/>
      </w:r>
    </w:p>
    <w:p>
      <w:r>
        <w:br w:type="page"/>
      </w:r>
    </w:p>
    <w:bookmarkEnd w:id="20"/>
    <w:bookmarkStart w:id="21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The momentum signal has predicted next-week basket returns in this sample: the two are positively correlated, r = 0.51 over 36 weeks (calculated in this study, calculation record C1). Weeks with a signal of 1 or more returned 1.59% on average the following week, against -0.46% for weeks below 0, a gap of 2.05 percentage points; all 7 high-signal weeks were up weeks (calculated in this study, Table 1, calculation record C3). The sample is short, so the result supports a paper-trading period rather than capital.</w:t>
      </w:r>
    </w:p>
    <w:bookmarkEnd w:id="21"/>
    <w:bookmarkStart w:id="22" w:name="question-and-data"/>
    <w:p>
      <w:pPr>
        <w:pStyle w:val="Heading1"/>
      </w:pPr>
      <w:r>
        <w:t xml:space="preserve">2. Question and Data</w:t>
      </w:r>
    </w:p>
    <w:p>
      <w:pPr>
        <w:pStyle w:val="FirstParagraph"/>
      </w:pPr>
      <w:r>
        <w:t xml:space="preserve">The question is whether the desk’s 20-day momentum signal says anything about the following week. The signal applies the cross-sectional momentum idea of Jegadeesh and Titman (1993) in time series to a single basket (compiled in this study, calculation record C4). Each Friday from week 1 to week 36 of 2026 the 20-day momentum signal was computed for an equal-weight basket of 11 sector ETFs and standardized to a z-score against its trailing 52-week history; the outcome is the basket’s return over the following week, with no transaction costs (compiled in this study, calculation record C5). The signal ranged from -2.77 to 3.42 over 36 weekly observations, and next-week returns from -2.56% to 2.92% (calculated in this study, calculation record C6, C7; compiled in this study, calculation record C8).</w:t>
      </w:r>
    </w:p>
    <w:bookmarkEnd w:id="22"/>
    <w:bookmarkStart w:id="23" w:name="method"/>
    <w:p>
      <w:pPr>
        <w:pStyle w:val="Heading1"/>
      </w:pPr>
      <w:r>
        <w:t xml:space="preserve">3. Method</w:t>
      </w:r>
    </w:p>
    <w:p>
      <w:pPr>
        <w:pStyle w:val="FirstParagraph"/>
      </w:pPr>
      <w:r>
        <w:t xml:space="preserve">A week is labelled bull when the basket closed above its 200-day moving average on the signal date and bear otherwise (compiled in this study, calculation record C9). The relation is measured three ways: Pearson’s r, a least-squares line of next-week return on the signal, and mean returns across signal bands cut at 0 and 1. The same correlation is then recomputed inside each regime.</w:t>
      </w:r>
    </w:p>
    <w:bookmarkEnd w:id="23"/>
    <w:bookmarkStart w:id="27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t xml:space="preserve">The signal and the next-week return are positively correlated, r = 0.51 over 36 weeks (calculated in this study, calculation record C1). Each one-unit rise in the signal goes with a 0.56 percentage point higher next-week return (intercept 0.07, R² = 0.26) (calculated in this study, calculation record C10).</w:t>
      </w:r>
    </w:p>
    <w:p>
      <w:pPr>
        <w:pStyle w:val="CaptionedFigure"/>
        <w:keepNext/>
      </w:pPr>
      <w:r>
        <w:drawing>
          <wp:inline>
            <wp:extent cx="5727700" cy="4277649"/>
            <wp:effectExtent b="0" l="0" r="0" t="0"/>
            <wp:docPr descr="Figure 1. Next-week basket return against the momentum signal (36 weeks)" title="" id="25" name="Picture"/>
            <a:graphic>
              <a:graphicData uri="http://schemas.openxmlformats.org/drawingml/2006/picture">
                <pic:pic>
                  <pic:nvPicPr>
                    <pic:cNvPr descr="Figure 1. Next-week basket return against the momentum signal (36 weeks)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Next-week basket return against the momentum signal (36 weeks)</w:t>
      </w:r>
    </w:p>
    <w:p>
      <w:pPr>
        <w:pStyle w:val="BodyText"/>
      </w:pPr>
      <w:r>
        <w:t xml:space="preserve">Weeks with a signal of 1 or more returned 1.59% on average the following week, against -0.46% for weeks below 0, a gap of 2.05 percentage points; all 7 high-signal weeks were up weeks (calculated in this study, Table 1, calculation record C3).</w:t>
      </w:r>
    </w:p>
    <w:p>
      <w:pPr>
        <w:pStyle w:val="BodyText"/>
        <w:keepNext/>
      </w:pPr>
      <w:r>
        <w:t xml:space="preserve">Table 1. Next-week return by signal band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33"/>
        <w:gridCol w:w="1287"/>
        <w:gridCol w:w="3069"/>
        <w:gridCol w:w="1930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Signal z band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Weeks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Mean next-week return (%)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Share of up weeks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-3–0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46.67%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1–3.50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58.33%</w:t>
            </w:r>
          </w:p>
        </w:tc>
      </w:tr>
    </w:tbl>
    <w:p>
      <w:pPr>
        <w:pStyle w:val="BodyText"/>
      </w:pPr>
      <w:r>
        <w:t xml:space="preserve">Source: calculated in this study (calculation record C2)</w:t>
      </w:r>
    </w:p>
    <w:bookmarkEnd w:id="27"/>
    <w:bookmarkStart w:id="28" w:name="robustness"/>
    <w:p>
      <w:pPr>
        <w:pStyle w:val="Heading1"/>
      </w:pPr>
      <w:r>
        <w:t xml:space="preserve">5. Robustness</w:t>
      </w:r>
    </w:p>
    <w:p>
      <w:pPr>
        <w:pStyle w:val="FirstParagraph"/>
      </w:pPr>
      <w:r>
        <w:t xml:space="preserve">The relation holds in both regimes: r = 0.42 in the 21 bull weeks and r = 0.85 in the 15 bear weeks (calculated in this study, calculation record C11, C12). By regime, the mean next-week return was 0.30% in bull weeks and -0.02% in bear weeks, and the mean signal was -0.22 and 0.71 (calculated in this study, calculation record C13). So the signal is not picking out the bull regime.</w:t>
      </w:r>
    </w:p>
    <w:bookmarkEnd w:id="28"/>
    <w:bookmarkStart w:id="29" w:name="limitations"/>
    <w:p>
      <w:pPr>
        <w:pStyle w:val="Heading1"/>
      </w:pPr>
      <w:r>
        <w:t xml:space="preserve">6. Limitations</w:t>
      </w:r>
    </w:p>
    <w:p>
      <w:pPr>
        <w:pStyle w:val="FirstParagraph"/>
      </w:pPr>
      <w:r>
        <w:t xml:space="preserve">36 weekly observations is a short sample, the weeks overlap with one rate-hiking cycle, and the regime label was assigned after the fact (compiled in this study, calculation record C8). A correlation of this size over 36 points is not a forecast of live returns after costs.</w:t>
      </w:r>
    </w:p>
    <w:bookmarkEnd w:id="29"/>
    <w:bookmarkStart w:id="30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Jegadeesh and Titman. (1993).</w:t>
      </w:r>
      <w:r>
        <w:t xml:space="preserve"> </w:t>
      </w:r>
      <w:r>
        <w:rPr>
          <w:iCs/>
          <w:i/>
        </w:rPr>
        <w:t xml:space="preserve">Journal of Finance</w:t>
      </w:r>
      <w:r>
        <w:t xml:space="preserve">.</w:t>
      </w:r>
    </w:p>
    <w:bookmarkEnd w:id="30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2026-10-20T07:49:27Z</dcterms:created>
  <dcterms:modified xsi:type="dcterms:W3CDTF">2026-10-20T07:49:27Z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