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台股大型股低波動因子回測備忘錄"/>
    <w:p>
      <w:pPr>
        <w:pStyle w:val="Title"/>
      </w:pPr>
      <w:r>
        <w:t xml:space="preserve">台股大型股低波動因子回測備忘錄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結論摘要"/>
    <w:p>
      <w:pPr>
        <w:pStyle w:val="Heading1"/>
      </w:pPr>
      <w:r>
        <w:t xml:space="preserve">1. 結論摘要</w:t>
      </w:r>
    </w:p>
    <w:p>
      <w:pPr>
        <w:pStyle w:val="FirstParagraph"/>
      </w:pPr>
      <w:r>
        <w:t xml:space="preserve">這份備忘錄檢驗低波動因子在台股大型股是否有效，以及結論在樣本外是否仍然成立。樣本內的結果明確：回看 12 個月時，低波動組合的夏普值為 0.81，高波動組合只有 0.17。樣本外的低波動組合仍領先，但差距縮小，回看 12 個月為 0.48 對 0.11，回看 6 個月為 0.38 對 0.25。因此，低波動在風險調整後的優勢可以保留，但不能當成穩定的超額報酬來源。</w:t>
      </w:r>
    </w:p>
    <w:p>
      <w:pPr>
        <w:pStyle w:val="BodyText"/>
      </w:pPr>
      <w:r>
        <w:t xml:space="preserve">不成立的地方在報酬本身：樣本外回看 6 個月時，高波動組合的年化報酬為 8.9%，高於低波動組合的 6.4%。主要的保留是樣本外期間短，而且測試的設定有限，下一步應先補上更多回看期間與組合檔數的測試，再決定是否採用。</w:t>
      </w:r>
    </w:p>
    <w:bookmarkEnd w:id="21"/>
    <w:bookmarkStart w:id="22" w:name="問題與資料"/>
    <w:p>
      <w:pPr>
        <w:pStyle w:val="Heading1"/>
      </w:pPr>
      <w:r>
        <w:t xml:space="preserve">2. 問題與資料</w:t>
      </w:r>
    </w:p>
    <w:p>
      <w:pPr>
        <w:pStyle w:val="FirstParagraph"/>
      </w:pPr>
      <w:r>
        <w:t xml:space="preserve">研究問題是：在台股大型股中，過去波動較低的股票在扣除交易成本後，是否有較好的風險調整後報酬，而這個結果在樣本外是否成立。股票池是市值前 150 大的上市股票，樣本內期間為 2012 年 1 月至 2019 年 12 月，樣本外期間為 2020 年 1 月至 2024 年 12 月。本備忘錄的數據是教學示範用的模擬回測，不代表任何真實投資組合。讀者若不同意這個樣本與期間的切法，後面的結論也就不適用。</w:t>
      </w:r>
    </w:p>
    <w:bookmarkEnd w:id="22"/>
    <w:bookmarkStart w:id="23" w:name="方法"/>
    <w:p>
      <w:pPr>
        <w:pStyle w:val="Heading1"/>
      </w:pPr>
      <w:r>
        <w:t xml:space="preserve">3. 方法</w:t>
      </w:r>
    </w:p>
    <w:p>
      <w:pPr>
        <w:pStyle w:val="FirstParagraph"/>
      </w:pPr>
      <w:r>
        <w:t xml:space="preserve">組合在每月底建立，依過去 6 個月或 12 個月的日報酬標準差排序，最低 30 檔為低波動組合、最高 30 檔為高波動組合，組合內等權重並每月再平衡，交易成本以單邊 0.3% 從報酬中扣除。兩種回看期間分別在樣本內與樣本外各跑一次，所以每個組合共有四組結果可以比較。</w:t>
      </w:r>
    </w:p>
    <w:bookmarkEnd w:id="23"/>
    <w:bookmarkStart w:id="24" w:name="結果"/>
    <w:p>
      <w:pPr>
        <w:pStyle w:val="Heading1"/>
      </w:pPr>
      <w:r>
        <w:t xml:space="preserve">4. 結果</w:t>
      </w:r>
    </w:p>
    <w:p>
      <w:pPr>
        <w:pStyle w:val="FirstParagraph"/>
      </w:pPr>
      <w:r>
        <w:t xml:space="preserve">樣本內兩種回看期間都支持低波動因子。回看 12 個月時，低波動組合的夏普值為 0.81，高波動組合為 0.17。回看 6 個月時，兩者分別為 0.71 與 0.21。兩種設定的方向一致，代表樣本內的結果不是只靠某一個回看期間撐起來。</w:t>
      </w:r>
    </w:p>
    <w:p>
      <w:pPr>
        <w:pStyle w:val="BodyText"/>
      </w:pPr>
      <w:r>
        <w:t xml:space="preserve">這個優勢主要來自風險較低，而不是報酬較高。把四組結果合在一起看，低波動組合的年化波動中位數為 11.65%，高波動組合為 26.45%；最大回撤中位數分別為 -18.95% 與 -40.95%；年化報酬中位數則只差 8.55% 對 6.65%（本研究計算，表 1）。換句話說，低波動組合少賠的部分比多賺的部分重要得多。</w:t>
      </w:r>
    </w:p>
    <w:p>
      <w:pPr>
        <w:pStyle w:val="BodyText"/>
      </w:pPr>
      <w:r>
        <w:t xml:space="preserve">表 1. 低波動與高波動組合的報酬、波動與回撤（四組回測合併）</w:t>
      </w:r>
    </w:p>
    <w:p>
      <w:pPr>
        <w:sectPr>
          <w:pgSz w:w="11906" w:h="16838"/>
          <w:pgMar w:top="1440" w:right="1440" w:bottom="1440" w:left="1440" w:header="851" w:footer="992" w:gutter="0"/>
        </w:sectPr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82"/>
        <w:gridCol w:w="586"/>
        <w:gridCol w:w="880"/>
        <w:gridCol w:w="977"/>
        <w:gridCol w:w="977"/>
        <w:gridCol w:w="977"/>
        <w:gridCol w:w="977"/>
        <w:gridCol w:w="977"/>
        <w:gridCol w:w="782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組合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筆數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佔比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年化報酬 (%) 平均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年化報酬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年化波動 (%) 平均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年化波動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最大回撤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夏普值中位數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低波動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11.75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11.65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-18.95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高波動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26.48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26.45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-40.95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19.11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18.75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-29.95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0.32</w:t>
            </w:r>
          </w:p>
        </w:tc>
      </w:tr>
    </w:tbl>
    <w:p>
      <w:pPr>
        <w:sectPr>
          <w:pgSz w:w="16838" w:h="11906" w:orient="landscape"/>
          <w:pgMar w:top="1440" w:right="1440" w:bottom="1440" w:left="1440" w:header="851" w:footer="992" w:gutter="0"/>
        </w:sectPr>
      </w:pPr>
    </w:p>
    <w:p>
      <w:pPr>
        <w:pStyle w:val="BodyText"/>
      </w:pPr>
      <w:r>
        <w:t xml:space="preserve">來源：本研究計算（計算附件 C1）</w:t>
      </w:r>
    </w:p>
    <w:bookmarkEnd w:id="24"/>
    <w:bookmarkStart w:id="28" w:name="穩健性"/>
    <w:p>
      <w:pPr>
        <w:pStyle w:val="Heading1"/>
      </w:pPr>
      <w:r>
        <w:t xml:space="preserve">5. 穩健性</w:t>
      </w:r>
    </w:p>
    <w:p>
      <w:pPr>
        <w:pStyle w:val="FirstParagraph"/>
      </w:pPr>
      <w:r>
        <w:t xml:space="preserve">樣本外的結果較弱，但方向沒有反轉。回看 12 個月時，樣本外低波動組合的夏普值為 0.48，高波動組合為 0.11；回看 6 個月時為 0.38 對 0.25。回看 6 個月的差距只剩 0.13，已經小到不足以作為決策依據。</w:t>
      </w:r>
    </w:p>
    <w:p>
      <w:pPr>
        <w:pStyle w:val="BodyText"/>
      </w:pPr>
      <w:r>
        <w:t xml:space="preserve">報酬面則在一個設定下反轉。樣本外回看 6 個月時，高波動組合的年化報酬為 8.9%，低波動組合為 6.4%。圖 1 把四種設定並排，可以看到這是唯一一個高波動組合報酬較高的設定。</w:t>
      </w:r>
    </w:p>
    <w:p>
      <w:pPr>
        <w:pStyle w:val="CaptionedFigure"/>
        <w:keepNext/>
      </w:pPr>
      <w:r>
        <w:drawing>
          <wp:inline>
            <wp:extent cx="5727700" cy="4281262"/>
            <wp:effectExtent b="0" l="0" r="0" t="0"/>
            <wp:docPr descr="圖 1. 各回看期間與樣本期間的年化報酬：低波動與高波動組合" title="" id="26" name="Picture"/>
            <a:graphic>
              <a:graphicData uri="http://schemas.openxmlformats.org/drawingml/2006/picture">
                <pic:pic>
                  <pic:nvPicPr>
                    <pic:cNvPr descr="圖 1. 各回看期間與樣本期間的年化報酬：低波動與高波動組合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各回看期間與樣本期間的年化報酬：低波動與高波動組合</w:t>
      </w:r>
    </w:p>
    <w:p>
      <w:pPr>
        <w:pStyle w:val="BodyText"/>
      </w:pPr>
      <w:r>
        <w:t xml:space="preserve">從樣本期間整體來看，樣本外的夏普值中位數為 0.32，低於樣本內的 0.46（本研究計算，表 2）。所以樣本外表現變差是整體現象，不只發生在低波動組合。</w:t>
      </w:r>
    </w:p>
    <w:p>
      <w:pPr>
        <w:pStyle w:val="BodyText"/>
      </w:pPr>
      <w:r>
        <w:t xml:space="preserve">表 2. 樣本內與樣本外的報酬、波動與夏普值（兩種組合合併）</w:t>
      </w:r>
    </w:p>
    <w:p>
      <w:pPr>
        <w:sectPr>
          <w:pgSz w:w="11906" w:h="16838"/>
          <w:pgMar w:top="1440" w:right="1440" w:bottom="1440" w:left="1440" w:header="851" w:footer="992" w:gutter="0"/>
        </w:sectPr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82"/>
        <w:gridCol w:w="586"/>
        <w:gridCol w:w="880"/>
        <w:gridCol w:w="977"/>
        <w:gridCol w:w="977"/>
        <w:gridCol w:w="977"/>
        <w:gridCol w:w="977"/>
        <w:gridCol w:w="977"/>
        <w:gridCol w:w="782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樣本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筆數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佔比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年化報酬 (%) 平均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年化報酬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年化波動 (%) 平均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年化波動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最大回撤 (%) 中位數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夏普值中位數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樣本內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17.93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17.90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-29.85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樣本外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20.30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20.35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-29.95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19.11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18.75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-29.95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0.32</w:t>
            </w:r>
          </w:p>
        </w:tc>
      </w:tr>
    </w:tbl>
    <w:p>
      <w:pPr>
        <w:sectPr>
          <w:pgSz w:w="16838" w:h="11906" w:orient="landscape"/>
          <w:pgMar w:top="1440" w:right="1440" w:bottom="1440" w:left="1440" w:header="851" w:footer="992" w:gutter="0"/>
        </w:sectPr>
      </w:pPr>
    </w:p>
    <w:p>
      <w:pPr>
        <w:pStyle w:val="BodyText"/>
      </w:pPr>
      <w:r>
        <w:t xml:space="preserve">來源：本研究計算（計算附件 C2）</w:t>
      </w:r>
    </w:p>
    <w:bookmarkEnd w:id="28"/>
    <w:bookmarkStart w:id="29" w:name="局限"/>
    <w:p>
      <w:pPr>
        <w:pStyle w:val="Heading1"/>
      </w:pPr>
      <w:r>
        <w:t xml:space="preserve">6. 局限</w:t>
      </w:r>
    </w:p>
    <w:p>
      <w:pPr>
        <w:pStyle w:val="FirstParagraph"/>
      </w:pPr>
      <w:r>
        <w:t xml:space="preserve">樣本外結果有一部分可能來自特定事件。研究筆記指出，2020 年疫情期間的反彈由高波動股帶動，是樣本外結果的主要來源之一。若排除這段期間，樣本外的差距可能與上面不同，這份回測沒有做這個拆解。</w:t>
      </w:r>
    </w:p>
    <w:p>
      <w:pPr>
        <w:pStyle w:val="BodyText"/>
      </w:pPr>
      <w:r>
        <w:t xml:space="preserve">測試範圍也有限。回測只測了兩種回看期間，樣本外期間只有 5 年，交易成本也假設為固定。此外，數據是教學示範用的模擬回測，不代表任何真實投資組合。在補上更多設定與衝擊成本之前，這份結論只適合當作是否值得深入研究的依據。</w:t>
      </w:r>
    </w:p>
    <w:bookmarkEnd w:id="29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2026-10-21T10:16:35Z</dcterms:created>
  <dcterms:modified xsi:type="dcterms:W3CDTF">2026-10-21T10:16:35Z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