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E7E8" w14:textId="56596DA0" w:rsidR="00AF4E9B" w:rsidRDefault="00AF4E9B">
      <w:pPr>
        <w:rPr>
          <w:u w:val="single"/>
        </w:rPr>
      </w:pPr>
      <w:r>
        <w:rPr>
          <w:u w:val="single"/>
        </w:rPr>
        <w:t>Useful information</w:t>
      </w:r>
    </w:p>
    <w:p w14:paraId="29C53D1A" w14:textId="77777777" w:rsidR="00AF4E9B" w:rsidRDefault="00AF4E9B">
      <w:pPr>
        <w:rPr>
          <w:u w:val="single"/>
        </w:rPr>
      </w:pPr>
    </w:p>
    <w:p w14:paraId="1600F579" w14:textId="25FB246E" w:rsidR="00AF4E9B" w:rsidRDefault="00AF4E9B" w:rsidP="00AF4E9B">
      <w:pPr>
        <w:pStyle w:val="ListParagraph"/>
        <w:numPr>
          <w:ilvl w:val="0"/>
          <w:numId w:val="1"/>
        </w:numPr>
      </w:pPr>
      <w:r w:rsidRPr="0046524A">
        <w:rPr>
          <w:b/>
          <w:bCs/>
        </w:rPr>
        <w:t>Minimal trauma fractures</w:t>
      </w:r>
      <w:r>
        <w:t xml:space="preserve"> are fractures which occur due to the impact from a fall from standing height or less. Fractures of the face, hands, feet and ankles do not fall in this definition.</w:t>
      </w:r>
    </w:p>
    <w:p w14:paraId="51F46F5B" w14:textId="7145DD6E" w:rsidR="00AF4E9B" w:rsidRDefault="00AF4E9B" w:rsidP="00AF4E9B">
      <w:pPr>
        <w:pStyle w:val="ListParagraph"/>
        <w:numPr>
          <w:ilvl w:val="0"/>
          <w:numId w:val="1"/>
        </w:numPr>
      </w:pPr>
      <w:r>
        <w:t>All patients with minimal trauma fractures above age 50 should be presumed to have osteoporosis and treatment with medications are indicated.</w:t>
      </w:r>
    </w:p>
    <w:p w14:paraId="3BECD150" w14:textId="2D0E851A" w:rsidR="00AF4E9B" w:rsidRDefault="00AF4E9B" w:rsidP="00AF4E9B">
      <w:pPr>
        <w:pStyle w:val="ListParagraph"/>
        <w:numPr>
          <w:ilvl w:val="0"/>
          <w:numId w:val="1"/>
        </w:numPr>
      </w:pPr>
      <w:r>
        <w:t>Treatment uptake among patients with minimal trauma fractures is low due to multiple barriers</w:t>
      </w:r>
    </w:p>
    <w:p w14:paraId="3E302870" w14:textId="3683D53E" w:rsidR="00AF4E9B" w:rsidRDefault="00AF4E9B" w:rsidP="00AF4E9B">
      <w:pPr>
        <w:pStyle w:val="ListParagraph"/>
        <w:numPr>
          <w:ilvl w:val="0"/>
          <w:numId w:val="1"/>
        </w:numPr>
      </w:pPr>
      <w:r>
        <w:t>Fracture Liaison Services are systematic ways of identifying minimal trauma fractures and starting them on treatment</w:t>
      </w:r>
    </w:p>
    <w:p w14:paraId="2E389C01" w14:textId="6F13E8AE" w:rsidR="00AF4E9B" w:rsidRDefault="00AF4E9B" w:rsidP="00AF4E9B">
      <w:pPr>
        <w:pStyle w:val="ListParagraph"/>
        <w:numPr>
          <w:ilvl w:val="0"/>
          <w:numId w:val="1"/>
        </w:numPr>
      </w:pPr>
      <w:r>
        <w:t>The current Fracture Liaison Service in WA uses a clinician to manually screen through a list of patients who leave the emergency department with a diagnosis of a fracture – this is inefficient</w:t>
      </w:r>
    </w:p>
    <w:p w14:paraId="4637C12F" w14:textId="34A576B0" w:rsidR="00AF4E9B" w:rsidRDefault="00AF4E9B" w:rsidP="00AF4E9B">
      <w:pPr>
        <w:pStyle w:val="ListParagraph"/>
        <w:numPr>
          <w:ilvl w:val="0"/>
          <w:numId w:val="1"/>
        </w:numPr>
      </w:pPr>
      <w:r>
        <w:t>Fractures are invariably diagnosed through radiology scans and x-rays – identifying them through radiology is potentially more efficient</w:t>
      </w:r>
    </w:p>
    <w:p w14:paraId="4FF400FA" w14:textId="1246D92E" w:rsidR="00AF4E9B" w:rsidRDefault="00AF4E9B" w:rsidP="00AF4E9B">
      <w:pPr>
        <w:pStyle w:val="ListParagraph"/>
        <w:numPr>
          <w:ilvl w:val="0"/>
          <w:numId w:val="1"/>
        </w:numPr>
      </w:pPr>
      <w:r>
        <w:t xml:space="preserve">Accurate identification is key: we do not want to include patients with fractures from high impact or fractures due to bony cancers. We DO want to identify spinal (vertebral) fractures found incidentally on scans </w:t>
      </w:r>
    </w:p>
    <w:p w14:paraId="56254398" w14:textId="5AB8A99D" w:rsidR="0046524A" w:rsidRDefault="00AF4E9B" w:rsidP="00AF4E9B">
      <w:pPr>
        <w:pStyle w:val="ListParagraph"/>
        <w:numPr>
          <w:ilvl w:val="0"/>
          <w:numId w:val="1"/>
        </w:numPr>
      </w:pPr>
      <w:r>
        <w:t>Once an accurate list is identified, these patients need an assessment of their osteoporosis risk factors</w:t>
      </w:r>
      <w:r w:rsidR="0046524A">
        <w:t>. This includes collecting information about their previous fracture history, smoking status, alcohol intake, number of falls in the last 12 months, use of steroid medication, whether they have had a previous bone density scan</w:t>
      </w:r>
      <w:r w:rsidR="00521288">
        <w:t xml:space="preserve"> and</w:t>
      </w:r>
      <w:r w:rsidR="0046524A">
        <w:t xml:space="preserve"> whether they have </w:t>
      </w:r>
      <w:r w:rsidR="00521288">
        <w:t>used</w:t>
      </w:r>
      <w:r w:rsidR="0046524A">
        <w:t xml:space="preserve"> previous osteoporosis treatments</w:t>
      </w:r>
      <w:r w:rsidR="00153EF6">
        <w:t xml:space="preserve"> (all the questions on the Know Your Bones website)</w:t>
      </w:r>
    </w:p>
    <w:p w14:paraId="67AEC695" w14:textId="0BD907E1" w:rsidR="00AF4E9B" w:rsidRDefault="0046524A" w:rsidP="00AF4E9B">
      <w:pPr>
        <w:pStyle w:val="ListParagraph"/>
        <w:numPr>
          <w:ilvl w:val="0"/>
          <w:numId w:val="1"/>
        </w:numPr>
      </w:pPr>
      <w:r>
        <w:t xml:space="preserve">Following this, they </w:t>
      </w:r>
      <w:r w:rsidR="00AF4E9B">
        <w:t>also</w:t>
      </w:r>
      <w:r>
        <w:t xml:space="preserve"> need to</w:t>
      </w:r>
      <w:r w:rsidR="00AF4E9B">
        <w:t xml:space="preserve"> receive education about their diagnosis of osteoporosis, lifestyle measures to improve bone health (accessible via Healthy Bones Australia website) a</w:t>
      </w:r>
      <w:r>
        <w:t>s well as</w:t>
      </w:r>
      <w:r w:rsidR="00AF4E9B">
        <w:t xml:space="preserve"> recommendations to start treatment</w:t>
      </w:r>
    </w:p>
    <w:p w14:paraId="5D5AB610" w14:textId="328FE008" w:rsidR="00AF4E9B" w:rsidRDefault="00AF4E9B" w:rsidP="00AF4E9B">
      <w:pPr>
        <w:pStyle w:val="ListParagraph"/>
        <w:numPr>
          <w:ilvl w:val="1"/>
          <w:numId w:val="1"/>
        </w:numPr>
      </w:pPr>
      <w:r>
        <w:t>High risk fractures should be referred to the specialist osteoporosis clinic to start specialised medications. These include spinal (vertebral) fractures, hip fractures and those with more than 1 fracture</w:t>
      </w:r>
    </w:p>
    <w:p w14:paraId="781CED73" w14:textId="760522BC" w:rsidR="00AF4E9B" w:rsidRDefault="00AF4E9B" w:rsidP="00AF4E9B">
      <w:pPr>
        <w:pStyle w:val="ListParagraph"/>
        <w:numPr>
          <w:ilvl w:val="1"/>
          <w:numId w:val="1"/>
        </w:numPr>
      </w:pPr>
      <w:r>
        <w:t>Low risk fractures should be referred to their GP to start usual osteoporosis medications</w:t>
      </w:r>
    </w:p>
    <w:p w14:paraId="76014C88" w14:textId="75B01A70" w:rsidR="00E51754" w:rsidRPr="00AF4E9B" w:rsidRDefault="0046524A" w:rsidP="004B16A3">
      <w:pPr>
        <w:pStyle w:val="ListParagraph"/>
        <w:numPr>
          <w:ilvl w:val="0"/>
          <w:numId w:val="1"/>
        </w:numPr>
      </w:pPr>
      <w:r>
        <w:t>Once treatment is recommended, these patients should be followed up at 4 and 12 months after fracture to ascertain whether the recommendations have been carried out and maintained</w:t>
      </w:r>
    </w:p>
    <w:sectPr w:rsidR="00E51754" w:rsidRPr="00AF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00A7"/>
    <w:multiLevelType w:val="hybridMultilevel"/>
    <w:tmpl w:val="FD9606A6"/>
    <w:lvl w:ilvl="0" w:tplc="583213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9B"/>
    <w:rsid w:val="00153EF6"/>
    <w:rsid w:val="00332864"/>
    <w:rsid w:val="0046524A"/>
    <w:rsid w:val="004B16A3"/>
    <w:rsid w:val="00521288"/>
    <w:rsid w:val="008D5761"/>
    <w:rsid w:val="00AF4E9B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D5F5"/>
  <w15:chartTrackingRefBased/>
  <w15:docId w15:val="{994DD72E-756D-4BAF-A1A4-09ED04C9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39ED1E66A224B99E29CB1F160F3E2" ma:contentTypeVersion="19" ma:contentTypeDescription="Create a new document." ma:contentTypeScope="" ma:versionID="f5b1016712d2bb408d1190cdbb57e33c">
  <xsd:schema xmlns:xsd="http://www.w3.org/2001/XMLSchema" xmlns:xs="http://www.w3.org/2001/XMLSchema" xmlns:p="http://schemas.microsoft.com/office/2006/metadata/properties" xmlns:ns2="73af1232-5307-4a77-b888-ad85731176af" xmlns:ns3="7a7fd230-8ba2-4078-8d21-5a0ec242983d" targetNamespace="http://schemas.microsoft.com/office/2006/metadata/properties" ma:root="true" ma:fieldsID="32c84a3ac7cd008ec943ef6de0911c3d" ns2:_="" ns3:_="">
    <xsd:import namespace="73af1232-5307-4a77-b888-ad85731176af"/>
    <xsd:import namespace="7a7fd230-8ba2-4078-8d21-5a0ec242983d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Metadata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f1232-5307-4a77-b888-ad85731176af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d230-8ba2-4078-8d21-5a0ec24298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23d212e-4b4d-49bd-8e1f-4d56ab24c653}" ma:internalName="TaxCatchAll" ma:showField="CatchAllData" ma:web="7a7fd230-8ba2-4078-8d21-5a0ec24298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58b0421-3d9b-4d43-8840-b275eef407cc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af1232-5307-4a77-b888-ad85731176af">
      <Terms xmlns="http://schemas.microsoft.com/office/infopath/2007/PartnerControls"/>
    </lcf76f155ced4ddcb4097134ff3c332f>
    <TaxCatchAll xmlns="7a7fd230-8ba2-4078-8d21-5a0ec242983d" xsi:nil="true"/>
  </documentManagement>
</p:properties>
</file>

<file path=customXml/itemProps1.xml><?xml version="1.0" encoding="utf-8"?>
<ds:datastoreItem xmlns:ds="http://schemas.openxmlformats.org/officeDocument/2006/customXml" ds:itemID="{AECD36ED-C075-4575-B3FB-648384663D2D}"/>
</file>

<file path=customXml/itemProps2.xml><?xml version="1.0" encoding="utf-8"?>
<ds:datastoreItem xmlns:ds="http://schemas.openxmlformats.org/officeDocument/2006/customXml" ds:itemID="{33FDF6EB-D5BA-48E6-9F99-482C83C938B9}"/>
</file>

<file path=customXml/itemProps3.xml><?xml version="1.0" encoding="utf-8"?>
<ds:datastoreItem xmlns:ds="http://schemas.openxmlformats.org/officeDocument/2006/customXml" ds:itemID="{E19EF6DE-20DF-4107-9AC4-DC9B34701203}"/>
</file>

<file path=customXml/itemProps4.xml><?xml version="1.0" encoding="utf-8"?>
<ds:datastoreItem xmlns:ds="http://schemas.openxmlformats.org/officeDocument/2006/customXml" ds:itemID="{C84D9857-8C70-458A-A071-44AD12015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Ting</dc:creator>
  <cp:keywords/>
  <dc:description/>
  <cp:lastModifiedBy>Matthew Ting</cp:lastModifiedBy>
  <cp:revision>5</cp:revision>
  <dcterms:created xsi:type="dcterms:W3CDTF">2025-09-19T15:42:00Z</dcterms:created>
  <dcterms:modified xsi:type="dcterms:W3CDTF">2025-09-19T16:03:00Z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0x01010094F39ED1E66A224B99E29CB1F160F3E2</vt:lpwstr>
  </property>
</Properties>
</file>