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rPr>
      </w:pPr>
      <w:r>
        <w:rPr>
          <w:b/>
        </w:rPr>
        <w:t>Eficácia do Goal-Based Investing com ETFs versus estratégias tradicionais de alocação de portfólio</w:t>
      </w:r>
    </w:p>
    <w:p>
      <w:pPr>
        <w:pStyle w:val="Normal"/>
        <w:spacing w:lineRule="auto" w:line="240"/>
        <w:rPr/>
      </w:pPr>
      <w:r>
        <w:rPr/>
      </w:r>
    </w:p>
    <w:p>
      <w:pPr>
        <w:pStyle w:val="Normal"/>
        <w:spacing w:lineRule="auto" w:line="240"/>
        <w:rPr/>
      </w:pPr>
      <w:r>
        <w:rPr/>
      </w:r>
    </w:p>
    <w:p>
      <w:pPr>
        <w:pStyle w:val="Normal"/>
        <w:spacing w:lineRule="auto" w:line="240"/>
        <w:jc w:val="center"/>
        <w:rPr>
          <w:b/>
          <w:sz w:val="18"/>
        </w:rPr>
      </w:pPr>
      <w:r>
        <w:rPr/>
        <w:t>Silvano Antonio Alves Pereira Junior¹*;</w:t>
      </w:r>
      <w:r>
        <w:rPr>
          <w:vertAlign w:val="superscript"/>
        </w:rPr>
        <w:t xml:space="preserve"> </w:t>
      </w:r>
      <w:r>
        <w:rPr/>
        <w:t>Rogiene Batista dos Santos</w:t>
      </w:r>
      <w:r>
        <w:rPr>
          <w:vertAlign w:val="superscript"/>
        </w:rPr>
        <w:t>2</w:t>
      </w:r>
    </w:p>
    <w:p>
      <w:pPr>
        <w:pStyle w:val="Normal"/>
        <w:tabs>
          <w:tab w:val="clear" w:pos="708"/>
          <w:tab w:val="left" w:pos="6465" w:leader="none"/>
        </w:tabs>
        <w:spacing w:lineRule="auto" w:line="240"/>
        <w:rPr>
          <w:b/>
          <w:sz w:val="18"/>
        </w:rPr>
      </w:pPr>
      <w:r>
        <w:rPr>
          <w:b/>
          <w:sz w:val="18"/>
        </w:rPr>
      </w:r>
    </w:p>
    <w:p>
      <w:pPr>
        <w:pStyle w:val="Normal"/>
        <w:spacing w:lineRule="auto" w:line="240"/>
        <w:jc w:val="left"/>
        <w:rPr>
          <w:sz w:val="18"/>
          <w:szCs w:val="18"/>
        </w:rPr>
      </w:pPr>
      <w:r>
        <w:rPr>
          <w:sz w:val="18"/>
          <w:szCs w:val="18"/>
          <w:vertAlign w:val="superscript"/>
        </w:rPr>
        <w:t>1</w:t>
      </w:r>
      <w:r>
        <w:rPr/>
        <w:t xml:space="preserve"> ANBIMA</w:t>
      </w:r>
      <w:r>
        <w:rPr>
          <w:sz w:val="18"/>
          <w:szCs w:val="18"/>
        </w:rPr>
        <w:t xml:space="preserve">. Analista Senior de Índices e Preços. 21, Av. das Nações Unidas, 8501 – Pinheiros; 05425-070 São Paulo, São Paulo, Brasil </w:t>
      </w:r>
    </w:p>
    <w:p>
      <w:pPr>
        <w:pStyle w:val="Normal"/>
        <w:spacing w:lineRule="auto" w:line="240"/>
        <w:jc w:val="left"/>
        <w:rPr>
          <w:sz w:val="18"/>
          <w:szCs w:val="18"/>
        </w:rPr>
      </w:pPr>
      <w:r>
        <w:rPr>
          <w:sz w:val="18"/>
          <w:szCs w:val="18"/>
          <w:vertAlign w:val="superscript"/>
        </w:rPr>
        <w:t xml:space="preserve">2 </w:t>
      </w:r>
      <w:r>
        <w:rPr>
          <w:sz w:val="18"/>
          <w:szCs w:val="18"/>
        </w:rPr>
        <w:t>Nome da Empresa ou Instituição (opcional). Titulação ou função ou departamento. Endereço completo (pessoal ou profissional) – Bairro; 00000-000    Cidade, Estado, País</w:t>
      </w:r>
    </w:p>
    <w:p>
      <w:pPr>
        <w:pStyle w:val="Normal"/>
        <w:spacing w:lineRule="auto" w:line="240"/>
        <w:jc w:val="left"/>
        <w:rPr>
          <w:sz w:val="18"/>
          <w:szCs w:val="18"/>
        </w:rPr>
      </w:pPr>
      <w:r>
        <w:rPr>
          <w:sz w:val="18"/>
          <w:szCs w:val="18"/>
        </w:rPr>
        <w:t>*</w:t>
      </w:r>
      <w:bookmarkStart w:id="0" w:name="_Hlk33948379"/>
      <w:bookmarkStart w:id="1" w:name="_Hlk33885760"/>
      <w:r>
        <w:rPr>
          <w:sz w:val="18"/>
          <w:szCs w:val="18"/>
        </w:rPr>
        <w:t>autor correspondente</w:t>
      </w:r>
      <w:bookmarkEnd w:id="1"/>
      <w:r>
        <w:rPr>
          <w:sz w:val="18"/>
          <w:szCs w:val="18"/>
        </w:rPr>
        <w:t xml:space="preserve">: </w:t>
      </w:r>
      <w:bookmarkEnd w:id="0"/>
      <w:r>
        <w:rPr>
          <w:sz w:val="18"/>
          <w:szCs w:val="18"/>
        </w:rPr>
        <w:t>nome@email.com</w:t>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jc w:val="left"/>
        <w:rPr>
          <w:b/>
        </w:rPr>
      </w:pPr>
      <w:r>
        <w:rPr>
          <w:b/>
        </w:rPr>
      </w:r>
    </w:p>
    <w:p>
      <w:pPr>
        <w:pStyle w:val="Normal"/>
        <w:spacing w:lineRule="auto" w:line="360"/>
        <w:rPr>
          <w:b/>
        </w:rPr>
      </w:pPr>
      <w:r>
        <w:rPr>
          <w:b/>
        </w:rPr>
      </w:r>
    </w:p>
    <w:p>
      <w:pPr>
        <w:pStyle w:val="Normal"/>
        <w:spacing w:lineRule="auto" w:line="360"/>
        <w:jc w:val="left"/>
        <w:rPr>
          <w:b/>
        </w:rPr>
      </w:pPr>
      <w:r>
        <w:rPr>
          <w:b/>
        </w:rPr>
      </w:r>
    </w:p>
    <w:p>
      <w:pPr>
        <w:pStyle w:val="Normal"/>
        <w:rPr>
          <w:b/>
        </w:rPr>
      </w:pPr>
      <w:r>
        <w:rPr>
          <w:b/>
        </w:rPr>
      </w:r>
    </w:p>
    <w:p>
      <w:pPr>
        <w:pStyle w:val="Normal"/>
        <w:rPr>
          <w:b/>
        </w:rPr>
      </w:pPr>
      <w:r>
        <w:rPr>
          <w:b/>
        </w:rPr>
      </w:r>
      <w:r>
        <w:br w:type="page"/>
      </w:r>
    </w:p>
    <w:p>
      <w:pPr>
        <w:pStyle w:val="Normal"/>
        <w:spacing w:lineRule="auto" w:line="240" w:before="0" w:after="0"/>
        <w:jc w:val="center"/>
        <w:rPr>
          <w:b/>
        </w:rPr>
      </w:pPr>
      <w:r>
        <w:rPr>
          <w:b/>
        </w:rPr>
        <w:t>Eficácia do Goal-Based Investing com ETFs versus estratégias tradicionais de alocação de portfólio</w:t>
      </w:r>
    </w:p>
    <w:p>
      <w:pPr>
        <w:pStyle w:val="Normal"/>
        <w:spacing w:lineRule="auto" w:line="240"/>
        <w:jc w:val="center"/>
        <w:rPr>
          <w:b/>
        </w:rPr>
      </w:pPr>
      <w:r>
        <w:rPr>
          <w:b/>
        </w:rPr>
      </w:r>
    </w:p>
    <w:p>
      <w:pPr>
        <w:pStyle w:val="Normal"/>
        <w:spacing w:lineRule="auto" w:line="240"/>
        <w:jc w:val="left"/>
        <w:rPr>
          <w:b/>
        </w:rPr>
      </w:pPr>
      <w:r>
        <w:rPr>
          <w:b/>
        </w:rPr>
        <w:t>Resumo (ou Sumário Executivo)</w:t>
      </w:r>
    </w:p>
    <w:p>
      <w:pPr>
        <w:pStyle w:val="Normal"/>
        <w:spacing w:lineRule="auto" w:line="240"/>
        <w:rPr>
          <w:b/>
        </w:rPr>
      </w:pPr>
      <w:r>
        <w:rPr>
          <w:b/>
        </w:rPr>
      </w:r>
    </w:p>
    <w:p>
      <w:pPr>
        <w:pStyle w:val="ListParagraph"/>
        <w:spacing w:lineRule="auto" w:line="240"/>
        <w:ind w:left="0"/>
        <w:rPr>
          <w:b/>
        </w:rPr>
      </w:pPr>
      <w:r>
        <w:rPr>
          <w:bCs/>
          <w:shd w:fill="FFFF00" w:val="clear"/>
        </w:rPr>
        <w:t>Opcional para a etapa dos Resultados Preliminares</w:t>
      </w:r>
      <w:r>
        <w:rPr>
          <w:bCs/>
        </w:rPr>
        <w:t>.</w:t>
      </w:r>
      <w:r>
        <w:rPr>
          <w:color w:val="000000"/>
        </w:rPr>
        <w:t xml:space="preserve"> </w:t>
      </w:r>
    </w:p>
    <w:p>
      <w:pPr>
        <w:pStyle w:val="Normal"/>
        <w:spacing w:lineRule="auto" w:line="360"/>
        <w:rPr>
          <w:b/>
        </w:rPr>
      </w:pPr>
      <w:r>
        <w:rPr>
          <w:b/>
        </w:rPr>
      </w:r>
    </w:p>
    <w:p>
      <w:pPr>
        <w:pStyle w:val="ListParagraph"/>
        <w:spacing w:lineRule="auto" w:line="360"/>
        <w:ind w:left="0"/>
        <w:jc w:val="left"/>
        <w:rPr>
          <w:b/>
        </w:rPr>
      </w:pPr>
      <w:r>
        <w:rPr>
          <w:b/>
        </w:rPr>
        <w:t>Introdução</w:t>
      </w:r>
    </w:p>
    <w:p>
      <w:pPr>
        <w:pStyle w:val="ListParagraph"/>
        <w:spacing w:lineRule="auto" w:line="360"/>
        <w:ind w:left="0"/>
        <w:jc w:val="left"/>
        <w:rPr/>
      </w:pPr>
      <w:r>
        <w:rPr/>
      </w:r>
    </w:p>
    <w:p>
      <w:pPr>
        <w:pStyle w:val="Normal"/>
        <w:spacing w:lineRule="auto" w:line="360"/>
        <w:ind w:firstLine="709"/>
        <w:rPr>
          <w:color w:val="000000"/>
        </w:rPr>
      </w:pPr>
      <w:r>
        <w:rPr>
          <w:color w:val="000000"/>
        </w:rPr>
        <w:t xml:space="preserve">Os conceitos da Teoria Moderna de Portfólio, inicialmente formulados em H. Markowitz, foram apresentados em 1952. Desde então, essa teoria vem sendo amplamente  utilizada para seleção e avaliação de carteiras de investimento. </w:t>
      </w:r>
    </w:p>
    <w:p>
      <w:pPr>
        <w:pStyle w:val="Normal"/>
        <w:spacing w:lineRule="auto" w:line="360"/>
        <w:ind w:firstLine="709"/>
        <w:rPr>
          <w:color w:val="000000"/>
        </w:rPr>
      </w:pPr>
      <w:r>
        <w:rPr>
          <w:color w:val="000000"/>
        </w:rPr>
        <w:t xml:space="preserve">O trabalho de Markowitz instituiu uma nova abordagem para o conceito de risco dos investimentos. Basicamente, Markowitz (1952) demonstra como os investidores deveriam utilizar o princípio da diversificação para melhorar a relação de risco e retorno em suas carteiras de investimentos. </w:t>
      </w:r>
    </w:p>
    <w:p>
      <w:pPr>
        <w:pStyle w:val="Normal"/>
        <w:spacing w:lineRule="auto" w:line="360"/>
        <w:ind w:firstLine="709"/>
        <w:rPr>
          <w:color w:val="000000"/>
        </w:rPr>
      </w:pPr>
      <w:r>
        <w:rPr>
          <w:color w:val="000000"/>
        </w:rPr>
        <w:t>Contrapondo o pensamento dominante à época, de que a opção mais benéfica para a composição da carteira consistia na concentração de investimentos em ativos que ofereciam os maiores retornos, Markowitz (1952) propôs que o cenário ideal para os investidores seria obter combinações mais eficientes de alocação de recursos por meio da avaliação e compensação do risco dos ativos que compunham a carteira, principalmente por da análise das correlações entre os ativos.</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 xml:space="preserve">A metodologia de Markowitz (1952), centrada na otimização da média-variância e na busca por carteiras que estejam sobre a “Fronteira Eficiente”, tornou-se um pilar na teoria de finanças e deu origem a diversas estratégias de alocação de ativos. </w:t>
      </w:r>
    </w:p>
    <w:p>
      <w:pPr>
        <w:pStyle w:val="Normal"/>
        <w:spacing w:lineRule="auto" w:line="360"/>
        <w:ind w:firstLine="709"/>
        <w:rPr>
          <w:color w:val="000000"/>
        </w:rPr>
      </w:pPr>
      <w:r>
        <w:rPr>
          <w:color w:val="000000"/>
        </w:rPr>
        <w:t>Destacmos dentre elas: a otimização de paridade de risco (Risk Parity), detalhada em Maillard et al. (2010), que busca uma distribuição equitativa de risco entre os ativos, e a abordagem de pesos iguais (Equal Weights), cuja eficácia e robustez foram amplamente discutidas por DeMiguel et al. (2009).</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Apesar de sua vasta aplicação e importância teórica, as estratégias tradicionais de alocação de portfólio são alvo de críticas por seu distanciamento das necessidades práticas e objetivos de vida dos investidores individuais. Como apontado por Chhabra (2005), essas metodologias frequentemente otimizam a carteira com base em métricas estatísticas abstratas, como a maximização do Índice de Sharpe ou a minimização da volatilidade, sem necessariamente conectar o plano de investimentos à probabilidade de o investidor atingir suas metas financeiras concretas, como garantir a aposentadoria, custear a educação dos filhos ou adquirir um imóvel. Nessa perspectiva, o conceito de “risco” transcende a mera volatilidade dos retornos e passa a significar, de forma mais intuitiva, a possibilidade de um fracasso no alcance de um objetivo de vida essencial.</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Neste contexto, emerge a metodologia de Goal-Based Investing [GBI] como um paradigma alternativo que reorienta o processo de investimento para os objetivos específicos do investidor. Fundamentado nos trabalhos de Brunel (2015) e Das et al. (2010), o GBI propõe a segmentação do patrimônio em sub-portfólios, onde cada um é dedicado a uma meta financeira particular, com seu próprio horizonte de tempo e tolerância ao risco. Essa abordagem substitui a otimização de uma carteira única por uma estrutura que busca maximizar a probabilidade de sucesso de cada objetivo individualmente, alinhando a gestão de ativos diretamente às aspirações e necessidades do investidor.</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A implementação e comparação dessas distintas estratégias no mercado financeiro moderno são viabilizadas pela crescente popularidade dos Fundos de Índice (</w:t>
      </w:r>
      <w:r>
        <w:rPr>
          <w:i/>
          <w:iCs/>
          <w:color w:val="000000"/>
        </w:rPr>
        <w:t>Exchange Traded Funds</w:t>
      </w:r>
      <w:r>
        <w:rPr>
          <w:color w:val="000000"/>
        </w:rPr>
        <w:t xml:space="preserve"> [ETFs]). Esses instrumentos, por sua natureza diversificada, baixo custo operacional, transparência e liquidez, constituem veículos de investimento ideais para a construção de portfólios, permitindo que tanto as abordagens tradicionais quanto as mais personalizadas, como o GBI, sejam aplicadas de forma eficiente e comparável.</w:t>
      </w:r>
    </w:p>
    <w:p>
      <w:pPr>
        <w:pStyle w:val="Normal"/>
        <w:spacing w:lineRule="auto" w:line="360"/>
        <w:ind w:firstLine="709"/>
        <w:rPr>
          <w:color w:val="000000"/>
        </w:rPr>
      </w:pPr>
      <w:r>
        <w:rPr>
          <w:color w:val="000000"/>
        </w:rPr>
      </w:r>
    </w:p>
    <w:p>
      <w:pPr>
        <w:pStyle w:val="Normal"/>
        <w:spacing w:lineRule="auto" w:line="360"/>
        <w:ind w:firstLine="709"/>
        <w:rPr>
          <w:color w:val="000000"/>
        </w:rPr>
      </w:pPr>
      <w:r>
        <w:rPr>
          <w:color w:val="000000"/>
        </w:rPr>
        <w:t>Diante do exposto, surge a seguinte questão de pesquisa: qual a eficácia empírica da abordagem GBI em comparação com as estratégias tradicionais de alocação no contexto do mercado financeiro brasileiro? Desta forma, o presente trabalho tem como objetivo principal avaliar comparativamente o desempenho da estratégia de Goal-Based Investing, implementada via ETFs, em relação às abordagens de Equal Weights, Otimização de Markowitz e Risk Parity. A análise será conduzida por meio de uma simulação computacional baseada em dados históricos do mercado brasileiro, buscando fornecer evidências que auxiliem investidores e consultores financeiros na escolha da metodologia de alocação mais adequada aos seus perfis e objetivos.</w:t>
      </w:r>
    </w:p>
    <w:p>
      <w:pPr>
        <w:pStyle w:val="Normal"/>
        <w:spacing w:lineRule="auto" w:line="360"/>
        <w:ind w:firstLine="709"/>
        <w:rPr>
          <w:rStyle w:val="normaltextrun"/>
          <w:color w:val="000000"/>
          <w:shd w:fill="FFFFFF" w:val="clear"/>
        </w:rPr>
      </w:pPr>
      <w:r>
        <w:rPr>
          <w:color w:val="000000"/>
          <w:shd w:fill="FFFFFF" w:val="clear"/>
        </w:rPr>
      </w:r>
    </w:p>
    <w:p>
      <w:pPr>
        <w:pStyle w:val="Normal"/>
        <w:spacing w:lineRule="auto" w:line="360"/>
        <w:rPr>
          <w:color w:val="000000"/>
        </w:rPr>
      </w:pPr>
      <w:r>
        <w:rPr>
          <w:color w:val="000000"/>
        </w:rPr>
      </w:r>
    </w:p>
    <w:p>
      <w:pPr>
        <w:pStyle w:val="ListParagraph"/>
        <w:spacing w:lineRule="auto" w:line="360"/>
        <w:ind w:left="0"/>
        <w:rPr>
          <w:b/>
        </w:rPr>
      </w:pPr>
      <w:r>
        <w:rPr>
          <w:b/>
        </w:rPr>
        <w:t>Material e Métodos</w:t>
      </w:r>
    </w:p>
    <w:p>
      <w:pPr>
        <w:pStyle w:val="ListParagraph"/>
        <w:spacing w:lineRule="auto" w:line="360"/>
        <w:ind w:left="0"/>
        <w:rPr/>
      </w:pPr>
      <w:r>
        <w:rPr/>
      </w:r>
    </w:p>
    <w:p>
      <w:pPr>
        <w:pStyle w:val="Normal"/>
        <w:spacing w:lineRule="auto" w:line="360"/>
        <w:ind w:firstLine="709"/>
        <w:rPr>
          <w:rFonts w:eastAsia="Times New Roman"/>
          <w:lang w:eastAsia="pt-BR"/>
        </w:rPr>
      </w:pPr>
      <w:r>
        <w:rPr>
          <w:rFonts w:eastAsia="Times New Roman"/>
          <w:lang w:eastAsia="pt-BR"/>
        </w:rPr>
        <w:t xml:space="preserve">Este capítulo apresenta os procedimentos metodológicos empregados para atingir o objetivo central da pesquisa: avaliar comparativamente a eficácia da abordagem de Goal-Based Investing [GBI] em relação a estratégias tradicionais de alocação de portfólio - Equal Weights, Otimização de Markowitz e Risk Parity — no contexto do mercado de capitais brasileiro. </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Para </w:t>
      </w:r>
      <w:r>
        <w:rPr>
          <w:rFonts w:eastAsia="Times New Roman"/>
          <w:lang w:eastAsia="pt-BR"/>
        </w:rPr>
        <w:t>atingir o proposto no projeto de pesquisa</w:t>
      </w:r>
      <w:r>
        <w:rPr>
          <w:rFonts w:eastAsia="Times New Roman"/>
          <w:lang w:eastAsia="pt-BR"/>
        </w:rPr>
        <w:t xml:space="preserve"> foi adotado um </w:t>
      </w:r>
      <w:r>
        <w:rPr>
          <w:rFonts w:eastAsia="Times New Roman"/>
          <w:lang w:eastAsia="pt-BR"/>
        </w:rPr>
        <w:t>planejamos uma</w:t>
      </w:r>
      <w:r>
        <w:rPr>
          <w:rFonts w:eastAsia="Times New Roman"/>
          <w:lang w:eastAsia="pt-BR"/>
        </w:rPr>
        <w:t xml:space="preserve"> pesquisa de natureza aplicada </w:t>
      </w:r>
      <w:r>
        <w:rPr>
          <w:rFonts w:eastAsia="Times New Roman"/>
          <w:lang w:eastAsia="pt-BR"/>
        </w:rPr>
        <w:t>com</w:t>
      </w:r>
      <w:r>
        <w:rPr>
          <w:rFonts w:eastAsia="Times New Roman"/>
          <w:lang w:eastAsia="pt-BR"/>
        </w:rPr>
        <w:t xml:space="preserve"> abordagem quantitativa. Todos os dados coletados e analisados são numéricos (preços, retornos, volatilidades), e as conclusões são extraídas a partir da análise estatística e matemática desses dados. A quantificação do desempenho e do risco das diferentes carteiras é o cerne do estudo, permitindo comparações objetivas e a verificação de hipóteses de forma empírica.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Quanto aos seus objetivos, </w:t>
      </w:r>
      <w:r>
        <w:rPr>
          <w:rFonts w:eastAsia="Times New Roman"/>
          <w:lang w:eastAsia="pt-BR"/>
        </w:rPr>
        <w:t>podemos classificá-la</w:t>
      </w:r>
      <w:r>
        <w:rPr>
          <w:rFonts w:eastAsia="Times New Roman"/>
          <w:lang w:eastAsia="pt-BR"/>
        </w:rPr>
        <w:t xml:space="preserve"> como comparativa e experimental. É comparativa porque seu objetivo principal é confrontar o desempenho de quatro diferentes estratégias de alocação de ativos, identificando suas semelhanças, diferenças, vantagens e desvantagens relativas. É experimental, pois, embora não se trate de um experimento de laboratório com controle absoluto de variáveis, a pesquisa emprega uma simulação computacional (backtesting) como procedimento técnico. </w:t>
      </w:r>
    </w:p>
    <w:p>
      <w:pPr>
        <w:pStyle w:val="Normal"/>
        <w:spacing w:lineRule="auto" w:line="360"/>
        <w:ind w:firstLine="709"/>
        <w:rPr>
          <w:rFonts w:eastAsia="Times New Roman"/>
          <w:lang w:eastAsia="pt-BR"/>
        </w:rPr>
      </w:pPr>
      <w:r>
        <w:rPr>
          <w:rFonts w:eastAsia="Times New Roman"/>
          <w:lang w:eastAsia="pt-BR"/>
        </w:rPr>
        <w:t xml:space="preserve">O universo de ativos considerado para este estudo são os Fundos de Índice (Exchange Traded Funds [ETFs]) de renda variável e renda fixa listados na B3 S.A. – Brasil, Bolsa, Balcão. </w:t>
      </w:r>
    </w:p>
    <w:p>
      <w:pPr>
        <w:pStyle w:val="Normal"/>
        <w:spacing w:lineRule="auto" w:line="360"/>
        <w:ind w:firstLine="709"/>
        <w:rPr>
          <w:rFonts w:eastAsia="Times New Roman"/>
          <w:lang w:eastAsia="pt-BR"/>
        </w:rPr>
      </w:pPr>
      <w:r>
        <w:rPr>
          <w:rFonts w:eastAsia="Times New Roman"/>
          <w:lang w:eastAsia="pt-BR"/>
        </w:rPr>
        <w:t xml:space="preserve">Os ETFs foram escolhidos como os veículos de investimento predominantes por </w:t>
      </w:r>
      <w:r>
        <w:rPr>
          <w:rFonts w:eastAsia="Times New Roman"/>
          <w:lang w:eastAsia="pt-BR"/>
        </w:rPr>
        <w:t>seu</w:t>
      </w:r>
      <w:r>
        <w:rPr>
          <w:rFonts w:eastAsia="Times New Roman"/>
          <w:lang w:eastAsia="pt-BR"/>
        </w:rPr>
        <w:t xml:space="preserve"> conjunto de </w:t>
      </w:r>
      <w:r>
        <w:rPr>
          <w:rFonts w:eastAsia="Times New Roman"/>
          <w:lang w:eastAsia="pt-BR"/>
        </w:rPr>
        <w:t>caracteristicas</w:t>
      </w:r>
      <w:r>
        <w:rPr>
          <w:rFonts w:eastAsia="Times New Roman"/>
          <w:lang w:eastAsia="pt-BR"/>
        </w:rPr>
        <w:t xml:space="preserve"> que favorecem a comparabilidade e a relevância prática do estudo. </w:t>
      </w:r>
      <w:r>
        <w:rPr>
          <w:rFonts w:eastAsia="Times New Roman"/>
          <w:lang w:eastAsia="pt-BR"/>
        </w:rPr>
        <w:t>Primeiro</w:t>
      </w:r>
      <w:r>
        <w:rPr>
          <w:rFonts w:eastAsia="Times New Roman"/>
          <w:lang w:eastAsia="pt-BR"/>
        </w:rPr>
        <w:t>, os ETFs oferecem diversificação a um baixo custo, permitindo que os portfólios capturem o desempenho de classes de ativos inteiras (como o mercado de ações brasileiro, o mercado americano ou títulos de inflação) com um único instrumento. Em segundo lugar, sua transparência e liquidez no mercado secundário os tornam acessíveis para uma vasta gama de investidores, desde os individuais até os institucionais, aumentando a aplicabilidade dos resultados.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partir deste universo foi selecionada uma amostra composta por um conjunto específico de ETFs. Os critérios para a inclusão de um ETF na amostra foram:</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Disponibilidade de Dados Históricos: Foram selecionados apenas ETFs que possuíam um histórico de negociação completo ou quase completo para todo o período de análise (2014-2024), a fim de evitar vieses relacionados à entrada de novos fundos e garantir a robustez das estimações estatísticas.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Representatividade de Classes de Ativos: A amostra foi escolhida para representar adequadamente as principais classes de ativos disponíveis para investidores brasileiros via ETFs, incluindo ações de grande capitalização do mercado local (índice IBOVESPA), ações de menor capitalização (small caps), ações do mercado internacional (índice S&amp;P 500), títulos públicos atrelados à inflação (índice IMA-B) e ouro, considerado um ativo de proteção.</w:t>
      </w:r>
    </w:p>
    <w:p>
      <w:pPr>
        <w:pStyle w:val="Normal"/>
        <w:spacing w:lineRule="auto" w:line="360"/>
        <w:ind w:firstLine="709"/>
        <w:rPr>
          <w:rFonts w:eastAsia="Times New Roman"/>
          <w:lang w:eastAsia="pt-BR"/>
        </w:rPr>
      </w:pPr>
      <w:r>
        <w:rPr>
          <w:rFonts w:eastAsia="Times New Roman"/>
          <w:lang w:eastAsia="pt-BR"/>
        </w:rPr>
        <w:t>Liquidez: Deu-se preferência a ETFs com volumes de negociação consistentes, para garantir que os preços históricos sejam representativos e que a simulação de compra e venda seja realista, minimizando o impacto de potenciais custos de iliquidez não modelados.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amostra final utilizada nas simulações, é composta pelos seguintes ETFs: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b/>
          <w:bCs/>
          <w:lang w:eastAsia="pt-BR"/>
        </w:rPr>
        <w:t>BOVA11.SA</w:t>
      </w:r>
      <w:r>
        <w:rPr>
          <w:rFonts w:eastAsia="Times New Roman"/>
          <w:lang w:eastAsia="pt-BR"/>
        </w:rPr>
        <w:t>: iShares Ibovespa Fundo de Índice. Representa a exposição ao principal índice do mercado de ações brasileiro.</w:t>
      </w:r>
    </w:p>
    <w:p>
      <w:pPr>
        <w:pStyle w:val="Normal"/>
        <w:spacing w:lineRule="auto" w:line="360"/>
        <w:ind w:firstLine="709"/>
        <w:rPr>
          <w:rFonts w:eastAsia="Times New Roman"/>
          <w:lang w:eastAsia="pt-BR"/>
        </w:rPr>
      </w:pPr>
      <w:r>
        <w:rPr>
          <w:rFonts w:eastAsia="Times New Roman"/>
          <w:b/>
          <w:bCs/>
          <w:lang w:eastAsia="pt-BR"/>
        </w:rPr>
        <w:t>SMAL11.SA</w:t>
      </w:r>
      <w:r>
        <w:rPr>
          <w:rFonts w:eastAsia="Times New Roman"/>
          <w:lang w:eastAsia="pt-BR"/>
        </w:rPr>
        <w:t>: iShares Small Cap Fundo de Índice. Representa a exposição a empresas de menor capitalização do mercado brasileiro.</w:t>
      </w:r>
    </w:p>
    <w:p>
      <w:pPr>
        <w:pStyle w:val="Normal"/>
        <w:spacing w:lineRule="auto" w:line="360"/>
        <w:ind w:firstLine="709"/>
        <w:rPr>
          <w:rFonts w:eastAsia="Times New Roman"/>
          <w:lang w:eastAsia="pt-BR"/>
        </w:rPr>
      </w:pPr>
      <w:r>
        <w:rPr>
          <w:rFonts w:eastAsia="Times New Roman"/>
          <w:b/>
          <w:bCs/>
          <w:lang w:eastAsia="pt-BR"/>
        </w:rPr>
        <w:t>IVVB11.SA</w:t>
      </w:r>
      <w:r>
        <w:rPr>
          <w:rFonts w:eastAsia="Times New Roman"/>
          <w:lang w:eastAsia="pt-BR"/>
        </w:rPr>
        <w:t>: iShares S&amp;P 500 Fundo de Índice. Oferece exposição dolarizada ao mercado de ações norte-americano.</w:t>
      </w:r>
    </w:p>
    <w:p>
      <w:pPr>
        <w:pStyle w:val="Normal"/>
        <w:spacing w:lineRule="auto" w:line="360"/>
        <w:ind w:firstLine="709"/>
        <w:rPr>
          <w:rFonts w:eastAsia="Times New Roman"/>
          <w:lang w:eastAsia="pt-BR"/>
        </w:rPr>
      </w:pPr>
      <w:r>
        <w:rPr>
          <w:rFonts w:eastAsia="Times New Roman"/>
          <w:b/>
          <w:bCs/>
          <w:lang w:eastAsia="pt-BR"/>
        </w:rPr>
        <w:t>IMAB11.SA</w:t>
      </w:r>
      <w:r>
        <w:rPr>
          <w:rFonts w:eastAsia="Times New Roman"/>
          <w:lang w:eastAsia="pt-BR"/>
        </w:rPr>
        <w:t>: It Now IMA-B Fundo de Índice. Representa uma carteira de títulos públicos federais atrelados ao IPCA, sendo um proxy para a renda fixa de inflação.</w:t>
      </w:r>
    </w:p>
    <w:p>
      <w:pPr>
        <w:pStyle w:val="Normal"/>
        <w:spacing w:lineRule="auto" w:line="360"/>
        <w:ind w:firstLine="709"/>
        <w:rPr>
          <w:rFonts w:eastAsia="Times New Roman"/>
          <w:lang w:eastAsia="pt-BR"/>
        </w:rPr>
      </w:pPr>
      <w:r>
        <w:rPr>
          <w:rFonts w:eastAsia="Times New Roman"/>
          <w:b/>
          <w:bCs/>
          <w:lang w:eastAsia="pt-BR"/>
        </w:rPr>
        <w:t>GOLD11.SA</w:t>
      </w:r>
      <w:r>
        <w:rPr>
          <w:rFonts w:eastAsia="Times New Roman"/>
          <w:lang w:eastAsia="pt-BR"/>
        </w:rPr>
        <w:t>: BTG Pactual Ouro Fundo de Índice. Oferece exposição à variação do preço do ouro, um ativo tradicionalmente usado para diversificação e proteção.</w:t>
      </w:r>
    </w:p>
    <w:p>
      <w:pPr>
        <w:pStyle w:val="Normal"/>
        <w:spacing w:lineRule="auto" w:line="360"/>
        <w:ind w:firstLine="709"/>
        <w:rPr>
          <w:rFonts w:eastAsia="Times New Roman"/>
          <w:lang w:eastAsia="pt-BR"/>
        </w:rPr>
      </w:pPr>
      <w:r>
        <w:rPr>
          <w:rFonts w:eastAsia="Times New Roman"/>
          <w:b/>
          <w:bCs/>
          <w:lang w:eastAsia="pt-BR"/>
        </w:rPr>
        <w:t>PIBB11.SA</w:t>
      </w:r>
      <w:r>
        <w:rPr>
          <w:rFonts w:eastAsia="Times New Roman"/>
          <w:lang w:eastAsia="pt-BR"/>
        </w:rPr>
        <w:t>: It Now IBrX-50 Fundo de Índice. Representa uma cesta das 50 ações mais negociadas e representativas da B3, oferecendo uma alternativa de exposição a ações de alta liquidez.</w:t>
      </w:r>
    </w:p>
    <w:p>
      <w:pPr>
        <w:pStyle w:val="Normal"/>
        <w:spacing w:lineRule="auto" w:line="360"/>
        <w:ind w:firstLine="709"/>
        <w:rPr>
          <w:rFonts w:eastAsia="Times New Roman"/>
          <w:lang w:eastAsia="pt-BR"/>
        </w:rPr>
      </w:pPr>
      <w:r>
        <w:rPr>
          <w:rFonts w:eastAsia="Times New Roman"/>
          <w:lang w:eastAsia="pt-BR"/>
        </w:rPr>
        <w:t>Adicionalmente, para fins de comparação de desempenho (cálculo do Beta e Alfa de Jensen), foi utilizado o Índice Bovespa (IBOVESPA), como benchmark de mercado.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O período de análise da simulação retrospectiva (backtesting) foi definido de 1º de janeiro de 2014 a 31 de dezembro de 2024. A escolha desta janela visa garantir a robustez e a relevância dos resultados. Este intervalo abrange uma gama diversificada e desafiadora de </w:t>
      </w:r>
      <w:r>
        <w:rPr>
          <w:rFonts w:eastAsia="Times New Roman"/>
          <w:lang w:eastAsia="pt-BR"/>
        </w:rPr>
        <w:t>cenários</w:t>
      </w:r>
      <w:r>
        <w:rPr>
          <w:rFonts w:eastAsia="Times New Roman"/>
          <w:lang w:eastAsia="pt-BR"/>
        </w:rPr>
        <w:t xml:space="preserve"> econômic</w:t>
      </w:r>
      <w:r>
        <w:rPr>
          <w:rFonts w:eastAsia="Times New Roman"/>
          <w:lang w:eastAsia="pt-BR"/>
        </w:rPr>
        <w:t>o</w:t>
      </w:r>
      <w:r>
        <w:rPr>
          <w:rFonts w:eastAsia="Times New Roman"/>
          <w:lang w:eastAsia="pt-BR"/>
        </w:rPr>
        <w:t>s, políticas e de mercado no Brasil, permitindo testar a resiliência e a adaptabilidade das estratégias de alocação em diferentes regimes. Os principais eventos e ciclos contidos neste período incluem:</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Recessão de 2015-2016: Uma das mais severas crises econômicas da história recente do Brasil, caracterizada por forte contração do Produto Interno Bruto [PIB], aumento do desemprego e deterioração fiscal.</w:t>
      </w:r>
    </w:p>
    <w:p>
      <w:pPr>
        <w:pStyle w:val="Normal"/>
        <w:spacing w:lineRule="auto" w:line="360"/>
        <w:ind w:firstLine="709"/>
        <w:rPr>
          <w:rFonts w:eastAsia="Times New Roman"/>
          <w:lang w:eastAsia="pt-BR"/>
        </w:rPr>
      </w:pPr>
      <w:r>
        <w:rPr>
          <w:rFonts w:eastAsia="Times New Roman"/>
          <w:lang w:eastAsia="pt-BR"/>
        </w:rPr>
        <w:t>Instabilidade Política e Institucional: O período foi marcado por eventos de grande impacto político, como a Operação Lava Jato e um processo de impeachment, que geraram elevada incerteza e volatilidade nos mercados.</w:t>
      </w:r>
    </w:p>
    <w:p>
      <w:pPr>
        <w:pStyle w:val="Normal"/>
        <w:spacing w:lineRule="auto" w:line="360"/>
        <w:ind w:firstLine="709"/>
        <w:rPr>
          <w:rFonts w:eastAsia="Times New Roman"/>
          <w:lang w:eastAsia="pt-BR"/>
        </w:rPr>
      </w:pPr>
      <w:r>
        <w:rPr>
          <w:rFonts w:eastAsia="Times New Roman"/>
          <w:lang w:eastAsia="pt-BR"/>
        </w:rPr>
        <w:t>Ciclos de Taxa de Juros: A taxa básica de juros (Selic) experimentou uma variação extrema, partindo de patamares elevados, caindo para sua mínima histórica em 2020 e, subsequentemente, passando por um ciclo de alta acentuado para combater a inflação.</w:t>
      </w:r>
    </w:p>
    <w:p>
      <w:pPr>
        <w:pStyle w:val="Normal"/>
        <w:spacing w:lineRule="auto" w:line="360"/>
        <w:ind w:firstLine="709"/>
        <w:rPr>
          <w:rFonts w:eastAsia="Times New Roman"/>
          <w:lang w:eastAsia="pt-BR"/>
        </w:rPr>
      </w:pPr>
      <w:r>
        <w:rPr>
          <w:rFonts w:eastAsia="Times New Roman"/>
          <w:lang w:eastAsia="pt-BR"/>
        </w:rPr>
        <w:t>A Pandemia de COVID-19 (a partir de 2020): Um choque global sem precedentes que provocou uma queda abrupta nos mercados em março de 2020, seguida por uma recuperação impulsionada por estímulos fiscais e monetários.</w:t>
      </w:r>
    </w:p>
    <w:p>
      <w:pPr>
        <w:pStyle w:val="Normal"/>
        <w:spacing w:lineRule="auto" w:line="360"/>
        <w:ind w:firstLine="709"/>
        <w:rPr>
          <w:rFonts w:eastAsia="Times New Roman"/>
          <w:lang w:eastAsia="pt-BR"/>
        </w:rPr>
      </w:pPr>
      <w:r>
        <w:rPr>
          <w:rFonts w:eastAsia="Times New Roman"/>
          <w:lang w:eastAsia="pt-BR"/>
        </w:rPr>
        <w:t>Períodos de Otimismo e Crescimento: A década também conteve fases de recuperação econômica e otimismo do mercado, permitindo avaliar o desempenho das estratégias em cenários mais favoráveis.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Analisar o comportamento dos portfólios ao longo de um período tão heterogêneo é fundamental para evitar conclusões que sejam dependentes de uma conjuntura de mercado específica. Uma estratégia que performa bem apenas em mercados de alta pode não ser adequada para o investidor de longo prazo, que inevitavelmente enfrentará períodos de retração. Portanto, a amplitude e a diversidade de eventos dentro da janela de 2014-2024 conferem maior validade externa aos resultados da pesquisa.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Para a execução da pesquisa, foram utilizados dados secundários de fontes públicas e amplamente reconhecidas pela comunidade financeira. A coleta de dados foi automatizada por meio de ferramentas de software para garantir a eficiência e a precisão do processo. As principais fontes e ferramentas foram:</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Yahoo Finance: Esta plataforma foi a fonte primária para a coleta de dados de preços dos ETFs e do Índice Bovespa. O Yahoo Finance agrega dados de diversas bolsas de valores globais, incluindo a B3, e é uma fonte padrão em pesquisas acadêmicas e análises de mercado devido à sua acessibilidade e vasta cobertura histórica.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Banco Central do Brasil (BCB): A taxa DI, utilizada como proxy para a taxa de juros livre de risco, foi obtida a partir das séries temporais disponibilizadas pelo BCB. A taxa DI está intimamente ligada à taxa Selic e reflete o custo do dinheiro em operações interbancárias, sendo o benchmark de rentabilidade mais comum para investimentos de baixo risco no Brasil.</w:t>
      </w:r>
    </w:p>
    <w:p>
      <w:pPr>
        <w:pStyle w:val="Normal"/>
        <w:spacing w:lineRule="auto" w:line="360"/>
        <w:ind w:firstLine="709"/>
        <w:rPr>
          <w:rFonts w:eastAsia="Times New Roman"/>
          <w:lang w:eastAsia="pt-BR"/>
        </w:rPr>
      </w:pPr>
      <w:r>
        <w:rPr>
          <w:rFonts w:eastAsia="Times New Roman"/>
          <w:lang w:eastAsia="pt-BR"/>
        </w:rPr>
        <w:t>As seguintes variáveis foram coletadas para cada ativo e indicador no período de análise:</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Preços Diários de Fechamento: Para cada um dos ETFs da amostra e para o Índice Bovespa, foram coletados os preços diários de fechamento. Foi utilizada a série de preços já ajustada para proventos (dividendos e juros sobre capital próprio) e eventos corporativos (desdobramentos e grupamentos), garantindo que os retornos calculados reflitam a rentabilidade total para o investidor.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Taxa DI Diária: Foi coletada a série histórica da taxa DI diária, que foi posteriormente convertida para uma base anual para ser utilizada nos cálculos das métricas de desempenho que requerem uma taxa livre de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tratamento dos dados consistiu, primeiramente, na verificação da integridade das séries, alinhando as datas de todos os ativos e tratando dados ausentes. Linhas correspondentes a dias sem pregão na B3 ou com dados faltantes para qualquer um dos ativos foram removidas do conjunto de dados final, garantindo que todas as análises subsequentes fossem realizadas sobre uma base de dados consistente e sincronizada. A partir dos preços diários de fechamento ajustados (P t ), os retornos diários (R t) foram calculados para cada ativo utilizando a variação logarítmica ou, como implementado no código, a variação percentual simples, conforme a eq</w:t>
      </w:r>
      <w:r>
        <w:rPr>
          <w:rFonts w:eastAsia="Times New Roman"/>
          <w:lang w:eastAsia="pt-BR"/>
        </w:rPr>
        <w:t>uação a seguir</w:t>
      </w: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R t   = </w:t>
      </w:r>
      <w:r>
        <w:rPr>
          <w:rFonts w:eastAsia="Times New Roman"/>
          <w:lang w:eastAsia="pt-BR"/>
        </w:rPr>
        <w:t xml:space="preserve">P </w:t>
      </w:r>
      <w:r>
        <w:rPr>
          <w:rFonts w:eastAsia="Times New Roman"/>
          <w:lang w:eastAsia="pt-BR"/>
        </w:rPr>
        <w:t xml:space="preserve">t−1 P t  −P t−1 </w:t>
      </w:r>
    </w:p>
    <w:p>
      <w:pPr>
        <w:pStyle w:val="Normal"/>
        <w:spacing w:lineRule="auto" w:line="360"/>
        <w:ind w:hanging="0"/>
        <w:rPr>
          <w:rFonts w:eastAsia="Times New Roman"/>
          <w:lang w:eastAsia="pt-BR"/>
        </w:rPr>
      </w:pPr>
      <w:r>
        <w:rPr>
          <w:rFonts w:eastAsia="Times New Roman"/>
          <w:lang w:eastAsia="pt-BR"/>
        </w:rPr>
        <w:t>onde, P t   é o preço de fechamento no dia t, e P t−1  é o preço de fechamento no dia anterior.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Todo o processo de coleta, tratamento de dados, simulação das estratégias e cálculo das métricas foi implementado utilizando a linguagem de programação Python (versão 3.</w:t>
      </w:r>
      <w:r>
        <w:rPr>
          <w:rFonts w:eastAsia="Times New Roman"/>
          <w:lang w:eastAsia="pt-BR"/>
        </w:rPr>
        <w:t>13</w:t>
      </w:r>
      <w:r>
        <w:rPr>
          <w:rFonts w:eastAsia="Times New Roman"/>
          <w:lang w:eastAsia="pt-BR"/>
        </w:rPr>
        <w:t xml:space="preserve"> ou superior), apoiada por um conjunto de bibliotecas de código aberto especializadas em análise de dados e finanças. A escolha pelo Python se deu por sua flexibilidade, vasto ecossistema de bibliotecas e por ser a linguagem padrão na indústria para finanças quantitativas. As principais bibliotecas utilizadas foram: Pandas, NumPy, yfinance -  Biblioteca utilizada para se conectar à API do Yahoo Finance e baixar de forma programática os dados históricos de preços dos ativos – PyPortfolioOpt, riskparityportfolio, scikit-learn, Matplotlib e Seaborn.</w:t>
      </w:r>
    </w:p>
    <w:p>
      <w:pPr>
        <w:pStyle w:val="Normal"/>
        <w:spacing w:lineRule="auto" w:line="360"/>
        <w:ind w:firstLine="709"/>
        <w:rPr>
          <w:rFonts w:eastAsia="Times New Roman"/>
          <w:lang w:eastAsia="pt-BR"/>
        </w:rPr>
      </w:pPr>
      <w:r>
        <w:rPr>
          <w:rFonts w:eastAsia="Times New Roman"/>
          <w:lang w:eastAsia="pt-BR"/>
        </w:rPr>
        <w:t xml:space="preserve">Para avaliar o desempenho das estratégias, foi construído um motor de backtesting em Python. A simulação segue um desenho de rebalanceamento periódico com base em um histórico expansivo (expanding window). A lógica da simulação é </w:t>
      </w:r>
      <w:r>
        <w:rPr>
          <w:rFonts w:eastAsia="Times New Roman"/>
          <w:lang w:eastAsia="pt-BR"/>
        </w:rPr>
        <w:t>descrita a seguir</w:t>
      </w: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Capital Inicial: A simulação inicia no primeiro dia do período de análise com um capital hipotético de R$ 100.000,00 para cada uma das quatro carteiras.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Cálculo Inicial dos Pesos: No primeiro dia, para cada estratégia, são calculados os pesos ótimos a serem alocados em cada ETF. Este cálculo utiliza todo o histórico de dados disponível até o dia anterior.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Cálculo Diário dos Retornos: Diariamente, o retorno de cada portfólio é calculado como a média ponderada dos retornos diários dos ETFs que o compõem, utilizando os pesos definidos no último rebalanceamento. O valor do portfólio é então atualizado com base nesse retorno.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Rebalanceamento Periódico: A cada três meses (trimestralmente), os pesos de cada portfólio são recalculados (rebalanceados). O cálculo para o rebalanceamento em uma data T utiliza uma janela de dados expansiva, ou seja, todos os dados históricos disponíveis desde o início do período até a data T−1. Após o recálculo, a carteira é ajustada para os novos pesos ótimos, que serão mantidos até a próxima data de rebalanceamento.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Custos de Transação e Impostos: Para fins de simplificação e para focar na comparação da eficácia intrínseca das estratégias de alocação, a simulação não considera custos de transação (corretagem, emolumentos) nem o impacto de impostos sobre ganhos de capital. Esta é uma limitação que deve ser considerada na interpretação dos resultados.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A estratégia de pesos iguais é a mais simples e serve como um importante benchmark de robustez. Em cada data de rebalanceamento, o capital é realocado de forma que cada um dos N ETFs da amostra tenha um peso ω i idêntico no portfólio, conforme a </w:t>
      </w:r>
      <w:r>
        <w:rPr>
          <w:rFonts w:eastAsia="Times New Roman"/>
          <w:lang w:eastAsia="pt-BR"/>
        </w:rPr>
        <w:t>seguinte equação</w:t>
      </w: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 xml:space="preserve">ωi  = N 1 (7) </w:t>
      </w:r>
    </w:p>
    <w:p>
      <w:pPr>
        <w:pStyle w:val="Normal"/>
        <w:spacing w:lineRule="auto" w:line="360"/>
        <w:ind w:hanging="0"/>
        <w:rPr>
          <w:rFonts w:eastAsia="Times New Roman"/>
          <w:lang w:eastAsia="pt-BR"/>
        </w:rPr>
      </w:pPr>
      <w:r>
        <w:rPr>
          <w:rFonts w:eastAsia="Times New Roman"/>
          <w:lang w:eastAsia="pt-BR"/>
        </w:rPr>
        <w:t>onde, N é o número total de ETFs na carteira.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relevância desta estratégia, conforme destacado por DeMiguel et al. (2009), reside em sua total isenção de erros de estimação, uma vez que não requer nenhum parâmetro de entrada (como retornos esperados ou covariâncias). Sua performance, portanto, reflete o puro benefício da diversificação ingênua, e qualquer estratégia mais complexa deve demonstrar ser capaz de superá-la de forma consistente para justificar sua sofisticação e potenciais falhas.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Esta estratégia busca implementar a Teoria Moderna de Portfólios de Markowitz (1952). Em cada data de rebalanceamento, o objetivo é encontrar o portfólio que oferece a maior relação risco-retorno, o que é comumente traduzido como a maximização do Índice de Sharpe. O problema de otimização consiste em encontrar o vetor de pesos ω que maximiza a seguinte função, sujeito à restrição de que a soma dos pesos seja igual a 1 (ω T 1=1):</w:t>
      </w:r>
    </w:p>
    <w:p>
      <w:pPr>
        <w:pStyle w:val="Normal"/>
        <w:spacing w:lineRule="auto" w:line="360"/>
        <w:ind w:firstLine="709"/>
        <w:rPr>
          <w:rFonts w:eastAsia="Times New Roman"/>
          <w:lang w:eastAsia="pt-BR"/>
        </w:rPr>
      </w:pPr>
      <w:r>
        <w:rPr>
          <w:rFonts w:eastAsia="Times New Roman"/>
          <w:lang w:eastAsia="pt-BR"/>
        </w:rPr>
        <w:t xml:space="preserve">Sharpe = σ p R p  −R f  = ω T  Σω ω  T  μ−R  f </w:t>
      </w:r>
    </w:p>
    <w:p>
      <w:pPr>
        <w:pStyle w:val="Normal"/>
        <w:spacing w:lineRule="auto" w:line="360"/>
        <w:ind w:hanging="0"/>
        <w:rPr>
          <w:rFonts w:eastAsia="Times New Roman"/>
          <w:lang w:eastAsia="pt-BR"/>
        </w:rPr>
      </w:pPr>
      <w:r>
        <w:rPr>
          <w:rFonts w:eastAsia="Times New Roman"/>
          <w:lang w:eastAsia="pt-BR"/>
        </w:rPr>
        <w:t>onde, ω é o vetor de pesos dos ativos, μ é o vetor de retornos esperados dos ativos, Σ é a matriz de covariância dos retornos dos ativos, e R f   é a taxa livre de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Consciente da notória instabilidade da otimização de Markowitz a erros de estimação, especialmente na matriz de covariância Σ, esta pesquisa adotou uma melhoria metodológica crucial: a utilização de um estimador de covariância com shrinkage, conforme proposto por Ledoit e Wolf (2004). O estimador de shrinkage (Σ shrunk  ) é uma combinação ponderada da matriz de covariância amostral (Σ sample ) e uma matriz alvo mais estruturada e estável (F), como a matriz de um modelo de fator único:</w:t>
      </w:r>
    </w:p>
    <w:p>
      <w:pPr>
        <w:pStyle w:val="Normal"/>
        <w:spacing w:lineRule="auto" w:line="360"/>
        <w:ind w:firstLine="709"/>
        <w:rPr>
          <w:rFonts w:eastAsia="Times New Roman"/>
          <w:lang w:eastAsia="pt-BR"/>
        </w:rPr>
      </w:pPr>
      <w:r>
        <w:rPr>
          <w:rFonts w:eastAsia="Times New Roman"/>
          <w:lang w:eastAsia="pt-BR"/>
        </w:rPr>
        <w:t>Σ shrunk  = δF+(1−δ)Σ   (9)</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fator de encolhimento, δ, é escolhido de forma ótima para minimizar o erro quadrático esperado. Essa técnica reduz o impacto de valores extremos na matriz de covariância amostral, resultando em pesos de portfólio mais estáveis e um desempenho fora da amostra geralmente mais robusto. A implementação foi realizada com o auxílio da biblioteca PyPortfolioOpt.</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3.5.4. Detalhamento da Estratégia de Paridade de Risco (Risk Parity)</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estratégia de Paridade de Risco, ou Risk Parity [RP], afasta-se da otimização média-variância e foca em um princípio diferente de diversificação: a equalização da contribuição de risco de cada ativo para o risco total do portfólio. A contribuição marginal de um ativo i para a volatilidade do portfólio (σ p) é dada por:</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CR i  = ω i ∂ω i ∂σ p  = σ p ω i  (Σω) i   (10)</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O objetivo da estratégia de RP, conforme detalhado por Maillard et al. (2010), é encontrar um vetor de pesos ω tal que a contribuição de risco total de cada ativo (TC i =ω i  CR i  ) seja a mesma para todos os ativos na carteira. Ou seja: </w:t>
      </w:r>
    </w:p>
    <w:p>
      <w:pPr>
        <w:pStyle w:val="Normal"/>
        <w:spacing w:lineRule="auto" w:line="360"/>
        <w:ind w:firstLine="709"/>
        <w:rPr>
          <w:rFonts w:eastAsia="Times New Roman"/>
          <w:lang w:eastAsia="pt-BR"/>
        </w:rPr>
      </w:pPr>
      <w:r>
        <w:rPr>
          <w:rFonts w:eastAsia="Times New Roman"/>
          <w:lang w:eastAsia="pt-BR"/>
        </w:rPr>
        <w:t xml:space="preserve">ω </w:t>
      </w:r>
    </w:p>
    <w:p>
      <w:pPr>
        <w:pStyle w:val="Normal"/>
        <w:spacing w:lineRule="auto" w:line="360"/>
        <w:ind w:firstLine="709"/>
        <w:rPr>
          <w:rFonts w:eastAsia="Times New Roman"/>
          <w:lang w:eastAsia="pt-BR"/>
        </w:rPr>
      </w:pPr>
      <w:r>
        <w:rPr>
          <w:rFonts w:eastAsia="Times New Roman"/>
          <w:lang w:eastAsia="pt-BR"/>
        </w:rPr>
        <w:t>i</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w:t>
      </w:r>
      <w:r>
        <w:rPr>
          <w:rFonts w:eastAsia="Times New Roman"/>
          <w:lang w:eastAsia="pt-BR"/>
        </w:rPr>
        <w:t xml:space="preserve">ω </w:t>
      </w:r>
    </w:p>
    <w:p>
      <w:pPr>
        <w:pStyle w:val="Normal"/>
        <w:spacing w:lineRule="auto" w:line="360"/>
        <w:ind w:firstLine="709"/>
        <w:rPr>
          <w:rFonts w:eastAsia="Times New Roman"/>
          <w:lang w:eastAsia="pt-BR"/>
        </w:rPr>
      </w:pPr>
      <w:r>
        <w:rPr>
          <w:rFonts w:eastAsia="Times New Roman"/>
          <w:lang w:eastAsia="pt-BR"/>
        </w:rPr>
        <w:t>i</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w:t>
      </w:r>
      <w:r>
        <w:rPr>
          <w:rFonts w:eastAsia="Times New Roman"/>
          <w:lang w:eastAsia="pt-BR"/>
        </w:rPr>
        <w:t xml:space="preserve">σ </w:t>
      </w:r>
    </w:p>
    <w:p>
      <w:pPr>
        <w:pStyle w:val="Normal"/>
        <w:spacing w:lineRule="auto" w:line="360"/>
        <w:ind w:firstLine="709"/>
        <w:rPr>
          <w:rFonts w:eastAsia="Times New Roman"/>
          <w:lang w:eastAsia="pt-BR"/>
        </w:rPr>
      </w:pPr>
      <w:r>
        <w:rPr>
          <w:rFonts w:eastAsia="Times New Roman"/>
          <w:lang w:eastAsia="pt-BR"/>
        </w:rPr>
        <w:t>p</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r>
        <w:rPr>
          <w:rFonts w:eastAsia="Times New Roman"/>
          <w:lang w:eastAsia="pt-BR"/>
        </w:rPr>
        <w:t xml:space="preserve">=ω </w:t>
      </w:r>
    </w:p>
    <w:p>
      <w:pPr>
        <w:pStyle w:val="Normal"/>
        <w:spacing w:lineRule="auto" w:line="360"/>
        <w:ind w:firstLine="709"/>
        <w:rPr>
          <w:rFonts w:eastAsia="Times New Roman"/>
          <w:lang w:eastAsia="pt-BR"/>
        </w:rPr>
      </w:pPr>
      <w:r>
        <w:rPr>
          <w:rFonts w:eastAsia="Times New Roman"/>
          <w:lang w:eastAsia="pt-BR"/>
        </w:rPr>
        <w:t>j</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w:t>
      </w:r>
      <w:r>
        <w:rPr>
          <w:rFonts w:eastAsia="Times New Roman"/>
          <w:lang w:eastAsia="pt-BR"/>
        </w:rPr>
        <w:t xml:space="preserve">ω </w:t>
      </w:r>
    </w:p>
    <w:p>
      <w:pPr>
        <w:pStyle w:val="Normal"/>
        <w:spacing w:lineRule="auto" w:line="360"/>
        <w:ind w:firstLine="709"/>
        <w:rPr>
          <w:rFonts w:eastAsia="Times New Roman"/>
          <w:lang w:eastAsia="pt-BR"/>
        </w:rPr>
      </w:pPr>
      <w:r>
        <w:rPr>
          <w:rFonts w:eastAsia="Times New Roman"/>
          <w:lang w:eastAsia="pt-BR"/>
        </w:rPr>
        <w:t>j</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w:t>
      </w:r>
      <w:r>
        <w:rPr>
          <w:rFonts w:eastAsia="Times New Roman"/>
          <w:lang w:eastAsia="pt-BR"/>
        </w:rPr>
        <w:t xml:space="preserve">σ </w:t>
      </w:r>
    </w:p>
    <w:p>
      <w:pPr>
        <w:pStyle w:val="Normal"/>
        <w:spacing w:lineRule="auto" w:line="360"/>
        <w:ind w:firstLine="709"/>
        <w:rPr>
          <w:rFonts w:eastAsia="Times New Roman"/>
          <w:lang w:eastAsia="pt-BR"/>
        </w:rPr>
      </w:pPr>
      <w:r>
        <w:rPr>
          <w:rFonts w:eastAsia="Times New Roman"/>
          <w:lang w:eastAsia="pt-BR"/>
        </w:rPr>
        <w:t>p</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p>
    <w:p>
      <w:pPr>
        <w:pStyle w:val="Normal"/>
        <w:spacing w:lineRule="auto" w:line="360"/>
        <w:ind w:firstLine="709"/>
        <w:rPr>
          <w:rFonts w:eastAsia="Times New Roman"/>
          <w:lang w:eastAsia="pt-BR"/>
        </w:rPr>
      </w:pPr>
      <w:r>
        <w:rPr>
          <w:rFonts w:eastAsia="Times New Roman"/>
          <w:lang w:eastAsia="pt-BR"/>
        </w:rPr>
        <w:t>​</w:t>
      </w:r>
    </w:p>
    <w:p>
      <w:pPr>
        <w:pStyle w:val="Normal"/>
        <w:spacing w:lineRule="auto" w:line="360"/>
        <w:ind w:firstLine="709"/>
        <w:rPr>
          <w:rFonts w:eastAsia="Times New Roman"/>
          <w:lang w:eastAsia="pt-BR"/>
        </w:rPr>
      </w:pPr>
      <w:r>
        <w:rPr>
          <w:rFonts w:eastAsia="Times New Roman"/>
          <w:lang w:eastAsia="pt-BR"/>
        </w:rPr>
        <w:t xml:space="preserve"> ∀</w:t>
      </w:r>
      <w:r>
        <w:rPr>
          <w:rFonts w:eastAsia="Times New Roman"/>
          <w:lang w:eastAsia="pt-BR"/>
        </w:rPr>
        <w:t>i,j (11)</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Como não existe uma solução analítica fechada para este problema, ele deve ser resolvido numericamente por meio de algoritmos de otimização. Nesta pesquisa, a solução foi implementada utilizando a biblioteca riskparityportfolio, que resolve o problema de otimização para encontrar os pesos que satisfazem a condição de paridade de risco. Essa abordagem tende a produzir portfólios menos concentrados em ativos de alta volatilidade, o que pode ser particularmente vantajoso em mercados turbulentos.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estratégia GBI representa uma mudança de paradigma, alinhando a construção do portfólio diretamente aos objetivos de vida do investidor. A implementação nesta pesquisa seguiu o framework descrito por Brunel (2015) e Das et al. (2010), envolvendo os seguintes passos em cada data de rebalanceamento: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Definição das Metas: Foram estabelecidas duas metas hipotéticas para um investidor, cada uma com um perfil de risco-retorno distinto, simulando a necessidade de gerir objetivos concorrentes: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Meta "Segurança": Um objetivo de menor prazo e com alta aversão a perdas. Requer um portfólio com baixa volatilidade e maior foco na preservação de capital.</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Meta "Crescimento": Um objetivo de mais longo prazo com maior tolerância a risco, buscando uma valorização mais expressiva do capital.</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Alocação de Capital entre as Metas: O capital total do investidor foi dividido entre as duas metas. Conforme definido no arquivo config.py, 40% do capital foi alocado à meta "Segurança" e 60% à meta "Crescimento".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Mapeamento de Ativos para as Metas: Os ETFs da amostra foram mapeados para cada meta de acordo com suas características de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Portfólio Segurança: Composto por ETFs de menor volatilidade intrínseca (IMAB11.SA, GOLD11.SA).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Portfólio Crescimento: Composto por ETFs de renda variável, com maior potencial de retorno e risco (BOVA11.SA, SMAL11.SA, IVVB11.SA, PIBB11.SA).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Otimização dos Sub-Portfólios: Cada sub-portfólio (meta) foi otimizado individualmente. Para esta simulação, foi utilizada a otimização de Markowitz (maximização do Índice de Sharpe com shrinkage) dentro do universo de ativos de cada meta.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Construção do Portfólio Agregado: O portfólio final do GBI é a soma ponderada dos sub-portfólios otimizados. Os pesos finais de cada ativo no portfólio agregado são o resultado da ponderação do seu peso no sub-portfólio pela ponderação da meta no capital total.</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Esta estrutura permite que o GBI equilibre de forma explícita objetivos de preservação e de crescimento, uma abordagem que espelha de forma mais próxima o processo decisório de investidores reais.</w:t>
      </w:r>
    </w:p>
    <w:p>
      <w:pPr>
        <w:pStyle w:val="Normal"/>
        <w:spacing w:lineRule="auto" w:line="360"/>
        <w:ind w:firstLine="709"/>
        <w:rPr>
          <w:rFonts w:eastAsia="Times New Roman"/>
          <w:lang w:eastAsia="pt-BR"/>
        </w:rPr>
      </w:pPr>
      <w:r>
        <w:rPr>
          <w:rFonts w:eastAsia="Times New Roman"/>
          <w:lang w:eastAsia="pt-BR"/>
        </w:rPr>
        <w:t>Para avaliar e comparar o desempenho dos quatro portfólios simulados, foi calculado um conjunto abrangente de métricas de risco e retorno, todas baseadas em fontes acadêmicas e práticas de mercado (Feibel, 2003).</w:t>
      </w:r>
    </w:p>
    <w:p>
      <w:pPr>
        <w:pStyle w:val="Normal"/>
        <w:spacing w:lineRule="auto" w:line="360"/>
        <w:ind w:firstLine="709"/>
        <w:rPr>
          <w:rFonts w:eastAsia="Times New Roman"/>
          <w:lang w:eastAsia="pt-BR"/>
        </w:rPr>
      </w:pPr>
      <w:r>
        <w:rPr>
          <w:rFonts w:eastAsia="Times New Roman"/>
          <w:lang w:eastAsia="pt-BR"/>
        </w:rPr>
        <w:t>O retorno total acumulado mede o ganho percentual total do investimento ao longo de todo o período. O retorno anualizado converte este retorno para uma base anual, permitindo comparações padronizadas.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R anual  =((1+R total  ) N 252  )−1 (12)</w:t>
      </w:r>
    </w:p>
    <w:p>
      <w:pPr>
        <w:pStyle w:val="Normal"/>
        <w:spacing w:lineRule="auto" w:line="360"/>
        <w:ind w:hanging="0"/>
        <w:rPr>
          <w:rFonts w:eastAsia="Times New Roman"/>
          <w:lang w:eastAsia="pt-BR"/>
        </w:rPr>
      </w:pPr>
      <w:r>
        <w:rPr>
          <w:rFonts w:eastAsia="Times New Roman"/>
          <w:lang w:eastAsia="pt-BR"/>
        </w:rPr>
        <w:t>onde, R total é o retorno total do período, N é o número total de dias de negociação no período, e 252 é o número aproximado de dias de negociação em um ano.</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A volatilidade é a métrica mais comum de risco total, medindo a dispersão dos retornos de um ativo ou portfólio em torno de sua média. É calculada como o desvio-padrão dos retornos diários, anualizado pela raiz quadrada do número de períodos.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σ anual ​ = σ diario  × 252   (13)</w:t>
      </w:r>
    </w:p>
    <w:p>
      <w:pPr>
        <w:pStyle w:val="Normal"/>
        <w:spacing w:lineRule="auto" w:line="360"/>
        <w:ind w:hanging="0"/>
        <w:rPr>
          <w:rFonts w:eastAsia="Times New Roman"/>
          <w:lang w:eastAsia="pt-BR"/>
        </w:rPr>
      </w:pPr>
      <w:r>
        <w:rPr>
          <w:rFonts w:eastAsia="Times New Roman"/>
          <w:lang w:eastAsia="pt-BR"/>
        </w:rPr>
        <w:t>onde, σ diario é o desvio-padrão dos retornos diários.</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Desenvolvido por William F. Sharpe (1966), este índice mede o retorno excedente (acima da taxa livre de risco) por unidade de risco total (volatilidade). Um valor mais alto indica um melhor desempenho ajustado ao risco.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Sharpe = σ p R p  −R f  (14) </w:t>
      </w:r>
    </w:p>
    <w:p>
      <w:pPr>
        <w:pStyle w:val="Normal"/>
        <w:spacing w:lineRule="auto" w:line="360"/>
        <w:ind w:hanging="0"/>
        <w:rPr>
          <w:rFonts w:eastAsia="Times New Roman"/>
          <w:lang w:eastAsia="pt-BR"/>
        </w:rPr>
      </w:pPr>
      <w:r>
        <w:rPr>
          <w:rFonts w:eastAsia="Times New Roman"/>
          <w:lang w:eastAsia="pt-BR"/>
        </w:rPr>
        <w:t>onde, R p é o retorno anualizado do portfólio, R f é a taxa livre de risco anualizada, e σ p é a volatilidade anualizada do portfólio.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Uma modificação do Índice de Sharpe, o Índice de Sortino (Sortino e Price, 1994) diferencia a volatilidade "ruim" (retornos abaixo de um alvo) da volatilidade "boa". Ele mede o retorno excedente por unidade de risco de queda (downside risk), sendo mais adequado para avaliar retornos com distribuições assimétricas.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Sortino= σ down ​R p  −R alvo (15) </w:t>
      </w:r>
    </w:p>
    <w:p>
      <w:pPr>
        <w:pStyle w:val="Normal"/>
        <w:spacing w:lineRule="auto" w:line="360"/>
        <w:ind w:hanging="0"/>
        <w:rPr>
          <w:rFonts w:eastAsia="Times New Roman"/>
          <w:lang w:eastAsia="pt-BR"/>
        </w:rPr>
      </w:pPr>
      <w:r>
        <w:rPr>
          <w:rFonts w:eastAsia="Times New Roman"/>
          <w:lang w:eastAsia="pt-BR"/>
        </w:rPr>
        <w:t xml:space="preserve">onde, R alvo é a taxa de retorno alvo (neste estudo, a taxa livre de risco), e σ down é o desvio-padrão dos retornos que ficaram abaixo de R alvo. </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Maximum Drawdown mede a maior perda percentual de um portfólio desde um pico anterior até um vale subsequente. É uma medida do risco de perda extrema, indicando o pior cenário de perda que um investidor teria enfrentado no período.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 xml:space="preserve">MDD =  Valor pico Valor pico  − Valor vale </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hanging="0"/>
        <w:rPr>
          <w:rFonts w:eastAsia="Times New Roman"/>
          <w:lang w:eastAsia="pt-BR"/>
        </w:rPr>
      </w:pPr>
      <w:r>
        <w:rPr>
          <w:rFonts w:eastAsia="Times New Roman"/>
          <w:lang w:eastAsia="pt-BR"/>
        </w:rPr>
        <w:t>O cálculo é feito sobre a série temporal de valores acumulados do portfólio.</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O Alfa de Jensen (Jensen, 1968) mede o retorno ajustado ao risco de um portfólio em relação ao retorno previsto pelo Capital Asset Pricing Model [CAPM]. Um Alfa positivo e significativo indica que o portfólio gerou retornos superiores ao que seria esperado para seu nível de risco sistemático (beta).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α=R p ​ −[R f  +β p  (Rm  − Rf )] (17)</w:t>
      </w:r>
    </w:p>
    <w:p>
      <w:pPr>
        <w:pStyle w:val="Normal"/>
        <w:spacing w:lineRule="auto" w:line="360"/>
        <w:ind w:hanging="0"/>
        <w:rPr>
          <w:rFonts w:eastAsia="Times New Roman"/>
          <w:lang w:eastAsia="pt-BR"/>
        </w:rPr>
      </w:pPr>
      <w:r>
        <w:rPr>
          <w:rFonts w:eastAsia="Times New Roman"/>
          <w:lang w:eastAsia="pt-BR"/>
        </w:rPr>
        <w:t>onde, β p   é o beta do portfólio (medida de seu risco sistemático em relação ao mercado), e R m é o retorno anualizado do benchmark de mercado (IBOVESPA).</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Esta é uma métrica específica para a estratégia GBI. Ela foi calculada ao final da simulação, verificando-se para cada meta se o valor final do respectivo sub-portfólio atingiu ou superou um valor alvo predefinido. O valor alvo para cada meta foi estipulado como o capital inicial daquela meta corrigido por uma taxa de retorno mínima aceitável (por exemplo, a inflação do período mais um prêmio). A métrica final representa a porcentagem de metas que foram atingidas com sucesso.</w:t>
      </w:r>
    </w:p>
    <w:p>
      <w:pPr>
        <w:pStyle w:val="Normal"/>
        <w:spacing w:lineRule="auto" w:line="360"/>
        <w:ind w:hanging="0"/>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É fundamental reconhecer as limitações inerentes a este estudo, que devem ser consideradas na interpretação de seus resultados: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Custos de Transação: A simulação não incorpora custos de corretagem, emolumentos da bolsa ou taxas de custódia, o que tende a superestimar o desempenho líquido de todas as estratégias, especialmente aquelas com maior rotatividade.</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Impostos: O impacto do imposto de renda sobre os ganhos de capital no momento do rebalanceamento ou do resgate final não foi modelado.</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Impacto no Mercado e Liquidez: A simulação assume que todas as ordens de compra e venda são executadas aos preços de fechamento registrados, sem impacto no preço do ativo. Esta premissa é razoável para os volumes simulados, mas a liquidez de alguns ETFs no Brasil pode ser um desafio na prática.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Viés de Sobrevivência (Survivorship Bias): Ao selecionar ETFs que existiram durante todo o período, a amostra exclui fundos que podem ter sido lançados e descontinuados por mau desempenho, o que pode enviesar os resultados para cima.</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Especificidade da Amostra e do Período: Os resultados são contingentes à amostra de ETFs e ao período histórico selecionados. Um universo de ativos diferente ou uma janela de tempo distinta poderiam levar a conclusões diferentes.</w:t>
      </w:r>
    </w:p>
    <w:p>
      <w:pPr>
        <w:pStyle w:val="Normal"/>
        <w:spacing w:lineRule="auto" w:line="360"/>
        <w:ind w:firstLine="709"/>
        <w:rPr>
          <w:rFonts w:eastAsia="Times New Roman"/>
          <w:lang w:eastAsia="pt-BR"/>
        </w:rPr>
      </w:pPr>
      <w:r>
        <w:rPr>
          <w:rFonts w:eastAsia="Times New Roman"/>
          <w:lang w:eastAsia="pt-BR"/>
        </w:rPr>
      </w:r>
    </w:p>
    <w:p>
      <w:pPr>
        <w:pStyle w:val="Normal"/>
        <w:spacing w:lineRule="auto" w:line="360"/>
        <w:ind w:firstLine="709"/>
        <w:rPr>
          <w:rFonts w:eastAsia="Times New Roman"/>
          <w:lang w:eastAsia="pt-BR"/>
        </w:rPr>
      </w:pPr>
      <w:r>
        <w:rPr>
          <w:rFonts w:eastAsia="Times New Roman"/>
          <w:lang w:eastAsia="pt-BR"/>
        </w:rPr>
        <w:t>Modelo GBI: A implementação da estratégia GBI é uma entre muitas possíveis. As metas, a alocação de capital entre elas e o método de otimização dos sub-portfólios são premissas que definem o resultado desta estratégia.</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color w:val="000000"/>
        </w:rPr>
      </w:pPr>
      <w:r>
        <w:rPr>
          <w:color w:val="000000"/>
        </w:rPr>
      </w:r>
    </w:p>
    <w:p>
      <w:pPr>
        <w:pStyle w:val="ListParagraph"/>
        <w:spacing w:lineRule="auto" w:line="360"/>
        <w:ind w:left="0"/>
        <w:jc w:val="left"/>
        <w:rPr>
          <w:b/>
        </w:rPr>
      </w:pPr>
      <w:r>
        <w:rPr>
          <w:b/>
        </w:rPr>
        <w:t>Resultados Preliminares</w:t>
      </w:r>
    </w:p>
    <w:p>
      <w:pPr>
        <w:pStyle w:val="ListParagraph"/>
        <w:spacing w:lineRule="auto" w:line="360"/>
        <w:ind w:left="0"/>
        <w:jc w:val="left"/>
        <w:rPr>
          <w:b/>
        </w:rPr>
      </w:pPr>
      <w:r>
        <w:rPr>
          <w:b/>
        </w:rPr>
      </w:r>
    </w:p>
    <w:p>
      <w:pPr>
        <w:pStyle w:val="ListParagraph"/>
        <w:spacing w:lineRule="auto" w:line="360"/>
        <w:ind w:firstLine="709" w:left="0"/>
        <w:rPr>
          <w:rFonts w:ascii="Roboto" w:hAnsi="Roboto"/>
        </w:rPr>
      </w:pPr>
      <w:r>
        <w:rPr/>
        <w:t xml:space="preserve">O título da seção Resultados Preliminares deve ser alinhado à esquerda, grafado em negrito com as primeiras letras das palavras em letras maiúsculas. É permitido que a seção seja dividida em subtópicos, seguindo a de acordo com a descrição feita no item 16.5 Resultados e Discussão e apresentados na mesma ordem da seção Material e Métodos. Nesta seção devem ser apresentados os resultados parciais obtidos na pesquisa, ou seja, os resultados obtidos até o momento. </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ListParagraph"/>
        <w:spacing w:lineRule="auto" w:line="360"/>
        <w:ind w:left="0"/>
        <w:jc w:val="left"/>
        <w:rPr>
          <w:b/>
        </w:rPr>
      </w:pPr>
      <w:r>
        <w:rPr>
          <w:b/>
        </w:rPr>
      </w:r>
    </w:p>
    <w:p>
      <w:pPr>
        <w:pStyle w:val="ListParagraph"/>
        <w:spacing w:lineRule="auto" w:line="360"/>
        <w:ind w:left="0"/>
        <w:jc w:val="left"/>
        <w:rPr>
          <w:highlight w:val="none"/>
          <w:shd w:fill="FFFF00" w:val="clear"/>
        </w:rPr>
      </w:pPr>
      <w:r>
        <w:rPr>
          <w:b/>
          <w:shd w:fill="FFFF00" w:val="clear"/>
        </w:rPr>
        <w:t>Conclusão(ões) ou Considerações Finais</w:t>
      </w:r>
    </w:p>
    <w:p>
      <w:pPr>
        <w:pStyle w:val="ListParagraph"/>
        <w:spacing w:lineRule="auto" w:line="360"/>
        <w:ind w:left="0"/>
        <w:jc w:val="left"/>
        <w:rPr/>
      </w:pPr>
      <w:r>
        <w:rPr/>
      </w:r>
    </w:p>
    <w:p>
      <w:pPr>
        <w:pStyle w:val="ListParagraph"/>
        <w:spacing w:lineRule="auto" w:line="360"/>
        <w:ind w:hanging="0" w:left="0"/>
        <w:rPr>
          <w:bCs/>
        </w:rPr>
      </w:pPr>
      <w:r>
        <w:rPr>
          <w:bCs/>
          <w:shd w:fill="FFFF00" w:val="clear"/>
        </w:rPr>
        <w:t>Opcional para a etapa dos Resultados preliminares.</w:t>
      </w:r>
      <w:r>
        <w:rPr>
          <w:bCs/>
        </w:rPr>
        <w:t xml:space="preserve"> </w:t>
        <w:tab/>
      </w:r>
    </w:p>
    <w:p>
      <w:pPr>
        <w:pStyle w:val="Normal"/>
        <w:spacing w:lineRule="auto" w:line="360"/>
        <w:rPr>
          <w:b/>
        </w:rPr>
      </w:pPr>
      <w:r>
        <w:rPr>
          <w:b/>
        </w:rPr>
      </w:r>
    </w:p>
    <w:p>
      <w:pPr>
        <w:pStyle w:val="Normal"/>
        <w:spacing w:lineRule="auto" w:line="360"/>
        <w:rPr/>
      </w:pPr>
      <w:r>
        <w:rPr/>
      </w:r>
    </w:p>
    <w:p>
      <w:pPr>
        <w:pStyle w:val="Normal"/>
        <w:spacing w:lineRule="auto" w:line="360"/>
        <w:jc w:val="left"/>
        <w:rPr/>
      </w:pPr>
      <w:r>
        <w:rPr>
          <w:b/>
        </w:rPr>
        <w:t xml:space="preserve">Agradecimento </w:t>
      </w:r>
      <w:r>
        <w:rPr/>
        <w:t>(</w:t>
      </w:r>
      <w:r>
        <w:rPr>
          <w:shd w:fill="FFFF00" w:val="clear"/>
        </w:rPr>
        <w:t>opcional</w:t>
      </w:r>
      <w:r>
        <w:rPr/>
        <w:t>, 1 parágrafo, bem sucinto)</w:t>
      </w:r>
    </w:p>
    <w:p>
      <w:pPr>
        <w:pStyle w:val="Normal"/>
        <w:spacing w:lineRule="auto" w:line="360"/>
        <w:rPr/>
      </w:pPr>
      <w:r>
        <w:rPr/>
      </w:r>
    </w:p>
    <w:p>
      <w:pPr>
        <w:pStyle w:val="Normal"/>
        <w:spacing w:lineRule="auto" w:line="360"/>
        <w:rPr>
          <w:b/>
        </w:rPr>
      </w:pPr>
      <w:bookmarkStart w:id="2" w:name="_Hlk33977167"/>
      <w:r>
        <w:rPr>
          <w:b/>
        </w:rPr>
        <w:t>Referências</w:t>
      </w:r>
      <w:bookmarkEnd w:id="2"/>
    </w:p>
    <w:p>
      <w:pPr>
        <w:pStyle w:val="Normal"/>
        <w:spacing w:lineRule="auto" w:line="360"/>
        <w:rPr>
          <w:b/>
        </w:rPr>
      </w:pPr>
      <w:r>
        <w:rPr>
          <w:b/>
        </w:rPr>
      </w:r>
    </w:p>
    <w:p>
      <w:pPr>
        <w:pStyle w:val="Normal"/>
        <w:spacing w:lineRule="auto" w:line="360"/>
        <w:ind w:firstLine="709"/>
        <w:rPr/>
      </w:pPr>
      <w:r>
        <w:rPr/>
        <w:t>Neste tópico deverão ser listadas todas as referências dos trabalhos citados no texto, formatadas seguindo rigorosamente as normas do MBA USP/Esalq. Para mais informações, consulte o “</w:t>
      </w:r>
      <w:hyperlink r:id="rId2">
        <w:r>
          <w:rPr>
            <w:rStyle w:val="Hyperlink"/>
          </w:rPr>
          <w:t>Manual de Instruções e Normas para Trabalhos de Conclusão de Curso</w:t>
        </w:r>
      </w:hyperlink>
      <w:r>
        <w:rPr/>
        <w:t>” disponível no Sistema de TCCs.</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pPr>
      <w:r>
        <w:rPr/>
      </w:r>
    </w:p>
    <w:p>
      <w:pPr>
        <w:pStyle w:val="Normal"/>
        <w:spacing w:lineRule="auto" w:line="360"/>
        <w:rPr>
          <w:b/>
        </w:rPr>
      </w:pPr>
      <w:r>
        <w:rPr>
          <w:b/>
        </w:rPr>
        <w:t xml:space="preserve">Apêndice ou Anexo </w:t>
      </w:r>
      <w:r>
        <w:rPr/>
        <w:t>(opcional)</w:t>
      </w:r>
    </w:p>
    <w:p>
      <w:pPr>
        <w:pStyle w:val="Normal"/>
        <w:spacing w:lineRule="auto" w:line="360"/>
        <w:rPr/>
      </w:pPr>
      <w:r>
        <w:rPr/>
      </w:r>
    </w:p>
    <w:p>
      <w:pPr>
        <w:pStyle w:val="Normal"/>
        <w:spacing w:lineRule="auto" w:line="360"/>
        <w:ind w:firstLine="709"/>
        <w:rPr/>
      </w:pPr>
      <w:r>
        <w:rPr/>
        <w:t xml:space="preserve">Apêndices são textos e/ou documentos que foram elaborados pelo autor e que são importantes para complementar a argumentação do trabalho. Anexos são textos ou documentos que ilustram, mas que não foram elaborados pelos autores. Apêndices deverão seguir as mesmas normas de formatação do restante do texto, inclusive para figuras e tabelas. </w:t>
      </w:r>
    </w:p>
    <w:p>
      <w:pPr>
        <w:pStyle w:val="Normal"/>
        <w:spacing w:lineRule="auto" w:line="360"/>
        <w:rPr/>
      </w:pPr>
      <w:r>
        <w:rPr/>
        <w:t>O TCC deverá conter no máximo 30 páginas, incluindo o(s) Apêndice(s) e/ou Anexo(s).</w:t>
      </w:r>
    </w:p>
    <w:p>
      <w:pPr>
        <w:pStyle w:val="Normal"/>
        <w:spacing w:lineRule="auto" w:line="360"/>
        <w:rPr>
          <w:b/>
        </w:rPr>
      </w:pPr>
      <w:r>
        <w:rPr>
          <w:b/>
        </w:rPr>
        <w:t xml:space="preserve">Atenção: </w:t>
      </w:r>
      <w:r>
        <w:rPr>
          <w:rStyle w:val="normaltextrun"/>
          <w:color w:val="000000"/>
          <w:shd w:fill="FFFFFF" w:val="clear"/>
        </w:rPr>
        <w:t>antes de enviar o arquivo para o Sistema de TCCs, remova todas as instruções originais que estão abaixo do conteúdo dos tópicos.</w:t>
      </w:r>
    </w:p>
    <w:p>
      <w:pPr>
        <w:pStyle w:val="Normal"/>
        <w:spacing w:lineRule="auto" w:line="36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418" w:footer="709" w:bottom="1418"/>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ahoma">
    <w:charset w:val="01"/>
    <w:family w:val="swiss"/>
    <w:pitch w:val="variable"/>
  </w:font>
  <w:font w:name="ArialMT">
    <w:charset w:val="01"/>
    <w:family w:val="roman"/>
    <w:pitch w:val="variable"/>
  </w:font>
  <w:font w:name="Liberation Sans">
    <w:altName w:val="Arial"/>
    <w:charset w:val="01"/>
    <w:family w:val="swiss"/>
    <w:pitch w:val="variable"/>
  </w:font>
  <w:font w:name="Roboto">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15</w:t>
    </w:r>
    <w:r>
      <w:rPr>
        <w:sz w:val="18"/>
        <w:szCs w:val="18"/>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3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7"/>
              <wp:lineTo x="21028" y="20677"/>
              <wp:lineTo x="21028" y="0"/>
              <wp:lineTo x="-2" y="0"/>
            </wp:wrapPolygon>
          </wp:wrapThrough>
          <wp:docPr id="1"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especialista em Finanças e Controladoria – 2025</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16" wp14:anchorId="34FDC6CC">
              <wp:simplePos x="0" y="0"/>
              <wp:positionH relativeFrom="margin">
                <wp:align>right</wp:align>
              </wp:positionH>
              <wp:positionV relativeFrom="paragraph">
                <wp:posOffset>106045</wp:posOffset>
              </wp:positionV>
              <wp:extent cx="5753100" cy="635"/>
              <wp:effectExtent l="1905" t="1905" r="1905" b="1905"/>
              <wp:wrapNone/>
              <wp:docPr id="2"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35pt" to="453.25pt,8.35pt" ID="Conector reto 844941520"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ind w:right="3968"/>
      <w:rPr>
        <w:sz w:val="16"/>
        <w:szCs w:val="17"/>
      </w:rPr>
    </w:pPr>
    <w:r>
      <w:drawing>
        <wp:anchor behindDoc="0" distT="0" distB="0" distL="114300" distR="114300" simplePos="0" locked="0" layoutInCell="0" allowOverlap="1" relativeHeight="31">
          <wp:simplePos x="0" y="0"/>
          <wp:positionH relativeFrom="margin">
            <wp:posOffset>5029200</wp:posOffset>
          </wp:positionH>
          <wp:positionV relativeFrom="paragraph">
            <wp:posOffset>-10160</wp:posOffset>
          </wp:positionV>
          <wp:extent cx="723900" cy="298450"/>
          <wp:effectExtent l="0" t="0" r="0" b="0"/>
          <wp:wrapThrough wrapText="bothSides">
            <wp:wrapPolygon edited="0">
              <wp:start x="-2" y="0"/>
              <wp:lineTo x="-2" y="20677"/>
              <wp:lineTo x="21028" y="20677"/>
              <wp:lineTo x="21028" y="0"/>
              <wp:lineTo x="-2" y="0"/>
            </wp:wrapPolygon>
          </wp:wrapThrough>
          <wp:docPr id="3"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803984902"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723900" cy="298450"/>
                  </a:xfrm>
                  <a:prstGeom prst="rect">
                    <a:avLst/>
                  </a:prstGeom>
                  <a:noFill/>
                </pic:spPr>
              </pic:pic>
            </a:graphicData>
          </a:graphic>
        </wp:anchor>
      </w:drawing>
    </w:r>
    <w:r>
      <w:rPr>
        <w:sz w:val="16"/>
        <w:szCs w:val="17"/>
      </w:rPr>
      <w:t>Trabalho de Conclusão de Curso apresentado para obtenção do título de especialista em Finanças e Controladoria – 2025</w:t>
    </w:r>
  </w:p>
  <w:p>
    <w:pPr>
      <w:pStyle w:val="Header"/>
      <w:tabs>
        <w:tab w:val="clear" w:pos="4252"/>
        <w:tab w:val="clear" w:pos="8504"/>
        <w:tab w:val="left" w:pos="1785" w:leader="none"/>
      </w:tabs>
      <w:rPr/>
    </w:pPr>
    <w:r>
      <mc:AlternateContent>
        <mc:Choice Requires="wps">
          <w:drawing>
            <wp:anchor behindDoc="1" distT="1905" distB="1905" distL="1905" distR="1905" simplePos="0" locked="0" layoutInCell="0" allowOverlap="1" relativeHeight="16" wp14:anchorId="34FDC6CC">
              <wp:simplePos x="0" y="0"/>
              <wp:positionH relativeFrom="margin">
                <wp:align>right</wp:align>
              </wp:positionH>
              <wp:positionV relativeFrom="paragraph">
                <wp:posOffset>106045</wp:posOffset>
              </wp:positionV>
              <wp:extent cx="5753100" cy="635"/>
              <wp:effectExtent l="1905" t="1905" r="1905" b="1905"/>
              <wp:wrapNone/>
              <wp:docPr id="4" name="Conector reto 844941520"/>
              <a:graphic xmlns:a="http://schemas.openxmlformats.org/drawingml/2006/main">
                <a:graphicData uri="http://schemas.microsoft.com/office/word/2010/wordprocessingShape">
                  <wps:wsp>
                    <wps:cNvSpPr/>
                    <wps:spPr>
                      <a:xfrm flipV="1">
                        <a:off x="0" y="0"/>
                        <a:ext cx="5753160" cy="720"/>
                      </a:xfrm>
                      <a:prstGeom prst="line">
                        <a:avLst/>
                      </a:prstGeom>
                      <a:ln w="3175">
                        <a:solidFill>
                          <a:srgbClr val="595959"/>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3pt,8.35pt" to="453.25pt,8.35pt" ID="Conector reto 844941520" stroked="t" o:allowincell="f" style="position:absolute;flip:y;mso-position-horizontal:right;mso-position-horizontal-relative:margin" wp14:anchorId="34FDC6CC">
              <v:stroke color="#595959" weight="3240" joinstyle="round" endcap="flat"/>
              <v:fill o:detectmouseclick="t" on="false"/>
              <w10:wrap type="none"/>
            </v:line>
          </w:pict>
        </mc:Fallback>
      </mc:AlternateContent>
    </w:r>
    <w:r>
      <w:rPr/>
      <w:tab/>
    </w:r>
  </w:p>
  <w:p>
    <w:pPr>
      <w:pStyle w:val="Header"/>
      <w:rPr/>
    </w:pPr>
    <w:r>
      <w:rPr/>
    </w:r>
  </w:p>
</w:hdr>
</file>

<file path=word/settings.xml><?xml version="1.0" encoding="utf-8"?>
<w:settings xmlns:w="http://schemas.openxmlformats.org/wordprocessingml/2006/main">
  <w:zoom w:val="bestFit" w:percent="212"/>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594b"/>
    <w:pPr>
      <w:widowControl/>
      <w:suppressAutoHyphens w:val="true"/>
      <w:bidi w:val="0"/>
      <w:spacing w:lineRule="auto" w:line="276" w:before="0" w:after="0"/>
      <w:jc w:val="both"/>
    </w:pPr>
    <w:rPr>
      <w:rFonts w:ascii="Arial" w:hAnsi="Arial" w:eastAsia="Calibri" w:cs="Arial" w:eastAsiaTheme="minorHAnsi"/>
      <w:color w:val="auto"/>
      <w:kern w:val="0"/>
      <w:sz w:val="22"/>
      <w:szCs w:val="22"/>
      <w:lang w:val="pt-BR" w:eastAsia="en-US" w:bidi="ar-SA"/>
    </w:rPr>
  </w:style>
  <w:style w:type="paragraph" w:styleId="Heading2">
    <w:name w:val="heading 2"/>
    <w:basedOn w:val="Normal"/>
    <w:next w:val="Normal"/>
    <w:link w:val="Ttulo2Char"/>
    <w:uiPriority w:val="9"/>
    <w:unhideWhenUsed/>
    <w:qFormat/>
    <w:rsid w:val="000414df"/>
    <w:pPr>
      <w:keepNext w:val="true"/>
      <w:keepLines/>
      <w:spacing w:before="200" w:after="0"/>
      <w:jc w:val="left"/>
      <w:outlineLvl w:val="1"/>
    </w:pPr>
    <w:rPr>
      <w:rFonts w:eastAsia="" w:cs="" w:cstheme="majorBidi" w:eastAsiaTheme="majorEastAsia"/>
      <w:b/>
      <w:bCs/>
      <w:color w:themeColor="text1" w:val="000000"/>
      <w:szCs w:val="26"/>
      <w:lang w:val="en-US"/>
    </w:rPr>
  </w:style>
  <w:style w:type="character" w:styleId="DefaultParagraphFont" w:default="1">
    <w:name w:val="Default Paragraph Font"/>
    <w:uiPriority w:val="1"/>
    <w:unhideWhenUsed/>
    <w:qFormat/>
    <w:rPr/>
  </w:style>
  <w:style w:type="character" w:styleId="Ttulo2Char" w:customStyle="1">
    <w:name w:val="Título 2 Char"/>
    <w:basedOn w:val="DefaultParagraphFont"/>
    <w:link w:val="Heading2"/>
    <w:uiPriority w:val="9"/>
    <w:qFormat/>
    <w:rsid w:val="000414df"/>
    <w:rPr>
      <w:rFonts w:ascii="Arial" w:hAnsi="Arial" w:eastAsia="" w:cs="" w:cstheme="majorBidi" w:eastAsiaTheme="majorEastAsia"/>
      <w:b/>
      <w:bCs/>
      <w:color w:themeColor="text1" w:val="000000"/>
      <w:szCs w:val="26"/>
      <w:lang w:val="en-US"/>
    </w:rPr>
  </w:style>
  <w:style w:type="character" w:styleId="LineNumber">
    <w:name w:val="line number"/>
    <w:basedOn w:val="DefaultParagraphFont"/>
    <w:uiPriority w:val="99"/>
    <w:semiHidden/>
    <w:unhideWhenUsed/>
    <w:rsid w:val="005f5feb"/>
    <w:rPr/>
  </w:style>
  <w:style w:type="character" w:styleId="CabealhoChar" w:customStyle="1">
    <w:name w:val="Cabeçalho Char"/>
    <w:basedOn w:val="DefaultParagraphFont"/>
    <w:link w:val="Header"/>
    <w:uiPriority w:val="99"/>
    <w:qFormat/>
    <w:rsid w:val="005f5feb"/>
    <w:rPr/>
  </w:style>
  <w:style w:type="character" w:styleId="RodapChar" w:customStyle="1">
    <w:name w:val="Rodapé Char"/>
    <w:basedOn w:val="DefaultParagraphFont"/>
    <w:link w:val="Footer"/>
    <w:uiPriority w:val="99"/>
    <w:qFormat/>
    <w:rsid w:val="005f5feb"/>
    <w:rPr/>
  </w:style>
  <w:style w:type="character" w:styleId="Hyperlink">
    <w:name w:val="Hyperlink"/>
    <w:basedOn w:val="DefaultParagraphFont"/>
    <w:uiPriority w:val="99"/>
    <w:unhideWhenUsed/>
    <w:rsid w:val="00aa1edc"/>
    <w:rPr>
      <w:color w:themeColor="hyperlink" w:val="0000FF"/>
      <w:u w:val="single"/>
    </w:rPr>
  </w:style>
  <w:style w:type="character" w:styleId="TextodebaloChar" w:customStyle="1">
    <w:name w:val="Texto de balão Char"/>
    <w:basedOn w:val="DefaultParagraphFont"/>
    <w:link w:val="BalloonText"/>
    <w:uiPriority w:val="99"/>
    <w:semiHidden/>
    <w:qFormat/>
    <w:rsid w:val="001e108a"/>
    <w:rPr>
      <w:rFonts w:ascii="Tahoma" w:hAnsi="Tahoma" w:cs="Tahoma"/>
      <w:sz w:val="16"/>
      <w:szCs w:val="16"/>
    </w:rPr>
  </w:style>
  <w:style w:type="character" w:styleId="fontstyle01" w:customStyle="1">
    <w:name w:val="fontstyle01"/>
    <w:basedOn w:val="DefaultParagraphFont"/>
    <w:qFormat/>
    <w:rsid w:val="00af384d"/>
    <w:rPr>
      <w:rFonts w:ascii="ArialMT" w:hAnsi="ArialMT"/>
      <w:b w:val="false"/>
      <w:bCs w:val="false"/>
      <w:i w:val="false"/>
      <w:iCs w:val="false"/>
      <w:color w:val="000000"/>
      <w:sz w:val="22"/>
      <w:szCs w:val="22"/>
    </w:rPr>
  </w:style>
  <w:style w:type="character" w:styleId="normaltextrun" w:customStyle="1">
    <w:name w:val="normaltextrun"/>
    <w:basedOn w:val="DefaultParagraphFont"/>
    <w:qFormat/>
    <w:rsid w:val="00df03dc"/>
    <w:rPr/>
  </w:style>
  <w:style w:type="character" w:styleId="UnresolvedMention">
    <w:name w:val="Unresolved Mention"/>
    <w:basedOn w:val="DefaultParagraphFont"/>
    <w:uiPriority w:val="99"/>
    <w:semiHidden/>
    <w:unhideWhenUsed/>
    <w:qFormat/>
    <w:rsid w:val="00a41656"/>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5f5feb"/>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5f5feb"/>
    <w:pPr>
      <w:tabs>
        <w:tab w:val="clear" w:pos="708"/>
        <w:tab w:val="center" w:pos="4252" w:leader="none"/>
        <w:tab w:val="right" w:pos="8504" w:leader="none"/>
      </w:tabs>
      <w:spacing w:lineRule="auto" w:line="240"/>
    </w:pPr>
    <w:rPr/>
  </w:style>
  <w:style w:type="paragraph" w:styleId="BalloonText">
    <w:name w:val="Balloon Text"/>
    <w:basedOn w:val="Normal"/>
    <w:link w:val="TextodebaloChar"/>
    <w:uiPriority w:val="99"/>
    <w:semiHidden/>
    <w:unhideWhenUsed/>
    <w:qFormat/>
    <w:rsid w:val="001e108a"/>
    <w:pPr>
      <w:spacing w:lineRule="auto" w:line="240"/>
    </w:pPr>
    <w:rPr>
      <w:rFonts w:ascii="Tahoma" w:hAnsi="Tahoma" w:cs="Tahoma"/>
      <w:sz w:val="16"/>
      <w:szCs w:val="16"/>
    </w:rPr>
  </w:style>
  <w:style w:type="paragraph" w:styleId="NoSpacing">
    <w:name w:val="No Spacing"/>
    <w:uiPriority w:val="1"/>
    <w:qFormat/>
    <w:rsid w:val="001e108a"/>
    <w:pPr>
      <w:widowControl/>
      <w:suppressAutoHyphens w:val="true"/>
      <w:bidi w:val="0"/>
      <w:spacing w:lineRule="auto" w:line="240" w:before="0" w:after="0"/>
      <w:jc w:val="both"/>
    </w:pPr>
    <w:rPr>
      <w:rFonts w:ascii="Arial" w:hAnsi="Arial" w:eastAsia="Calibri" w:cs="Arial" w:eastAsiaTheme="minorHAnsi"/>
      <w:color w:val="auto"/>
      <w:kern w:val="0"/>
      <w:sz w:val="22"/>
      <w:szCs w:val="22"/>
      <w:lang w:val="pt-BR" w:eastAsia="en-US" w:bidi="ar-SA"/>
    </w:rPr>
  </w:style>
  <w:style w:type="paragraph" w:styleId="ListParagraph">
    <w:name w:val="List Paragraph"/>
    <w:basedOn w:val="Normal"/>
    <w:uiPriority w:val="34"/>
    <w:qFormat/>
    <w:rsid w:val="009629eb"/>
    <w:pPr>
      <w:spacing w:before="0" w:after="0"/>
      <w:ind w:left="720"/>
      <w:contextualSpacing/>
    </w:pPr>
    <w:rPr/>
  </w:style>
  <w:style w:type="paragraph" w:styleId="Revision">
    <w:name w:val="Revision"/>
    <w:uiPriority w:val="99"/>
    <w:semiHidden/>
    <w:qFormat/>
    <w:rsid w:val="00af384d"/>
    <w:pPr>
      <w:widowControl/>
      <w:suppressAutoHyphens w:val="true"/>
      <w:bidi w:val="0"/>
      <w:spacing w:lineRule="auto" w:line="240" w:before="0" w:after="0"/>
      <w:jc w:val="left"/>
    </w:pPr>
    <w:rPr>
      <w:rFonts w:ascii="Arial" w:hAnsi="Arial" w:eastAsia="Calibri" w:cs="Arial" w:eastAsiaTheme="minorHAnsi"/>
      <w:color w:val="auto"/>
      <w:kern w:val="0"/>
      <w:sz w:val="22"/>
      <w:szCs w:val="22"/>
      <w:lang w:val="pt-BR" w:eastAsia="en-US" w:bidi="ar-SA"/>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db4b1b"/>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ropbox.com/scl/fi/m1t43csoioys8x54pz60z/Manual-de-Instru-es-e-Normas-TCC_PT.pdf?rlkey=7isvkxss2lcl9f6gj9tkx9ipw&amp;st=81xbs4gh&amp;dl=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2.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customXml/itemProps3.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189</TotalTime>
  <Application>LibreOffice/25.2.4.3$Linux_X86_64 LibreOffice_project/520$Build-3</Application>
  <AppVersion>15.0000</AppVersion>
  <Pages>15</Pages>
  <Words>4457</Words>
  <Characters>24127</Characters>
  <CharactersWithSpaces>28545</CharactersWithSpaces>
  <Paragraphs>159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2024-06-11T18:04:00Z</dcterms:created>
  <dc:creator>thiago</dc:creator>
  <dc:description/>
  <dc:language>en-US</dc:language>
  <cp:lastModifiedBy/>
  <cp:lastPrinted>2014-09-18T13:37:00Z</cp:lastPrinted>
  <dcterms:modified xsi:type="dcterms:W3CDTF">2025-06-17T22:15:50Z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