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rPr>
      </w:pPr>
      <w:r>
        <w:rPr>
          <w:b/>
        </w:rPr>
        <w:t>Eficácia do Goal-Based Investing com ETFs versus estratégias tradicionais de alocação de portfólio</w:t>
      </w:r>
    </w:p>
    <w:p>
      <w:pPr>
        <w:pStyle w:val="Normal"/>
        <w:spacing w:lineRule="auto" w:line="240"/>
        <w:rPr/>
      </w:pPr>
      <w:r>
        <w:rPr/>
      </w:r>
    </w:p>
    <w:p>
      <w:pPr>
        <w:pStyle w:val="Normal"/>
        <w:spacing w:lineRule="auto" w:line="240"/>
        <w:rPr/>
      </w:pPr>
      <w:r>
        <w:rPr/>
      </w:r>
    </w:p>
    <w:p>
      <w:pPr>
        <w:pStyle w:val="Normal"/>
        <w:spacing w:lineRule="auto" w:line="240"/>
        <w:jc w:val="center"/>
        <w:rPr>
          <w:b/>
          <w:sz w:val="18"/>
        </w:rPr>
      </w:pPr>
      <w:r>
        <w:rPr/>
        <w:t>Silvano Antonio Alves Pereira Junior¹*;</w:t>
      </w:r>
      <w:r>
        <w:rPr>
          <w:vertAlign w:val="superscript"/>
        </w:rPr>
        <w:t xml:space="preserve"> </w:t>
      </w:r>
      <w:r>
        <w:rPr/>
        <w:t>Rogiene Batista dos Santos</w:t>
      </w:r>
      <w:r>
        <w:rPr>
          <w:vertAlign w:val="superscript"/>
        </w:rPr>
        <w:t>2</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sz w:val="18"/>
          <w:szCs w:val="18"/>
          <w:vertAlign w:val="superscript"/>
        </w:rPr>
        <w:t>1</w:t>
      </w:r>
      <w:r>
        <w:rPr/>
        <w:t xml:space="preserve"> ANBIMA</w:t>
      </w:r>
      <w:r>
        <w:rPr>
          <w:sz w:val="18"/>
          <w:szCs w:val="18"/>
        </w:rPr>
        <w:t xml:space="preserve">. Analista Senior de Índices e Preços. 21, Av. das Nações Unidas, 8501 – Pinheiros; 05425-070 São Paulo, São Paulo, Brasil </w:t>
      </w:r>
    </w:p>
    <w:p>
      <w:pPr>
        <w:pStyle w:val="Normal"/>
        <w:spacing w:lineRule="auto" w:line="240"/>
        <w:jc w:val="left"/>
        <w:rPr>
          <w:sz w:val="18"/>
          <w:szCs w:val="18"/>
        </w:rPr>
      </w:pPr>
      <w:r>
        <w:rPr>
          <w:sz w:val="18"/>
          <w:szCs w:val="18"/>
          <w:vertAlign w:val="superscript"/>
        </w:rPr>
        <w:t xml:space="preserve">2 </w:t>
      </w:r>
      <w:r>
        <w:rPr>
          <w:sz w:val="18"/>
          <w:szCs w:val="18"/>
        </w:rPr>
        <w:t>Nome da Empresa ou Instituição (opcional). Titulação ou função ou departamento. Endereço completo (pessoal ou profissional) – Bairro; 00000-000    Cidade, Estado, País</w:t>
      </w:r>
    </w:p>
    <w:p>
      <w:pPr>
        <w:pStyle w:val="Normal"/>
        <w:spacing w:lineRule="auto" w:line="240"/>
        <w:jc w:val="left"/>
        <w:rPr>
          <w:sz w:val="18"/>
          <w:szCs w:val="18"/>
        </w:rPr>
      </w:pPr>
      <w:r>
        <w:rPr>
          <w:sz w:val="18"/>
          <w:szCs w:val="18"/>
        </w:rPr>
        <w:t>*</w:t>
      </w:r>
      <w:bookmarkStart w:id="0" w:name="_Hlk33948379"/>
      <w:bookmarkStart w:id="1" w:name="_Hlk33885760"/>
      <w:r>
        <w:rPr>
          <w:sz w:val="18"/>
          <w:szCs w:val="18"/>
        </w:rPr>
        <w:t>autor correspondente</w:t>
      </w:r>
      <w:bookmarkEnd w:id="1"/>
      <w:r>
        <w:rPr>
          <w:sz w:val="18"/>
          <w:szCs w:val="18"/>
        </w:rPr>
        <w:t xml:space="preserve">: </w:t>
      </w:r>
      <w:bookmarkEnd w:id="0"/>
      <w:r>
        <w:rPr>
          <w:sz w:val="18"/>
          <w:szCs w:val="18"/>
        </w:rPr>
        <w:t>nome@email.com</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b/>
        </w:rPr>
        <w:t>Eficácia do Goal-Based Investing com ETFs versus estratégias tradicionais de alocação de portfólio</w:t>
      </w:r>
    </w:p>
    <w:p>
      <w:pPr>
        <w:pStyle w:val="Normal"/>
        <w:spacing w:lineRule="auto" w:line="240"/>
        <w:jc w:val="center"/>
        <w:rPr>
          <w:b/>
        </w:rPr>
      </w:pPr>
      <w:r>
        <w:rPr>
          <w:b/>
        </w:rPr>
      </w:r>
    </w:p>
    <w:p>
      <w:pPr>
        <w:pStyle w:val="Normal"/>
        <w:spacing w:lineRule="auto" w:line="240"/>
        <w:jc w:val="left"/>
        <w:rPr>
          <w:b/>
        </w:rPr>
      </w:pPr>
      <w:r>
        <w:rPr>
          <w:b/>
        </w:rPr>
        <w:t>Resumo (ou Sumário Executivo)</w:t>
      </w:r>
    </w:p>
    <w:p>
      <w:pPr>
        <w:pStyle w:val="Normal"/>
        <w:spacing w:lineRule="auto" w:line="240"/>
        <w:rPr>
          <w:b/>
        </w:rPr>
      </w:pPr>
      <w:r>
        <w:rPr>
          <w:b/>
        </w:rPr>
      </w:r>
    </w:p>
    <w:p>
      <w:pPr>
        <w:pStyle w:val="ListParagraph"/>
        <w:spacing w:lineRule="auto" w:line="240"/>
        <w:ind w:left="0"/>
        <w:rPr>
          <w:b/>
        </w:rPr>
      </w:pPr>
      <w:r>
        <w:rPr>
          <w:bCs/>
          <w:shd w:fill="FFFF00" w:val="clear"/>
        </w:rPr>
        <w:t>Opcional para a etapa dos Resultados Preliminares</w:t>
      </w:r>
      <w:r>
        <w:rPr>
          <w:bCs/>
        </w:rPr>
        <w:t>.</w:t>
      </w:r>
      <w:r>
        <w:rPr>
          <w:color w:val="000000"/>
        </w:rPr>
        <w:t xml:space="preserve"> </w:t>
      </w:r>
    </w:p>
    <w:p>
      <w:pPr>
        <w:pStyle w:val="Normal"/>
        <w:spacing w:lineRule="auto" w:line="360"/>
        <w:rPr>
          <w:b/>
        </w:rPr>
      </w:pPr>
      <w:r>
        <w:rPr>
          <w:b/>
        </w:rPr>
      </w:r>
    </w:p>
    <w:p>
      <w:pPr>
        <w:pStyle w:val="ListParagraph"/>
        <w:spacing w:lineRule="auto" w:line="360"/>
        <w:ind w:left="0"/>
        <w:jc w:val="left"/>
        <w:rPr>
          <w:b/>
        </w:rPr>
      </w:pPr>
      <w:r>
        <w:rPr>
          <w:b/>
        </w:rPr>
        <w:t>Introdução</w:t>
      </w:r>
    </w:p>
    <w:p>
      <w:pPr>
        <w:pStyle w:val="ListParagraph"/>
        <w:spacing w:lineRule="auto" w:line="360"/>
        <w:ind w:left="0"/>
        <w:jc w:val="left"/>
        <w:rPr/>
      </w:pPr>
      <w:r>
        <w:rPr/>
      </w:r>
    </w:p>
    <w:p>
      <w:pPr>
        <w:pStyle w:val="Normal"/>
        <w:spacing w:lineRule="auto" w:line="360"/>
        <w:ind w:firstLine="709"/>
        <w:rPr>
          <w:color w:val="000000"/>
        </w:rPr>
      </w:pPr>
      <w:r>
        <w:rPr>
          <w:color w:val="000000"/>
        </w:rPr>
        <w:t xml:space="preserve">Os conceitos da Teoria Moderna de Portfólio, inicialmente formulados em H. Markowitz, foram apresentados em 1952. Desde então, essa teoria vem sendo amplamente  utilizada para seleção e avaliação de carteiras de investimento. </w:t>
      </w:r>
    </w:p>
    <w:p>
      <w:pPr>
        <w:pStyle w:val="Normal"/>
        <w:spacing w:lineRule="auto" w:line="360"/>
        <w:ind w:firstLine="709"/>
        <w:rPr>
          <w:color w:val="000000"/>
        </w:rPr>
      </w:pPr>
      <w:r>
        <w:rPr>
          <w:color w:val="000000"/>
        </w:rPr>
        <w:t xml:space="preserve">O trabalho de Markowitz instituiu uma nova abordagem para o conceito de risco dos investimentos. Basicamente, Markowitz (1952) demonstra como os investidores deveriam utilizar o princípio da diversificação para melhorar a relação de risco e retorno em suas carteiras de investimentos. </w:t>
      </w:r>
    </w:p>
    <w:p>
      <w:pPr>
        <w:pStyle w:val="Normal"/>
        <w:spacing w:lineRule="auto" w:line="360"/>
        <w:ind w:firstLine="709"/>
        <w:rPr>
          <w:color w:val="000000"/>
        </w:rPr>
      </w:pPr>
      <w:r>
        <w:rPr>
          <w:color w:val="000000"/>
        </w:rPr>
        <w:t>Contrapondo o pensamento dominante à época, de que a opção mais benéfica para a composição da carteira consistia na concentração de investimentos em ativos que ofereciam os maiores retornos, Markowitz (1952) propôs que o cenário ideal para os investidores seria obter combinações mais eficientes de alocação de recursos por meio da avaliação e compensação do risco dos ativos que compunham a carteira, principalmente por da análise das correlações entre os ativos.</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 xml:space="preserve">A metodologia de Markowitz (1952), centrada na otimização da média-variância e na busca por carteiras que estejam sobre a “Fronteira Eficiente”, tornou-se um pilar na teoria de finanças e deu origem a diversas estratégias de alocação de ativos. </w:t>
      </w:r>
    </w:p>
    <w:p>
      <w:pPr>
        <w:pStyle w:val="Normal"/>
        <w:spacing w:lineRule="auto" w:line="360"/>
        <w:ind w:firstLine="709"/>
        <w:rPr>
          <w:color w:val="000000"/>
        </w:rPr>
      </w:pPr>
      <w:r>
        <w:rPr>
          <w:color w:val="000000"/>
        </w:rPr>
        <w:t>Destacmos dentre elas: a otimização de paridade de risco (Risk Parity), detalhada em Maillard et al. (2010), que busca uma distribuição equitativa de risco entre os ativos, e a abordagem de pesos iguais (Equal Weights), cuja eficácia e robustez foram amplamente discutidas por DeMiguel et al. (2009).</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Apesar de sua vasta aplicação e importância teórica, as estratégias tradicionais de alocação de portfólio são alvo de críticas por seu distanciamento das necessidades práticas e objetivos de vida dos investidores individuais. Como apontado por Chhabra (2005), essas metodologias frequentemente otimizam a carteira com base em métricas estatísticas abstratas, como a maximização do Índice de Sharpe ou a minimização da volatilidade, sem necessariamente conectar o plano de investimentos à probabilidade de o investidor atingir suas metas financeiras concretas, como garantir a aposentadoria, custear a educação dos filhos ou adquirir um imóvel. Nessa perspectiva, o conceito de “risco” transcende a mera volatilidade dos retornos e passa a significar, de forma mais intuitiva, a possibilidade de um fracasso no alcance de um objetivo de vida essencial.</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Neste contexto, emerge a metodologia de Goal-Based Investing [GBI] como um paradigma alternativo que reorienta o processo de investimento para os objetivos específicos do investidor. Fundamentado nos trabalhos de Brunel (2015) e Das et al. (2010), o GBI propõe a segmentação do patrimônio em sub-portfólios, onde cada um é dedicado a uma meta financeira particular, com seu próprio horizonte de tempo e tolerância ao risco. Essa abordagem substitui a otimização de uma carteira única por uma estrutura que busca maximizar a probabilidade de sucesso de cada objetivo individualmente, alinhando a gestão de ativos diretamente às aspirações e necessidades do investidor.</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A implementação e comparação dessas distintas estratégias no mercado financeiro moderno são viabilizadas pela crescente popularidade dos Fundos de Índice (</w:t>
      </w:r>
      <w:r>
        <w:rPr>
          <w:i/>
          <w:iCs/>
          <w:color w:val="000000"/>
        </w:rPr>
        <w:t>Exchange Traded Funds</w:t>
      </w:r>
      <w:r>
        <w:rPr>
          <w:color w:val="000000"/>
        </w:rPr>
        <w:t xml:space="preserve"> [ETFs]). Esses instrumentos, por sua natureza diversificada, baixo custo operacional, transparência e liquidez, constituem veículos de investimento ideais para a construção de portfólios, permitindo que tanto as abordagens tradicionais quanto as mais personalizadas, como o GBI, sejam aplicadas de forma eficiente e comparável.</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Diante do exposto, surge a seguinte questão de pesquisa: qual a eficácia empírica da abordagem GBI em comparação com as estratégias tradicionais de alocação no contexto do mercado financeiro brasileiro? Desta forma, o presente trabalho tem como objetivo principal avaliar comparativamente o desempenho da estratégia de Goal-Based Investing, implementada via ETFs, em relação às abordagens de Equal Weights, Otimização de Markowitz e Risk Parity. A análise será conduzida por meio de uma simulação computacional baseada em dados históricos do mercado brasileiro, buscando fornecer evidências que auxiliem investidores e consultores financeiros na escolha da metodologia de alocação mais adequada aos seus perfis e objetivos.</w:t>
      </w:r>
    </w:p>
    <w:p>
      <w:pPr>
        <w:pStyle w:val="Normal"/>
        <w:spacing w:lineRule="auto" w:line="360"/>
        <w:ind w:firstLine="709"/>
        <w:rPr>
          <w:rStyle w:val="normaltextrun"/>
          <w:color w:val="000000"/>
          <w:shd w:fill="FFFFFF" w:val="clear"/>
        </w:rPr>
      </w:pPr>
      <w:r>
        <w:rPr>
          <w:color w:val="000000"/>
          <w:shd w:fill="FFFFFF" w:val="clear"/>
        </w:rPr>
      </w:r>
    </w:p>
    <w:p>
      <w:pPr>
        <w:pStyle w:val="Normal"/>
        <w:spacing w:lineRule="auto" w:line="360"/>
        <w:rPr>
          <w:color w:val="000000"/>
        </w:rPr>
      </w:pPr>
      <w:r>
        <w:rPr>
          <w:color w:val="000000"/>
        </w:rPr>
      </w:r>
    </w:p>
    <w:p>
      <w:pPr>
        <w:pStyle w:val="ListParagraph"/>
        <w:spacing w:lineRule="auto" w:line="360"/>
        <w:ind w:left="0"/>
        <w:rPr>
          <w:b/>
        </w:rPr>
      </w:pPr>
      <w:r>
        <w:rPr>
          <w:b/>
        </w:rPr>
        <w:t>Material e Métodos</w:t>
      </w:r>
    </w:p>
    <w:p>
      <w:pPr>
        <w:pStyle w:val="ListParagraph"/>
        <w:spacing w:lineRule="auto" w:line="360"/>
        <w:ind w:left="0"/>
        <w:rPr/>
      </w:pPr>
      <w:r>
        <w:rPr/>
      </w:r>
    </w:p>
    <w:p>
      <w:pPr>
        <w:pStyle w:val="Normal"/>
        <w:spacing w:lineRule="auto" w:line="360"/>
        <w:ind w:firstLine="709"/>
        <w:rPr>
          <w:rFonts w:eastAsia="Times New Roman"/>
          <w:lang w:eastAsia="pt-BR"/>
        </w:rPr>
      </w:pPr>
      <w:r>
        <w:rPr>
          <w:rFonts w:eastAsia="Times New Roman"/>
          <w:lang w:eastAsia="pt-BR"/>
        </w:rPr>
        <w:t xml:space="preserve">Este capítulo apresenta os procedimentos metodológicos empregados para atingir o objetivo central da pesquisa: avaliar comparativamente a eficácia da abordagem de Goal-Based Investing [GBI] em relação a estratégias tradicionais de alocação de portfólio - Equal Weights, Otimização de Markowitz e Risk Parity — no contexto do mercado de capitais brasileiro. </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Para atingir o proposto no projeto de pesquisa foi adotado um planejamos uma pesquisa de natureza aplicada com abordagem quantitativa. Todos os dados coletados e analisados são numéricos (preços, retornos, volatilidades), e as conclusões são extraídas a partir da análise estatística e matemática desses dados. A quantificação do desempenho e do risco das diferentes carteiras é o cerne do estudo, permitindo comparações objetivas e a verificação de hipóteses de forma empírica.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Quanto aos seus objetivos, podemos classificá-la como comparativa e experimental. É comparativa porque seu objetivo principal é confrontar o desempenho de quatro diferentes estratégias de alocação de ativos, identificando suas semelhanças, diferenças, vantagens e desvantagens relativas. É experimental, pois, embora não se trate de um experimento de laboratório com controle absoluto de variáveis, a pesquisa emprega uma simulação computacional (backtesting) como procedimento técnico. </w:t>
      </w:r>
    </w:p>
    <w:p>
      <w:pPr>
        <w:pStyle w:val="Normal"/>
        <w:spacing w:lineRule="auto" w:line="360"/>
        <w:ind w:firstLine="709"/>
        <w:rPr>
          <w:rFonts w:eastAsia="Times New Roman"/>
          <w:lang w:eastAsia="pt-BR"/>
        </w:rPr>
      </w:pPr>
      <w:r>
        <w:rPr>
          <w:rFonts w:eastAsia="Times New Roman"/>
          <w:lang w:eastAsia="pt-BR"/>
        </w:rPr>
        <w:t xml:space="preserve">O universo de ativos considerado para este estudo são os Fundos de Índice (Exchange Traded Funds [ETFs]) de renda variável e renda fixa listados na B3 S.A. – Brasil, Bolsa, Balcão. </w:t>
      </w:r>
    </w:p>
    <w:p>
      <w:pPr>
        <w:pStyle w:val="Normal"/>
        <w:spacing w:lineRule="auto" w:line="360"/>
        <w:ind w:firstLine="709"/>
        <w:rPr>
          <w:rFonts w:eastAsia="Times New Roman"/>
          <w:lang w:eastAsia="pt-BR"/>
        </w:rPr>
      </w:pPr>
      <w:r>
        <w:rPr>
          <w:rFonts w:eastAsia="Times New Roman"/>
          <w:lang w:eastAsia="pt-BR"/>
        </w:rPr>
        <w:t>Os ETFs foram escolhidos como os veículos de investimento predominantes por seu conjunto de caracteristicas que favorecem a comparabilidade e a relevância prática do estudo. Primeiro, os ETFs oferecem diversificação a um baixo custo, permitindo que os portfólios capturem o desempenho de classes de ativos inteiras (como o mercado de ações brasileiro, o mercado americano ou títulos de inflação) com um único instrumento. Em segundo lugar, sua transparência e liquidez no mercado secundário os tornam acessíveis para uma vasta gama de investidores, desde os individuais até os institucionais, aumentando a aplicabilidade dos resultados.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partir deste universo foi selecionada uma amostra composta por um conjunto específico de ETFs. Os critérios para a inclusão de um ETF na amostra foram:</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Disponibilidade de Dados Históricos: Foram selecionados apenas ETFs que possuíam um histórico de negociação completo ou quase completo para todo o período de análise (2014-2024), a fim de evitar vieses relacionados à entrada de novos fundos e garantir a robustez das estimações estatísticas.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Representatividade de Classes de Ativos: A amostra foi escolhida para representar adequadamente as principais classes de ativos disponíveis para investidores brasileiros via ETFs, incluindo ações de grande capitalização do mercado local (índice IBOVESPA), ações de menor capitalização (small caps), ações do mercado internacional (índice S&amp;P 500), títulos públicos atrelados à inflação (índice IMA-B) e ouro, considerado um ativo de proteção.</w:t>
      </w:r>
    </w:p>
    <w:p>
      <w:pPr>
        <w:pStyle w:val="Normal"/>
        <w:spacing w:lineRule="auto" w:line="360"/>
        <w:ind w:firstLine="709"/>
        <w:rPr>
          <w:rFonts w:eastAsia="Times New Roman"/>
          <w:lang w:eastAsia="pt-BR"/>
        </w:rPr>
      </w:pPr>
      <w:r>
        <w:rPr>
          <w:rFonts w:eastAsia="Times New Roman"/>
          <w:lang w:eastAsia="pt-BR"/>
        </w:rPr>
        <w:t>Liquidez: Deu-se preferência a ETFs com volumes de negociação consistentes, para garantir que os preços históricos sejam representativos e que a simulação de compra e venda seja realista, minimizando o impacto de potenciais custos de iliquidez não modelados.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amostra final utilizada nas simulações, é composta pelos seguintes ETFs: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b/>
          <w:bCs/>
          <w:lang w:eastAsia="pt-BR"/>
        </w:rPr>
        <w:t>BOVA11</w:t>
      </w:r>
      <w:r>
        <w:rPr>
          <w:rFonts w:eastAsia="Times New Roman"/>
          <w:lang w:eastAsia="pt-BR"/>
        </w:rPr>
        <w:t>: iShares Ibovespa Fundo de Índice. Representa a exposição ao principal índice do mercado de ações brasileiro.</w:t>
      </w:r>
    </w:p>
    <w:p>
      <w:pPr>
        <w:pStyle w:val="Normal"/>
        <w:spacing w:lineRule="auto" w:line="360"/>
        <w:ind w:firstLine="709"/>
        <w:rPr>
          <w:rFonts w:eastAsia="Times New Roman"/>
          <w:lang w:eastAsia="pt-BR"/>
        </w:rPr>
      </w:pPr>
      <w:r>
        <w:rPr>
          <w:rFonts w:eastAsia="Times New Roman"/>
          <w:b/>
          <w:bCs/>
          <w:lang w:eastAsia="pt-BR"/>
        </w:rPr>
        <w:t>SMAL11</w:t>
      </w:r>
      <w:r>
        <w:rPr>
          <w:rFonts w:eastAsia="Times New Roman"/>
          <w:lang w:eastAsia="pt-BR"/>
        </w:rPr>
        <w:t>: iShares Small Cap Fundo de Índice. Representa a exposição a empresas de menor capitalização do mercado brasileiro.</w:t>
      </w:r>
    </w:p>
    <w:p>
      <w:pPr>
        <w:pStyle w:val="Normal"/>
        <w:spacing w:lineRule="auto" w:line="360"/>
        <w:ind w:firstLine="709"/>
        <w:rPr>
          <w:rFonts w:eastAsia="Times New Roman"/>
          <w:lang w:eastAsia="pt-BR"/>
        </w:rPr>
      </w:pPr>
      <w:r>
        <w:rPr>
          <w:rFonts w:eastAsia="Times New Roman"/>
          <w:b/>
          <w:bCs/>
          <w:lang w:eastAsia="pt-BR"/>
        </w:rPr>
        <w:t>IVVB11</w:t>
      </w:r>
      <w:r>
        <w:rPr>
          <w:rFonts w:eastAsia="Times New Roman"/>
          <w:lang w:eastAsia="pt-BR"/>
        </w:rPr>
        <w:t>: iShares S&amp;P 500 Fundo de Índice. Oferece exposição dolarizada ao mercado de ações norte-americano.</w:t>
      </w:r>
    </w:p>
    <w:p>
      <w:pPr>
        <w:pStyle w:val="Normal"/>
        <w:spacing w:lineRule="auto" w:line="360"/>
        <w:ind w:firstLine="709"/>
        <w:rPr>
          <w:rFonts w:eastAsia="Times New Roman"/>
          <w:lang w:eastAsia="pt-BR"/>
        </w:rPr>
      </w:pPr>
      <w:r>
        <w:rPr>
          <w:rFonts w:eastAsia="Times New Roman"/>
          <w:b/>
          <w:bCs/>
          <w:lang w:eastAsia="pt-BR"/>
        </w:rPr>
        <w:t>IMAB11</w:t>
      </w:r>
      <w:r>
        <w:rPr>
          <w:rFonts w:eastAsia="Times New Roman"/>
          <w:lang w:eastAsia="pt-BR"/>
        </w:rPr>
        <w:t>: It Now IMA-B Fundo de Índice. Representa uma carteira de títulos públicos federais atrelados ao IPCA, sendo um proxy para a renda fixa de inflação.</w:t>
      </w:r>
    </w:p>
    <w:p>
      <w:pPr>
        <w:pStyle w:val="Normal"/>
        <w:spacing w:lineRule="auto" w:line="360"/>
        <w:ind w:firstLine="709"/>
        <w:rPr>
          <w:rFonts w:eastAsia="Times New Roman"/>
          <w:lang w:eastAsia="pt-BR"/>
        </w:rPr>
      </w:pPr>
      <w:r>
        <w:rPr>
          <w:rFonts w:eastAsia="Times New Roman"/>
          <w:b/>
          <w:bCs/>
          <w:lang w:eastAsia="pt-BR"/>
        </w:rPr>
        <w:t>GOLD11</w:t>
      </w:r>
      <w:r>
        <w:rPr>
          <w:rFonts w:eastAsia="Times New Roman"/>
          <w:lang w:eastAsia="pt-BR"/>
        </w:rPr>
        <w:t>: BTG Pactual Ouro Fundo de Índice. Oferece exposição à variação do preço do ouro, um ativo tradicionalmente usado para diversificação e proteção.</w:t>
      </w:r>
    </w:p>
    <w:p>
      <w:pPr>
        <w:pStyle w:val="Normal"/>
        <w:spacing w:lineRule="auto" w:line="360"/>
        <w:ind w:firstLine="709"/>
        <w:rPr>
          <w:rFonts w:eastAsia="Times New Roman"/>
          <w:lang w:eastAsia="pt-BR"/>
        </w:rPr>
      </w:pPr>
      <w:r>
        <w:rPr>
          <w:rFonts w:eastAsia="Times New Roman"/>
          <w:b/>
          <w:bCs/>
          <w:lang w:eastAsia="pt-BR"/>
        </w:rPr>
        <w:t>PIBB11</w:t>
      </w:r>
      <w:r>
        <w:rPr>
          <w:rFonts w:eastAsia="Times New Roman"/>
          <w:lang w:eastAsia="pt-BR"/>
        </w:rPr>
        <w:t>: It Now IBrX-50 Fundo de Índice. Representa uma cesta das 50 ações mais negociadas e representativas da B3, oferecendo uma alternativa de exposição a ações de alta liquidez.</w:t>
      </w:r>
    </w:p>
    <w:p>
      <w:pPr>
        <w:pStyle w:val="Normal"/>
        <w:spacing w:lineRule="auto" w:line="360"/>
        <w:ind w:firstLine="709"/>
        <w:rPr>
          <w:rFonts w:eastAsia="Times New Roman"/>
          <w:lang w:eastAsia="pt-BR"/>
        </w:rPr>
      </w:pPr>
      <w:r>
        <w:rPr>
          <w:rFonts w:eastAsia="Times New Roman"/>
          <w:lang w:eastAsia="pt-BR"/>
        </w:rPr>
        <w:t>Adicionalmente, para fins de comparação de desempenho (cálculo do Beta e Alfa de Jensen), foi utilizado o Índice Bovespa (IBOVESPA), como benchmark de mercado.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período de análise da simulação retrospectiva (backtesting) foi definido de 1º de janeiro de 2014 a 31 de dezembro de 2024. A escolha desta janela visa garantir a robustez e a relevância dos resultados. Este intervalo abrange uma gama diversificada e desafiadora de cenários econômicos, políticas e de mercado no Brasil, permitindo testar a resiliência e a adaptabilidade das estratégias de alocação em diferentes regimes. Os principais eventos e ciclos contidos neste período incluem:</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Recessão de 2015-2016: Uma das mais severas crises econômicas da história recente do Brasil, caracterizada por forte contração do Produto Interno Bruto [PIB], aumento do desemprego e deterioração fiscal.</w:t>
      </w:r>
    </w:p>
    <w:p>
      <w:pPr>
        <w:pStyle w:val="Normal"/>
        <w:spacing w:lineRule="auto" w:line="360"/>
        <w:ind w:firstLine="709"/>
        <w:rPr>
          <w:rFonts w:eastAsia="Times New Roman"/>
          <w:lang w:eastAsia="pt-BR"/>
        </w:rPr>
      </w:pPr>
      <w:r>
        <w:rPr>
          <w:rFonts w:eastAsia="Times New Roman"/>
          <w:lang w:eastAsia="pt-BR"/>
        </w:rPr>
        <w:t>Instabilidade Política e Institucional: O período foi marcado por eventos de grande impacto político, como a Operação Lava Jato e um processo de impeachment, que geraram elevada incerteza e volatilidade nos mercados.</w:t>
      </w:r>
    </w:p>
    <w:p>
      <w:pPr>
        <w:pStyle w:val="Normal"/>
        <w:spacing w:lineRule="auto" w:line="360"/>
        <w:ind w:firstLine="709"/>
        <w:rPr>
          <w:rFonts w:eastAsia="Times New Roman"/>
          <w:lang w:eastAsia="pt-BR"/>
        </w:rPr>
      </w:pPr>
      <w:r>
        <w:rPr>
          <w:rFonts w:eastAsia="Times New Roman"/>
          <w:lang w:eastAsia="pt-BR"/>
        </w:rPr>
        <w:t>Ciclos de Taxa de Juros: A taxa básica de juros (Selic) experimentou uma variação extrema, partindo de patamares elevados, caindo para sua mínima histórica em 2020 e, subsequentemente, passando por um ciclo de alta acentuado para combater a inflação.</w:t>
      </w:r>
    </w:p>
    <w:p>
      <w:pPr>
        <w:pStyle w:val="Normal"/>
        <w:spacing w:lineRule="auto" w:line="360"/>
        <w:ind w:firstLine="709"/>
        <w:rPr>
          <w:rFonts w:eastAsia="Times New Roman"/>
          <w:lang w:eastAsia="pt-BR"/>
        </w:rPr>
      </w:pPr>
      <w:r>
        <w:rPr>
          <w:rFonts w:eastAsia="Times New Roman"/>
          <w:lang w:eastAsia="pt-BR"/>
        </w:rPr>
        <w:t>A Pandemia de COVID-19 (a partir de 2020): Um choque global sem precedentes que provocou uma queda abrupta nos mercados em março de 2020, seguida por uma recuperação impulsionada por estímulos fiscais e monetários.</w:t>
      </w:r>
    </w:p>
    <w:p>
      <w:pPr>
        <w:pStyle w:val="Normal"/>
        <w:spacing w:lineRule="auto" w:line="360"/>
        <w:ind w:firstLine="709"/>
        <w:rPr>
          <w:rFonts w:eastAsia="Times New Roman"/>
          <w:lang w:eastAsia="pt-BR"/>
        </w:rPr>
      </w:pPr>
      <w:r>
        <w:rPr>
          <w:rFonts w:eastAsia="Times New Roman"/>
          <w:lang w:eastAsia="pt-BR"/>
        </w:rPr>
        <w:t>Períodos de Otimismo e Crescimento: A década também conteve fases de recuperação econômica e otimismo do mercado, permitindo avaliar o desempenho das estratégias em cenários mais favoráveis.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Analisar o comportamento dos portfólios ao longo de um período tão heterogêneo é fundamental para evitar conclusões que sejam dependentes de uma conjuntura de mercado específica. Uma estratégia que performa bem apenas em mercados de alta pode não ser adequada para o investidor de longo prazo, que inevitavelmente enfrentará períodos de retração. Portanto, a amplitude e a diversidade de eventos dentro da janela de 2014-2024 conferem maior validade externa aos resultados da pesquisa.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Para a execução da pesquisa, foram utilizados dados secundários de fontes públicas e amplamente reconhecidas pela comunidade financeira. A coleta de dados foi automatizada por meio de ferramentas de software para garantir a eficiência e a precisão do processo. As principais fontes e ferramentas </w:t>
      </w:r>
      <w:r>
        <w:rPr>
          <w:rFonts w:eastAsia="Times New Roman"/>
          <w:lang w:eastAsia="pt-BR"/>
        </w:rPr>
        <w:t xml:space="preserve">utilizadas foram: </w:t>
      </w:r>
      <w:r>
        <w:rPr>
          <w:rFonts w:eastAsia="Times New Roman"/>
          <w:lang w:eastAsia="pt-BR"/>
        </w:rPr>
        <w:t xml:space="preserve">Yahoo Finance </w:t>
      </w:r>
      <w:r>
        <w:rPr>
          <w:rFonts w:eastAsia="Times New Roman"/>
          <w:lang w:eastAsia="pt-BR"/>
        </w:rPr>
        <w:t>e Banco Central do Brasil</w:t>
      </w: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P</w:t>
      </w:r>
      <w:r>
        <w:rPr>
          <w:rFonts w:eastAsia="Times New Roman"/>
          <w:lang w:eastAsia="pt-BR"/>
        </w:rPr>
        <w:t>ara cada um dos ETFs da amostra e para o Índice Bovespa, foram coletados os preços diários de fechamento. Foi utilizada a série de preços já ajustada para proventos (dividendos e juros sobre capital próprio) e eventos corporativos (desdobramentos e grupamentos), garantindo que os retornos calculados reflitam a rentabilidade total para o investidor.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Foi coletada a série histórica da taxa DI diária, que foi posteriormente convertida para uma base anual para ser utilizada nos cálculos das métricas de desempenho que requerem uma taxa livre de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tratamento dos dados consistiu, primeiramente, na verificação da integridade das séries, alinhando as datas de todos os ativos e tratando dados ausentes. Linhas correspondentes a dias sem pregão na B3 ou com dados faltantes para qualquer um dos ativos foram removidas do conjunto de dados final, garantindo que todas as análises subsequentes fossem realizadas sobre uma base de dados consistente e sincronizada. A partir dos preços diários de fechamento ajustados (P t ), os retornos diários (R t) foram calculados para cada ativo utilizando a variação logarítmica ou, como implementado no código, a variação percentual simples, conforme a equação a seguir:</w:t>
      </w:r>
    </w:p>
    <w:p>
      <w:pPr>
        <w:pStyle w:val="Normal"/>
        <w:spacing w:lineRule="auto" w:line="360"/>
        <w:ind w:firstLine="709"/>
        <w:rPr>
          <w:rFonts w:eastAsia="Times New Roman"/>
          <w:lang w:eastAsia="pt-BR"/>
        </w:rPr>
      </w:pPr>
      <w:r>
        <w:rPr>
          <w:rFonts w:eastAsia="Times New Roman"/>
          <w:lang w:eastAsia="pt-BR"/>
        </w:rPr>
        <w:t xml:space="preserve">R t   = P t−1 P t  −P t−1 </w:t>
      </w:r>
    </w:p>
    <w:p>
      <w:pPr>
        <w:pStyle w:val="Normal"/>
        <w:spacing w:lineRule="auto" w:line="360"/>
        <w:ind w:hanging="0"/>
        <w:rPr>
          <w:rFonts w:eastAsia="Times New Roman"/>
          <w:lang w:eastAsia="pt-BR"/>
        </w:rPr>
      </w:pPr>
      <w:r>
        <w:rPr>
          <w:rFonts w:eastAsia="Times New Roman"/>
          <w:lang w:eastAsia="pt-BR"/>
        </w:rPr>
        <w:t>onde, P t   é o preço de fechamento no dia t, e P t−1  é o preço de fechamento no dia anterior.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Todo o processo de coleta, tratamento de dados, simulação das estratégias e cálculo das métricas foi implementado utilizando a linguagem de programação Python (versão 3.13 ou superior), apoiada por um conjunto de bibliotecas de código aberto especializadas em análise de dados e finanças. A escolha pelo Python se deu por sua flexibilidade, vasto ecossistema de bibliotecas e por ser a linguagem padrão na indústria para finanças quantitativas. As principais bibliotecas utilizadas foram: Pandas, NumPy, yfinance -  Biblioteca utilizada para se conectar à API do Yahoo Finance e baixar de forma programática os dados históricos de preços dos ativos – PyPortfolioOpt, riskparityportfolio, scikit-learn, Matplotlib e Seaborn.</w:t>
      </w:r>
    </w:p>
    <w:p>
      <w:pPr>
        <w:pStyle w:val="Normal"/>
        <w:spacing w:lineRule="auto" w:line="360"/>
        <w:ind w:firstLine="709"/>
        <w:rPr>
          <w:rFonts w:eastAsia="Times New Roman"/>
          <w:lang w:eastAsia="pt-BR"/>
        </w:rPr>
      </w:pPr>
      <w:r>
        <w:rPr>
          <w:rFonts w:eastAsia="Times New Roman"/>
          <w:lang w:eastAsia="pt-BR"/>
        </w:rPr>
        <w:t>Para avaliar o desempenho das estratégias, foi construído um motor de backtesting em Python. A simulação segue um desenho de rebalanceamento periódico com base em um histórico expansivo (expanding window). A lógica da simulação é descrita a seguir: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Capital Inicial: A simulação inicia no primeiro dia do período de análise com um capital hipotético de R$ 100.000,00 para cada uma das quatro carteiras.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Cálculo Inicial dos Pesos: No primeiro dia, para cada estratégia, são calculados os pesos ótimos a serem alocados em cada ETF. Este cálculo utiliza todo o histórico de dados disponível até o dia anterior.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Cálculo Diário dos Retornos: Diariamente, o retorno de cada portfólio é calculado como a média ponderada dos retornos diários dos ETFs que o compõem, utilizando os pesos definidos no último rebalanceamento. O valor do portfólio é então atualizado com base nesse retorno.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Rebalanceamento Periódico: A cada três meses (trimestralmente), os pesos de cada portfólio são recalculados (rebalanceados). O cálculo para o rebalanceamento em uma data T utiliza uma janela de dados expansiva, ou seja, todos os dados históricos disponíveis desde o início do período até a data T−1. Após o recálculo, a carteira é ajustada para os novos pesos ótimos, que serão mantidos até a próxima data de rebalanceamento.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Custos de Transação e Impostos: Para fins de simplificação e para focar na comparação da eficácia intrínseca das estratégias de alocação, a simulação não considera custos de transação (corretagem, emolumentos) nem o impacto de impostos sobre ganhos de capital. Esta é uma limitação que deve ser considerada na interpretação dos resultados.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A estratégia de pesos iguais é a mais simples e serve como um importante benchmark de robustez. Em cada data de rebalanceamento, o capital é realocado de forma que cada um dos N ETFs da amostra tenha um peso ω i idêntico no portfólio, conforme a seguinte equação: </w:t>
      </w:r>
    </w:p>
    <w:p>
      <w:pPr>
        <w:pStyle w:val="Normal"/>
        <w:spacing w:lineRule="auto" w:line="360"/>
        <w:ind w:firstLine="709"/>
        <w:rPr>
          <w:rFonts w:eastAsia="Times New Roman"/>
          <w:lang w:eastAsia="pt-BR"/>
        </w:rPr>
      </w:pPr>
      <w:r>
        <w:rPr>
          <w:rFonts w:eastAsia="Times New Roman"/>
          <w:lang w:eastAsia="pt-BR"/>
        </w:rPr>
        <w:t xml:space="preserve">ωi  = N 1 (7) </w:t>
      </w:r>
    </w:p>
    <w:p>
      <w:pPr>
        <w:pStyle w:val="Normal"/>
        <w:spacing w:lineRule="auto" w:line="360"/>
        <w:ind w:hanging="0"/>
        <w:rPr>
          <w:rFonts w:eastAsia="Times New Roman"/>
          <w:lang w:eastAsia="pt-BR"/>
        </w:rPr>
      </w:pPr>
      <w:r>
        <w:rPr>
          <w:rFonts w:eastAsia="Times New Roman"/>
          <w:lang w:eastAsia="pt-BR"/>
        </w:rPr>
        <w:t>onde, N é o número total de ETFs na carteira.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relevância desta estratégia, conforme destacado por DeMiguel et al. (2009), reside em sua total isenção de erros de estimação, uma vez que não requer nenhum parâmetro de entrada (como retornos esperados ou covariâncias). Sua performance, portanto, reflete o puro benefício da diversificação ingênua, e qualquer estratégia mais complexa deve demonstrar ser capaz de superá-la de forma consistente para justificar sua sofisticação e potenciais falhas.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Esta estratégia busca implementar a Teoria Moderna de Portfólios de Markowitz (1952). Em cada data de rebalanceamento, o objetivo é encontrar o portfólio que oferece a maior relação risco-retorno, o que é comumente traduzido como a maximização do Índice de Sharpe. O problema de otimização consiste em encontrar o vetor de pesos ω que maximiza a seguinte função, sujeito à restrição de que a soma dos pesos seja igual a 1 (ω T 1=1):</w:t>
      </w:r>
    </w:p>
    <w:p>
      <w:pPr>
        <w:pStyle w:val="Normal"/>
        <w:spacing w:lineRule="auto" w:line="360"/>
        <w:ind w:firstLine="709"/>
        <w:rPr>
          <w:rFonts w:eastAsia="Times New Roman"/>
          <w:lang w:eastAsia="pt-BR"/>
        </w:rPr>
      </w:pPr>
      <w:r>
        <w:rPr>
          <w:rFonts w:eastAsia="Times New Roman"/>
          <w:lang w:eastAsia="pt-BR"/>
        </w:rPr>
        <w:t xml:space="preserve">Sharpe = σ p R p  −R f  = ω T  Σω ω  T  μ−R  f </w:t>
      </w:r>
    </w:p>
    <w:p>
      <w:pPr>
        <w:pStyle w:val="Normal"/>
        <w:spacing w:lineRule="auto" w:line="360"/>
        <w:ind w:hanging="0"/>
        <w:rPr>
          <w:rFonts w:eastAsia="Times New Roman"/>
          <w:lang w:eastAsia="pt-BR"/>
        </w:rPr>
      </w:pPr>
      <w:r>
        <w:rPr>
          <w:rFonts w:eastAsia="Times New Roman"/>
          <w:lang w:eastAsia="pt-BR"/>
        </w:rPr>
        <w:t>onde, ω é o vetor de pesos dos ativos, μ é o vetor de retornos esperados dos ativos, Σ é a matriz de covariância dos retornos dos ativos, e R f   é a taxa livre de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Consciente da notória instabilidade da otimização de Markowitz a erros de estimação, especialmente na matriz de covariância Σ, esta pesquisa adotou uma melhoria metodológica crucial: a utilização de um estimador de covariância com shrinkage, conforme proposto por Ledoit e Wolf (2004). O estimador de shrinkage (Σ shrunk  ) é uma combinação ponderada da matriz de covariância amostral (Σ sample ) e uma matriz alvo mais estruturada e estável (F), como a matriz de um modelo de fator único:</w:t>
      </w:r>
    </w:p>
    <w:p>
      <w:pPr>
        <w:pStyle w:val="Normal"/>
        <w:spacing w:lineRule="auto" w:line="360"/>
        <w:ind w:firstLine="709"/>
        <w:rPr>
          <w:rFonts w:eastAsia="Times New Roman"/>
          <w:lang w:eastAsia="pt-BR"/>
        </w:rPr>
      </w:pPr>
      <w:r>
        <w:rPr>
          <w:rFonts w:eastAsia="Times New Roman"/>
          <w:lang w:eastAsia="pt-BR"/>
        </w:rPr>
        <w:t>Σ shrunk  = δF+(1−δ)Σ   (9)</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fator de encolhimento, δ, é escolhido de forma ótima para minimizar o erro quadrático esperado. Essa técnica reduz o impacto de valores extremos na matriz de covariância amostral, resultando em pesos de portfólio mais estáveis e um desempenho fora da amostra geralmente mais robusto. A implementação foi realizada com o auxílio da biblioteca PyPortfolioOpt.</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estratégia de Paridade de Risco, ou Risk Parity, afasta-se da otimização média-variância e foca em um princípio diferente de diversificação: a equalização da contribuição de risco de cada ativo para o risco total do portfólio. A contribuição marginal de um ativo i para a volatilidade do portfólio (σ p) é dada por: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CR i  = ω i ∂ω i ∂σ p  = σ p ω i  (Σω) i   </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O objetivo da estratégia de RP, conforme detalhado por Maillard et al. (2010), é encontrar um vetor de pesos ω tal que a contribuição de risco total de cada ativo (TC i =ω i  CR i  ) seja a mesma para todos os ativos na carteira. Ou seja: </w:t>
      </w:r>
    </w:p>
    <w:p>
      <w:pPr>
        <w:pStyle w:val="Normal"/>
        <w:spacing w:lineRule="auto" w:line="360"/>
        <w:ind w:firstLine="709"/>
        <w:rPr>
          <w:rFonts w:eastAsia="Times New Roman"/>
          <w:lang w:eastAsia="pt-BR"/>
        </w:rPr>
      </w:pPr>
      <w:r>
        <w:rPr>
          <w:rFonts w:eastAsia="Times New Roman"/>
          <w:lang w:eastAsia="pt-BR"/>
        </w:rPr>
        <w:t>ω i ∂ω i ∂σ p  = ω j   ∂ω  ∂σ p  ∀i,j</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Como não existe uma solução analítica fechada para este problema, ele deve ser resolvido numericamente por meio de algoritmos de otimização. Nesta pesquisa, a solução foi implementada utilizando a biblioteca riskparityportfolio, que resolve o problema de otimização para encontrar os pesos que satisfazem a condição de paridade de risco. Essa abordagem tende a produzir portfólios menos concentrados em ativos de alta volatilidade, o que pode ser particularmente vantajoso em mercados turbulentos.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estratégia GBI representa uma mudança de paradigma, alinhando a construção do portfólio diretamente aos objetivos de vida do investidor. A implementação nesta pesquisa seguiu o framework descrito por Brunel (2015) e Das et al. (2010), envolvendo os seguintes passos em cada data de rebalanceamento: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Definição das Metas: Foram estabelecidas duas metas hipotéticas para um investidor, cada uma com um perfil de risco-retorno distinto, simulando a necessidade de gerir objetivos concorrentes: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Meta "Segurança": Um objetivo de menor prazo e com alta aversão a perdas. Requer um portfólio com baixa volatilidade e maior foco na preservação de capital.</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Meta "Crescimento": Um objetivo de mais longo prazo com maior tolerância a risco, buscando uma valorização mais expressiva do capital.</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Alocação de Capital entre as Metas: O capital total do investidor foi dividido entre as duas metas. Conforme definido no arquivo config.py, 40% do capital foi alocado à meta "Segurança" e 60% à meta "Crescimento".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Mapeamento de Ativos para as Metas: Os ETFs da amostra foram mapeados para cada meta de acordo com suas características de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Portfólio Segurança: Composto por ETFs de menor volatilidade intrínseca (IMAB11.SA, GOLD11.SA).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Portfólio Crescimento: Composto por ETFs de renda variável, com maior potencial de retorno e risco (BOVA11.SA, SMAL11.SA, IVVB11.SA, PIBB11.SA).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Otimização dos Sub-Portfólios: Cada sub-portfólio (meta) foi otimizado individualmente. Para esta simulação, foi utilizada a otimização de Markowitz (maximização do Índice de Sharpe com shrinkage) dentro do universo de ativos de cada meta.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Construção do Portfólio Agregado: O portfólio final do GBI é a soma ponderada dos sub-portfólios otimizados. Os pesos finais de cada ativo no portfólio agregado são o resultado da ponderação do seu peso no sub-portfólio pela ponderação da meta no capital total.</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Esta estrutura permite que o GBI equilibre de forma explícita objetivos de preservação e de crescimento, uma abordagem que espelha de forma mais próxima o processo decisório de investidores reais.</w:t>
      </w:r>
    </w:p>
    <w:p>
      <w:pPr>
        <w:pStyle w:val="Normal"/>
        <w:spacing w:lineRule="auto" w:line="360"/>
        <w:ind w:firstLine="709"/>
        <w:rPr>
          <w:rFonts w:eastAsia="Times New Roman"/>
          <w:lang w:eastAsia="pt-BR"/>
        </w:rPr>
      </w:pPr>
      <w:r>
        <w:rPr>
          <w:rFonts w:eastAsia="Times New Roman"/>
          <w:lang w:eastAsia="pt-BR"/>
        </w:rPr>
        <w:t>Para avaliar e comparar o desempenho dos quatro portfólios simulados, foi calculado um conjunto abrangente de métricas de risco e retorno, todas baseadas em fontes acadêmicas e práticas de mercado (Feibel, 2003).</w:t>
      </w:r>
    </w:p>
    <w:p>
      <w:pPr>
        <w:pStyle w:val="Normal"/>
        <w:spacing w:lineRule="auto" w:line="360"/>
        <w:ind w:firstLine="709"/>
        <w:rPr>
          <w:rFonts w:eastAsia="Times New Roman"/>
          <w:lang w:eastAsia="pt-BR"/>
        </w:rPr>
      </w:pPr>
      <w:r>
        <w:rPr>
          <w:rFonts w:eastAsia="Times New Roman"/>
          <w:lang w:eastAsia="pt-BR"/>
        </w:rPr>
        <w:t>O retorno total acumulado mede o ganho percentual total do investimento ao longo de todo o período. O retorno anualizado converte este retorno para uma base anual, permitindo comparações padronizadas.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R anual  =((1+R total  ) N 252  )−1 (12)</w:t>
      </w:r>
    </w:p>
    <w:p>
      <w:pPr>
        <w:pStyle w:val="Normal"/>
        <w:spacing w:lineRule="auto" w:line="360"/>
        <w:ind w:hanging="0"/>
        <w:rPr>
          <w:rFonts w:eastAsia="Times New Roman"/>
          <w:lang w:eastAsia="pt-BR"/>
        </w:rPr>
      </w:pPr>
      <w:r>
        <w:rPr>
          <w:rFonts w:eastAsia="Times New Roman"/>
          <w:lang w:eastAsia="pt-BR"/>
        </w:rPr>
        <w:t>onde, R total é o retorno total do período, N é o número total de dias de negociação no período, e 252 é o número aproximado de dias de negociação em um ano.</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volatilidade é a métrica mais comum de risco total, medindo a dispersão dos retornos de um ativo ou portfólio em torno de sua média. É calculada como o desvio-padrão dos retornos diários, anualizado pela raiz quadrada do número de períodos.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σ anual ​ = σ diario  × 252   (13)</w:t>
      </w:r>
    </w:p>
    <w:p>
      <w:pPr>
        <w:pStyle w:val="Normal"/>
        <w:spacing w:lineRule="auto" w:line="360"/>
        <w:ind w:hanging="0"/>
        <w:rPr>
          <w:rFonts w:eastAsia="Times New Roman"/>
          <w:lang w:eastAsia="pt-BR"/>
        </w:rPr>
      </w:pPr>
      <w:r>
        <w:rPr>
          <w:rFonts w:eastAsia="Times New Roman"/>
          <w:lang w:eastAsia="pt-BR"/>
        </w:rPr>
        <w:t>onde, σ diario é o desvio-padrão dos retornos diários.</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Desenvolvido por William F. Sharpe (1966), este índice mede o retorno excedente (acima da taxa livre de risco) por unidade de risco total (volatilidade). Um valor mais alto indica um melhor desempenho ajustado ao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Sharpe = σ p R p  −R f </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hanging="0"/>
        <w:rPr>
          <w:rFonts w:eastAsia="Times New Roman"/>
          <w:lang w:eastAsia="pt-BR"/>
        </w:rPr>
      </w:pPr>
      <w:r>
        <w:rPr>
          <w:rFonts w:eastAsia="Times New Roman"/>
          <w:lang w:eastAsia="pt-BR"/>
        </w:rPr>
        <w:t>onde, R p é o retorno anualizado do portfólio, R f é a taxa livre de risco anualizada, e σ p é a volatilidade anualizada do portfólio.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Uma modificação do Índice de Sharpe, o Índice de Sortino (Sortino e Price, 1994) diferencia a volatilidade "ruim" (retornos abaixo de um alvo) da volatilidade "boa". Ele mede o retorno excedente por unidade de risco de queda (downside risk), sendo mais adequado para avaliar retornos com distribuições assimétricas.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Sortino= σ down ​R p  −R alvo</w:t>
      </w:r>
    </w:p>
    <w:p>
      <w:pPr>
        <w:pStyle w:val="Normal"/>
        <w:spacing w:lineRule="auto" w:line="360"/>
        <w:ind w:hanging="0"/>
        <w:rPr>
          <w:rFonts w:eastAsia="Times New Roman"/>
          <w:lang w:eastAsia="pt-BR"/>
        </w:rPr>
      </w:pPr>
      <w:r>
        <w:rPr>
          <w:rFonts w:eastAsia="Times New Roman"/>
          <w:lang w:eastAsia="pt-BR"/>
        </w:rPr>
        <w:t xml:space="preserve">onde, R alvo é a taxa de retorno alvo (neste estudo, a taxa livre de risco), e σ down é o desvio-padrão dos retornos que ficaram abaixo de R alvo. </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Maximum Drawdown mede a maior perda percentual de um portfólio desde um pico anterior até um vale subsequente. É uma medida do risco de perda extrema, indicando o pior cenário de perda que um investidor teria enfrentado no período.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MDD =  Valor pico Valor pico  − Valor vale </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hanging="0"/>
        <w:rPr>
          <w:rFonts w:eastAsia="Times New Roman"/>
          <w:lang w:eastAsia="pt-BR"/>
        </w:rPr>
      </w:pPr>
      <w:r>
        <w:rPr>
          <w:rFonts w:eastAsia="Times New Roman"/>
          <w:lang w:eastAsia="pt-BR"/>
        </w:rPr>
        <w:t>O cálculo é feito sobre a série temporal de valores acumulados do portfólio.</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Alfa de Jensen (Jensen, 1968) mede o retorno ajustado ao risco de um portfólio em relação ao retorno previsto pelo Capital Asset Pricing Model [CAPM]. Um Alfa positivo e significativo indica que o portfólio gerou retornos superiores ao que seria esperado para seu nível de risco sistemático (beta).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α=R p ​ −[R f  +β p  (Rm  − Rf )] (17)</w:t>
      </w:r>
    </w:p>
    <w:p>
      <w:pPr>
        <w:pStyle w:val="Normal"/>
        <w:spacing w:lineRule="auto" w:line="360"/>
        <w:ind w:hanging="0"/>
        <w:rPr>
          <w:rFonts w:eastAsia="Times New Roman"/>
          <w:lang w:eastAsia="pt-BR"/>
        </w:rPr>
      </w:pPr>
      <w:r>
        <w:rPr>
          <w:rFonts w:eastAsia="Times New Roman"/>
          <w:lang w:eastAsia="pt-BR"/>
        </w:rPr>
        <w:t>onde, β p   é o beta do portfólio (medida de seu risco sistemático em relação ao mercado), e R m é o retorno anualizado do benchmark de mercado (IBOVESPA).</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Esta é uma métrica específica para a estratégia GBI. Ela foi calculada ao final da simulação, verificando-se para cada meta se o valor final do respectivo sub-portfólio atingiu ou superou um valor alvo predefinido. O valor alvo para cada meta foi estipulado como o capital inicial daquela meta corrigido por uma taxa de retorno mínima aceitável (por exemplo, a inflação do período mais um prêmio). A métrica final representa a porcentagem de metas que foram atingidas com sucesso.</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É fundamental reconhecer as limitações inerentes a este estudo, que devem ser consideradas na interpretação de seus resultados: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Custos de Transação: A simulação não incorpora custos de corretagem, emolumentos da bolsa ou taxas de custódia, o que tende a superestimar o desempenho líquido de todas as estratégias, especialmente aquelas com maior rotatividade.</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Impostos: O impacto do imposto de renda sobre os ganhos de capital no momento do rebalanceamento ou do resgate final não foi modelado.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Impacto no Mercado e Liquidez: A simulação assume que todas as ordens de compra e venda são executadas aos preços de fechamento registrados, sem impacto no preço do ativo. Esta premissa é razoável para os volumes simulados, mas a liquidez de alguns ETFs no Brasil pode ser um desafio na prática.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Viés de Sobrevivência (Survivorship Bias): Ao selecionar ETFs que existiram durante todo o período, a amostra exclui fundos que podem ter sido lançados e descontinuados por mau desempenho, o que pode enviesar os resultados para cima.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Especificidade da Amostra e do Período: Os resultados são contingentes à amostra de ETFs e ao período histórico selecionados. Um universo de ativos diferente ou uma janela de tempo distinta poderiam levar a conclusões diferentes.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Modelo GBI: A implementação da estratégia GBI é uma entre muitas possíveis. As metas, a alocação de capital entre elas e o método de otimização dos sub-portfólios são premissas que definem o resultado desta estratégia.</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color w:val="000000"/>
        </w:rPr>
      </w:pPr>
      <w:r>
        <w:rPr>
          <w:color w:val="000000"/>
        </w:rPr>
      </w:r>
    </w:p>
    <w:p>
      <w:pPr>
        <w:pStyle w:val="ListParagraph"/>
        <w:spacing w:lineRule="auto" w:line="360"/>
        <w:ind w:left="0"/>
        <w:jc w:val="left"/>
        <w:rPr>
          <w:b/>
        </w:rPr>
      </w:pPr>
      <w:r>
        <w:rPr>
          <w:b/>
        </w:rPr>
        <w:t>Resultados Preliminares</w:t>
      </w:r>
    </w:p>
    <w:p>
      <w:pPr>
        <w:pStyle w:val="ListParagraph"/>
        <w:spacing w:lineRule="auto" w:line="360"/>
        <w:ind w:left="0"/>
        <w:jc w:val="left"/>
        <w:rPr>
          <w:b/>
        </w:rPr>
      </w:pPr>
      <w:r>
        <w:rPr>
          <w:b/>
        </w:rPr>
      </w:r>
    </w:p>
    <w:p>
      <w:pPr>
        <w:pStyle w:val="ListParagraph"/>
        <w:spacing w:lineRule="auto" w:line="360"/>
        <w:ind w:firstLine="709" w:left="0"/>
        <w:rPr>
          <w:rFonts w:ascii="Roboto" w:hAnsi="Roboto"/>
        </w:rPr>
      </w:pPr>
      <w:r>
        <w:rPr/>
        <w:t xml:space="preserve">O título da seção Resultados Preliminares deve ser alinhado à esquerda, grafado em negrito com as primeiras letras das palavras em letras maiúsculas. É permitido que a seção seja dividida em subtópicos, seguindo a de acordo com a descrição feita no item 16.5 Resultados e Discussão e apresentados na mesma ordem da seção Material e Métodos. Nesta seção devem ser apresentados os resultados parciais obtidos na pesquisa, ou seja, os resultados obtidos até o momento. </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ListParagraph"/>
        <w:spacing w:lineRule="auto" w:line="360"/>
        <w:ind w:left="0"/>
        <w:jc w:val="left"/>
        <w:rPr>
          <w:b/>
        </w:rPr>
      </w:pPr>
      <w:r>
        <w:rPr>
          <w:b/>
        </w:rPr>
      </w:r>
    </w:p>
    <w:p>
      <w:pPr>
        <w:pStyle w:val="ListParagraph"/>
        <w:spacing w:lineRule="auto" w:line="360"/>
        <w:ind w:left="0"/>
        <w:jc w:val="left"/>
        <w:rPr>
          <w:highlight w:val="none"/>
          <w:shd w:fill="FFFF00" w:val="clear"/>
        </w:rPr>
      </w:pPr>
      <w:r>
        <w:rPr>
          <w:b/>
          <w:shd w:fill="FFFF00" w:val="clear"/>
        </w:rPr>
        <w:t>Conclusão(ões) ou Considerações Finais</w:t>
      </w:r>
    </w:p>
    <w:p>
      <w:pPr>
        <w:pStyle w:val="ListParagraph"/>
        <w:spacing w:lineRule="auto" w:line="360"/>
        <w:ind w:left="0"/>
        <w:jc w:val="left"/>
        <w:rPr/>
      </w:pPr>
      <w:r>
        <w:rPr/>
      </w:r>
    </w:p>
    <w:p>
      <w:pPr>
        <w:pStyle w:val="ListParagraph"/>
        <w:spacing w:lineRule="auto" w:line="360"/>
        <w:ind w:hanging="0" w:left="0"/>
        <w:rPr>
          <w:bCs/>
        </w:rPr>
      </w:pPr>
      <w:r>
        <w:rPr>
          <w:bCs/>
          <w:shd w:fill="FFFF00" w:val="clear"/>
        </w:rPr>
        <w:t>Opcional para a etapa dos Resultados preliminares.</w:t>
      </w:r>
      <w:r>
        <w:rPr>
          <w:bCs/>
        </w:rPr>
        <w:t xml:space="preserve"> </w:t>
        <w:tab/>
      </w:r>
    </w:p>
    <w:p>
      <w:pPr>
        <w:pStyle w:val="Normal"/>
        <w:spacing w:lineRule="auto" w:line="360"/>
        <w:rPr>
          <w:b/>
        </w:rPr>
      </w:pPr>
      <w:r>
        <w:rPr>
          <w:b/>
        </w:rPr>
      </w:r>
    </w:p>
    <w:p>
      <w:pPr>
        <w:pStyle w:val="Normal"/>
        <w:spacing w:lineRule="auto" w:line="360"/>
        <w:rPr/>
      </w:pPr>
      <w:r>
        <w:rPr/>
      </w:r>
    </w:p>
    <w:p>
      <w:pPr>
        <w:pStyle w:val="Normal"/>
        <w:spacing w:lineRule="auto" w:line="360"/>
        <w:jc w:val="left"/>
        <w:rPr/>
      </w:pPr>
      <w:r>
        <w:rPr>
          <w:b/>
        </w:rPr>
        <w:t xml:space="preserve">Agradecimento </w:t>
      </w:r>
      <w:r>
        <w:rPr/>
        <w:t>(</w:t>
      </w:r>
      <w:r>
        <w:rPr>
          <w:shd w:fill="FFFF00" w:val="clear"/>
        </w:rPr>
        <w:t>opcional</w:t>
      </w:r>
      <w:r>
        <w:rPr/>
        <w:t>, 1 parágrafo, bem sucinto)</w:t>
      </w:r>
    </w:p>
    <w:p>
      <w:pPr>
        <w:pStyle w:val="Normal"/>
        <w:spacing w:lineRule="auto" w:line="360"/>
        <w:rPr/>
      </w:pPr>
      <w:r>
        <w:rPr/>
      </w:r>
    </w:p>
    <w:p>
      <w:pPr>
        <w:pStyle w:val="Normal"/>
        <w:spacing w:lineRule="auto" w:line="360"/>
        <w:rPr>
          <w:b/>
        </w:rPr>
      </w:pPr>
      <w:bookmarkStart w:id="2" w:name="_Hlk33977167"/>
      <w:r>
        <w:rPr>
          <w:b/>
        </w:rPr>
        <w:t>Referências</w:t>
      </w:r>
      <w:bookmarkEnd w:id="2"/>
    </w:p>
    <w:p>
      <w:pPr>
        <w:pStyle w:val="Normal"/>
        <w:spacing w:lineRule="auto" w:line="360"/>
        <w:rPr>
          <w:b/>
        </w:rPr>
      </w:pPr>
      <w:r>
        <w:rPr>
          <w:b/>
        </w:rPr>
      </w:r>
    </w:p>
    <w:p>
      <w:pPr>
        <w:pStyle w:val="Normal"/>
        <w:spacing w:lineRule="auto" w:line="360"/>
        <w:ind w:firstLine="709"/>
        <w:rPr/>
      </w:pPr>
      <w:r>
        <w:rPr/>
        <w:t>Neste tópico deverão ser listadas todas as referências dos trabalhos citados no texto, formatadas seguindo rigorosamente as normas do MBA USP/Esalq. Para mais informações, consulte o “</w:t>
      </w:r>
      <w:hyperlink r:id="rId2">
        <w:r>
          <w:rPr>
            <w:rStyle w:val="Hyperlink"/>
          </w:rPr>
          <w:t>Manual de Instruções e Normas para Trabalhos de Conclusão de Curso</w:t>
        </w:r>
      </w:hyperlink>
      <w:r>
        <w:rPr/>
        <w:t>” disponível no Sistema de TCCs.</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pPr>
      <w:r>
        <w:rPr/>
      </w:r>
    </w:p>
    <w:p>
      <w:pPr>
        <w:pStyle w:val="Normal"/>
        <w:spacing w:lineRule="auto" w:line="360"/>
        <w:rPr>
          <w:b/>
        </w:rPr>
      </w:pPr>
      <w:r>
        <w:rPr>
          <w:b/>
        </w:rPr>
        <w:t xml:space="preserve">Apêndice ou Anexo </w:t>
      </w:r>
      <w:r>
        <w:rPr/>
        <w:t>(opcional)</w:t>
      </w:r>
    </w:p>
    <w:p>
      <w:pPr>
        <w:pStyle w:val="Normal"/>
        <w:spacing w:lineRule="auto" w:line="360"/>
        <w:rPr/>
      </w:pPr>
      <w:r>
        <w:rPr/>
      </w:r>
    </w:p>
    <w:p>
      <w:pPr>
        <w:pStyle w:val="Normal"/>
        <w:spacing w:lineRule="auto" w:line="360"/>
        <w:ind w:firstLine="709"/>
        <w:rPr/>
      </w:pPr>
      <w:r>
        <w:rPr/>
        <w:t xml:space="preserve">Apêndices são textos e/ou documentos que foram elaborados pelo autor e que são importantes para complementar a argumentação do trabalho. Anexos são textos ou documentos que ilustram, mas que não foram elaborados pelos autores. Apêndices deverão seguir as mesmas normas de formatação do restante do texto, inclusive para figuras e tabelas. </w:t>
      </w:r>
    </w:p>
    <w:p>
      <w:pPr>
        <w:pStyle w:val="Normal"/>
        <w:spacing w:lineRule="auto" w:line="360"/>
        <w:rPr/>
      </w:pPr>
      <w:r>
        <w:rPr/>
        <w:t>O TCC deverá conter no máximo 30 páginas, incluindo o(s) Apêndice(s) e/ou Anexo(s).</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418" w:footer="709" w:bottom="1418"/>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ArialMT">
    <w:charset w:val="01"/>
    <w:family w:val="roman"/>
    <w:pitch w:val="variable"/>
  </w:font>
  <w:font w:name="Liberation Sans">
    <w:altName w:val="Arial"/>
    <w:charset w:val="01"/>
    <w:family w:val="swiss"/>
    <w:pitch w:val="variable"/>
  </w:font>
  <w:font w:name="Roboto">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14</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14</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29">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5"/>
              <wp:lineTo x="21026" y="20675"/>
              <wp:lineTo x="21026" y="0"/>
              <wp:lineTo x="-2" y="0"/>
            </wp:wrapPolygon>
          </wp:wrapThrough>
          <wp:docPr id="1"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especialista em Finanças e Controladoria – 2025</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15" wp14:anchorId="34FDC6CC">
              <wp:simplePos x="0" y="0"/>
              <wp:positionH relativeFrom="margin">
                <wp:align>right</wp:align>
              </wp:positionH>
              <wp:positionV relativeFrom="paragraph">
                <wp:posOffset>106045</wp:posOffset>
              </wp:positionV>
              <wp:extent cx="5753100" cy="635"/>
              <wp:effectExtent l="1905" t="1905" r="1905" b="1905"/>
              <wp:wrapNone/>
              <wp:docPr id="2"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35pt" to="453.25pt,8.35pt" ID="Conector reto 844941520"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29">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5"/>
              <wp:lineTo x="21026" y="20675"/>
              <wp:lineTo x="21026" y="0"/>
              <wp:lineTo x="-2" y="0"/>
            </wp:wrapPolygon>
          </wp:wrapThrough>
          <wp:docPr id="3"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especialista em Finanças e Controladoria – 2025</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15" wp14:anchorId="34FDC6CC">
              <wp:simplePos x="0" y="0"/>
              <wp:positionH relativeFrom="margin">
                <wp:align>right</wp:align>
              </wp:positionH>
              <wp:positionV relativeFrom="paragraph">
                <wp:posOffset>106045</wp:posOffset>
              </wp:positionV>
              <wp:extent cx="5753100" cy="635"/>
              <wp:effectExtent l="1905" t="1905" r="1905" b="1905"/>
              <wp:wrapNone/>
              <wp:docPr id="4"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35pt" to="453.25pt,8.35pt" ID="Conector reto 844941520"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settings.xml><?xml version="1.0" encoding="utf-8"?>
<w:settings xmlns:w="http://schemas.openxmlformats.org/wordprocessingml/2006/main">
  <w:zoom w:val="bestFit" w:percent="212"/>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594b"/>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unhideWhenUsed/>
    <w:qFormat/>
    <w:rPr/>
  </w:style>
  <w:style w:type="character" w:styleId="Ttulo2Char" w:customStyle="1">
    <w:name w:val="Título 2 Char"/>
    <w:basedOn w:val="DefaultParagraphFont"/>
    <w:link w:val="Heading2"/>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link w:val="Header"/>
    <w:uiPriority w:val="99"/>
    <w:qFormat/>
    <w:rsid w:val="005f5feb"/>
    <w:rPr/>
  </w:style>
  <w:style w:type="character" w:styleId="RodapChar" w:customStyle="1">
    <w:name w:val="Rodapé Char"/>
    <w:basedOn w:val="DefaultParagraphFont"/>
    <w:link w:val="Footer"/>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a41656"/>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suppressAutoHyphens w:val="true"/>
      <w:bidi w:val="0"/>
      <w:spacing w:lineRule="auto" w:line="240" w:before="0" w:after="0"/>
      <w:jc w:val="left"/>
    </w:pPr>
    <w:rPr>
      <w:rFonts w:ascii="Arial" w:hAnsi="Arial" w:eastAsia="Calibri" w:cs="Arial" w:eastAsiaTheme="minorHAnsi"/>
      <w:color w:val="auto"/>
      <w:kern w:val="0"/>
      <w:sz w:val="22"/>
      <w:szCs w:val="22"/>
      <w:lang w:val="pt-BR" w:eastAsia="en-US" w:bidi="ar-SA"/>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ropbox.com/scl/fi/m1t43csoioys8x54pz60z/Manual-de-Instru-es-e-Normas-TCC_PT.pdf?rlkey=7isvkxss2lcl9f6gj9tkx9ipw&amp;st=81xbs4gh&amp;dl=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2.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3.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Application>LibreOffice/25.2.4.3$Linux_X86_64 LibreOffice_project/520$Build-3</Application>
  <AppVersion>15.0000</AppVersion>
  <Pages>14</Pages>
  <Words>4313</Words>
  <Characters>23386</Characters>
  <CharactersWithSpaces>27656</CharactersWithSpaces>
  <Paragraphs>129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2024-06-11T18:04:00Z</dcterms:created>
  <dc:creator>thiago</dc:creator>
  <dc:description/>
  <dc:language>en-US</dc:language>
  <cp:lastModifiedBy/>
  <cp:lastPrinted>2014-09-18T13:37:00Z</cp:lastPrinted>
  <dcterms:modified xsi:type="dcterms:W3CDTF">2025-06-17T22:31:57Z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