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b/>
        </w:rPr>
      </w:pPr>
      <w:r>
        <w:rPr>
          <w:b/>
        </w:rPr>
        <w:t>Eficácia do Goal-Based Investing com ETFs versus estratégias tradicionais de alocação de portfólio</w:t>
      </w:r>
    </w:p>
    <w:p>
      <w:pPr>
        <w:pStyle w:val="Normal"/>
        <w:spacing w:lineRule="auto" w:line="240"/>
        <w:rPr/>
      </w:pPr>
      <w:r>
        <w:rPr/>
      </w:r>
    </w:p>
    <w:p>
      <w:pPr>
        <w:pStyle w:val="Normal"/>
        <w:spacing w:lineRule="auto" w:line="240"/>
        <w:jc w:val="center"/>
        <w:rPr>
          <w:b/>
          <w:sz w:val="18"/>
        </w:rPr>
      </w:pPr>
      <w:r>
        <w:rPr/>
        <w:t>Silvano Antonio Alves Pereira Junior¹*;</w:t>
      </w:r>
      <w:r>
        <w:rPr>
          <w:vertAlign w:val="superscript"/>
        </w:rPr>
        <w:t xml:space="preserve"> </w:t>
      </w:r>
      <w:r>
        <w:rPr/>
        <w:t>Rogiene Batista dos Santos</w:t>
      </w:r>
      <w:r>
        <w:rPr>
          <w:vertAlign w:val="superscript"/>
        </w:rPr>
        <w:t>2</w:t>
      </w:r>
    </w:p>
    <w:p>
      <w:pPr>
        <w:pStyle w:val="Normal"/>
        <w:tabs>
          <w:tab w:val="clear" w:pos="708"/>
          <w:tab w:val="left" w:pos="6465" w:leader="none"/>
        </w:tabs>
        <w:spacing w:lineRule="auto" w:line="240"/>
        <w:rPr>
          <w:b/>
          <w:sz w:val="18"/>
        </w:rPr>
      </w:pPr>
      <w:r>
        <w:rPr>
          <w:b/>
          <w:sz w:val="18"/>
        </w:rPr>
      </w:r>
    </w:p>
    <w:p>
      <w:pPr>
        <w:pStyle w:val="Normal"/>
        <w:spacing w:lineRule="auto" w:line="240"/>
        <w:jc w:val="left"/>
        <w:rPr>
          <w:sz w:val="18"/>
          <w:szCs w:val="18"/>
        </w:rPr>
      </w:pPr>
      <w:r>
        <w:rPr>
          <w:sz w:val="18"/>
          <w:szCs w:val="18"/>
          <w:vertAlign w:val="superscript"/>
        </w:rPr>
        <w:t>1</w:t>
      </w:r>
      <w:r>
        <w:rPr/>
        <w:t xml:space="preserve"> </w:t>
      </w:r>
      <w:r>
        <w:rPr>
          <w:sz w:val="18"/>
          <w:szCs w:val="18"/>
        </w:rPr>
        <w:t>ANBIMA.</w:t>
      </w:r>
      <w:r>
        <w:rPr>
          <w:sz w:val="18"/>
          <w:szCs w:val="18"/>
        </w:rPr>
        <w:t xml:space="preserve"> </w:t>
      </w:r>
      <w:r>
        <w:rPr>
          <w:sz w:val="18"/>
          <w:szCs w:val="18"/>
        </w:rPr>
        <w:t>Analista Senior de Preços e Índices</w:t>
      </w:r>
      <w:r>
        <w:rPr>
          <w:sz w:val="18"/>
          <w:szCs w:val="18"/>
        </w:rPr>
        <w:t xml:space="preserve">. </w:t>
      </w:r>
      <w:r>
        <w:rPr>
          <w:sz w:val="18"/>
          <w:szCs w:val="18"/>
        </w:rPr>
        <w:t xml:space="preserve">Av. Doutora Ruth Cardoso, 8501, 21° </w:t>
      </w:r>
      <w:r>
        <w:rPr>
          <w:sz w:val="18"/>
          <w:szCs w:val="18"/>
        </w:rPr>
        <w:t>andar</w:t>
      </w:r>
      <w:r>
        <w:rPr>
          <w:sz w:val="18"/>
          <w:szCs w:val="18"/>
        </w:rPr>
        <w:t xml:space="preserve"> – </w:t>
      </w:r>
      <w:r>
        <w:rPr>
          <w:sz w:val="18"/>
          <w:szCs w:val="18"/>
        </w:rPr>
        <w:t>Pinheiro</w:t>
      </w:r>
      <w:r>
        <w:rPr>
          <w:sz w:val="18"/>
          <w:szCs w:val="18"/>
        </w:rPr>
        <w:t xml:space="preserve">; 22250-911    </w:t>
      </w:r>
      <w:r>
        <w:rPr>
          <w:sz w:val="18"/>
          <w:szCs w:val="18"/>
        </w:rPr>
        <w:t>São Paulo</w:t>
      </w:r>
      <w:r>
        <w:rPr>
          <w:sz w:val="18"/>
          <w:szCs w:val="18"/>
        </w:rPr>
        <w:t xml:space="preserve">, </w:t>
      </w:r>
      <w:r>
        <w:rPr>
          <w:sz w:val="18"/>
          <w:szCs w:val="18"/>
        </w:rPr>
        <w:t>São Paulo</w:t>
      </w:r>
      <w:r>
        <w:rPr>
          <w:sz w:val="18"/>
          <w:szCs w:val="18"/>
        </w:rPr>
        <w:t xml:space="preserve">, </w:t>
      </w:r>
      <w:r>
        <w:rPr>
          <w:sz w:val="18"/>
          <w:szCs w:val="18"/>
        </w:rPr>
        <w:t>Brasil</w:t>
      </w:r>
      <w:r>
        <w:rPr>
          <w:sz w:val="18"/>
          <w:szCs w:val="18"/>
        </w:rPr>
        <w:t xml:space="preserve"> </w:t>
      </w:r>
    </w:p>
    <w:p>
      <w:pPr>
        <w:pStyle w:val="Normal"/>
        <w:spacing w:lineRule="auto" w:line="240"/>
        <w:jc w:val="left"/>
        <w:rPr>
          <w:sz w:val="18"/>
          <w:szCs w:val="18"/>
        </w:rPr>
      </w:pPr>
      <w:r>
        <w:rPr>
          <w:sz w:val="18"/>
          <w:szCs w:val="18"/>
          <w:vertAlign w:val="superscript"/>
        </w:rPr>
        <w:t xml:space="preserve">2 </w:t>
      </w:r>
      <w:r>
        <w:rPr>
          <w:sz w:val="18"/>
          <w:szCs w:val="18"/>
        </w:rPr>
        <w:t>Nome da Empresa ou Instituição (opcional). Titulação ou função ou departamento. Endereço completo (pessoal ou profissional) – Bairro; 00000-000    Cidade, Estado, País</w:t>
      </w:r>
    </w:p>
    <w:p>
      <w:pPr>
        <w:pStyle w:val="Normal"/>
        <w:spacing w:lineRule="auto" w:line="240"/>
        <w:jc w:val="left"/>
        <w:rPr>
          <w:sz w:val="18"/>
          <w:szCs w:val="18"/>
        </w:rPr>
      </w:pPr>
      <w:r>
        <w:rPr>
          <w:sz w:val="18"/>
          <w:szCs w:val="18"/>
        </w:rPr>
        <w:t>*</w:t>
      </w:r>
      <w:bookmarkStart w:id="0" w:name="_Hlk33948379"/>
      <w:bookmarkStart w:id="1" w:name="_Hlk33885760"/>
      <w:r>
        <w:rPr>
          <w:sz w:val="18"/>
          <w:szCs w:val="18"/>
        </w:rPr>
        <w:t>autor correspondente</w:t>
      </w:r>
      <w:bookmarkEnd w:id="1"/>
      <w:r>
        <w:rPr>
          <w:sz w:val="18"/>
          <w:szCs w:val="18"/>
        </w:rPr>
        <w:t xml:space="preserve">: </w:t>
      </w:r>
      <w:bookmarkEnd w:id="0"/>
      <w:r>
        <w:rPr>
          <w:sz w:val="18"/>
          <w:szCs w:val="18"/>
        </w:rPr>
        <w:t>nome@email.com</w:t>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rPr>
          <w:b/>
        </w:rPr>
      </w:pPr>
      <w:r>
        <w:rPr>
          <w:b/>
        </w:rPr>
      </w:r>
    </w:p>
    <w:p>
      <w:pPr>
        <w:pStyle w:val="Normal"/>
        <w:spacing w:lineRule="auto" w:line="360"/>
        <w:jc w:val="left"/>
        <w:rPr>
          <w:b/>
        </w:rPr>
      </w:pPr>
      <w:r>
        <w:rPr>
          <w:b/>
        </w:rPr>
      </w:r>
    </w:p>
    <w:p>
      <w:pPr>
        <w:pStyle w:val="Normal"/>
        <w:rPr>
          <w:b/>
        </w:rPr>
      </w:pPr>
      <w:r>
        <w:rPr>
          <w:b/>
        </w:rPr>
      </w:r>
    </w:p>
    <w:p>
      <w:pPr>
        <w:pStyle w:val="Normal"/>
        <w:rPr>
          <w:b/>
        </w:rPr>
      </w:pPr>
      <w:r>
        <w:rPr>
          <w:b/>
        </w:rPr>
      </w:r>
      <w:r>
        <w:br w:type="page"/>
      </w:r>
    </w:p>
    <w:p>
      <w:pPr>
        <w:pStyle w:val="Normal"/>
        <w:spacing w:lineRule="auto" w:line="240" w:before="0" w:after="0"/>
        <w:jc w:val="center"/>
        <w:rPr>
          <w:b/>
        </w:rPr>
      </w:pPr>
      <w:r>
        <w:rPr>
          <w:b/>
        </w:rPr>
        <w:t>Título do trabalho de conclusão de curso</w:t>
      </w:r>
    </w:p>
    <w:p>
      <w:pPr>
        <w:pStyle w:val="Normal"/>
        <w:spacing w:lineRule="auto" w:line="240"/>
        <w:jc w:val="center"/>
        <w:rPr>
          <w:b/>
        </w:rPr>
      </w:pPr>
      <w:r>
        <w:rPr>
          <w:b/>
        </w:rPr>
      </w:r>
    </w:p>
    <w:p>
      <w:pPr>
        <w:pStyle w:val="Normal"/>
        <w:spacing w:lineRule="auto" w:line="240"/>
        <w:jc w:val="left"/>
        <w:rPr>
          <w:b/>
        </w:rPr>
      </w:pPr>
      <w:r>
        <w:rPr>
          <w:b/>
        </w:rPr>
        <w:t>Resumo (ou Sumário Executivo)</w:t>
      </w:r>
    </w:p>
    <w:p>
      <w:pPr>
        <w:pStyle w:val="Normal"/>
        <w:spacing w:lineRule="auto" w:line="240"/>
        <w:rPr>
          <w:b/>
        </w:rPr>
      </w:pPr>
      <w:r>
        <w:rPr>
          <w:b/>
        </w:rPr>
      </w:r>
    </w:p>
    <w:p>
      <w:pPr>
        <w:pStyle w:val="Normal"/>
        <w:spacing w:lineRule="auto" w:line="240"/>
        <w:rPr>
          <w:color w:val="000000"/>
        </w:rPr>
      </w:pPr>
      <w:r>
        <w:rPr>
          <w:color w:val="000000"/>
        </w:rPr>
        <w:t xml:space="preserve">O resumo é uma descrição geral do trabalho, apresentando de forma sucinta todas as seções do TCC. </w:t>
      </w:r>
      <w:r>
        <w:rPr>
          <w:b/>
          <w:bCs/>
          <w:color w:val="000000"/>
        </w:rPr>
        <w:t>No caso do curso de</w:t>
      </w:r>
      <w:r>
        <w:rPr>
          <w:color w:val="000000"/>
        </w:rPr>
        <w:t xml:space="preserve"> </w:t>
      </w:r>
      <w:r>
        <w:rPr>
          <w:b/>
          <w:bCs/>
          <w:color w:val="000000"/>
        </w:rPr>
        <w:t>MBA em Gestão de Projetos</w:t>
      </w:r>
      <w:r>
        <w:rPr>
          <w:color w:val="000000"/>
        </w:rPr>
        <w:t xml:space="preserve">, em função das particularidades do trabalho – que pode ser um plano de projeto – </w:t>
      </w:r>
      <w:r>
        <w:rPr>
          <w:b/>
          <w:bCs/>
          <w:color w:val="000000"/>
        </w:rPr>
        <w:t>é facultado aos alunos o uso do termo</w:t>
      </w:r>
      <w:r>
        <w:rPr>
          <w:color w:val="000000"/>
        </w:rPr>
        <w:t xml:space="preserve"> </w:t>
      </w:r>
      <w:r>
        <w:rPr>
          <w:b/>
          <w:bCs/>
          <w:color w:val="000000"/>
        </w:rPr>
        <w:t>Sumário Executivo</w:t>
      </w:r>
      <w:r>
        <w:rPr>
          <w:color w:val="000000"/>
        </w:rPr>
        <w:t>. Essa seção deve ser escrita de forma clara e objetiva, informando ao leitor em que consiste o TCC a fim de despertar o seu interesse para a leitura de todo o trabalho. Os termos Resumo (ou Sumário Executivo) e Palavras-chave devem ser grafados em negrito, alinhados à esquerda com apenas a primeira letra da palavra em letra maiúscula. O Resumo ou Sumário Executivo deve conter no máximo 250 palavras, sendo redigido em um único parágrafo, em espaçamento simples e no tempo verbal pretérito perfeito do indicativo (passado).</w:t>
      </w:r>
      <w:r>
        <w:rPr/>
        <w:t xml:space="preserve"> </w:t>
      </w:r>
      <w:r>
        <w:rPr>
          <w:color w:val="000000"/>
        </w:rPr>
        <w:t>O início da seção deve conter uma curta apresentação sobre a importância/justificativa (contextualização do tema) do trabalho. Em seguida, é necessário apresentar o objetivo geral, que deve ser redigido de maneira sucinta e direta. Ademais, a seção deve conter uma breve descrição da metodologia empregada na pesquisa, abordando os aspectos mais importantes para o entendimento do TCC. É importante destacar os principais resultados obtidos a partir da pesquisa, apresentando relações e/ou considerações que chamem a atenção do avaliador e do público em geral. O final do resumo (ou sumário executivo) deve conter uma conclusão geral (com uma ou duas frases). Deve-se ter cuidado para não repetir a descrição dos resultados nessa seção.</w:t>
      </w:r>
    </w:p>
    <w:p>
      <w:pPr>
        <w:pStyle w:val="Normal"/>
        <w:spacing w:lineRule="auto" w:line="240"/>
        <w:rPr>
          <w:color w:val="000000"/>
        </w:rPr>
      </w:pPr>
      <w:r>
        <w:rPr>
          <w:b/>
          <w:color w:val="000000"/>
        </w:rPr>
        <w:t xml:space="preserve">Palavras-chave: </w:t>
      </w:r>
      <w:r>
        <w:rPr>
          <w:color w:val="000000"/>
        </w:rPr>
        <w:t>(inserir até cinco palavras diferentes das contidas no título, separadas por ponto-e-vírgula).</w:t>
      </w:r>
    </w:p>
    <w:p>
      <w:pPr>
        <w:pStyle w:val="Normal"/>
        <w:spacing w:lineRule="auto" w:line="240"/>
        <w:rPr>
          <w:b/>
        </w:rPr>
      </w:pPr>
      <w:r>
        <w:rPr>
          <w:b/>
        </w:rPr>
        <w:t xml:space="preserve">Atenção: </w:t>
      </w:r>
      <w:r>
        <w:rPr>
          <w:rStyle w:val="normaltextrun"/>
          <w:color w:val="000000"/>
          <w:shd w:fill="FFFFFF" w:val="clear"/>
        </w:rPr>
        <w:t xml:space="preserve">antes de enviar o arquivo para o </w:t>
      </w:r>
      <w:hyperlink r:id="rId2">
        <w:r>
          <w:rPr>
            <w:rStyle w:val="Hyperlink"/>
            <w:shd w:fill="FFFFFF" w:val="clear"/>
          </w:rPr>
          <w:t>Sistema de TCCs</w:t>
        </w:r>
      </w:hyperlink>
      <w:r>
        <w:rPr>
          <w:rStyle w:val="normaltextrun"/>
          <w:color w:val="000000"/>
          <w:shd w:fill="FFFFFF" w:val="clear"/>
        </w:rPr>
        <w:t>, remova todas as instruções originais que estão abaixo do conteúdo dos tópicos.</w:t>
      </w:r>
    </w:p>
    <w:p>
      <w:pPr>
        <w:pStyle w:val="ListParagraph"/>
        <w:spacing w:lineRule="auto" w:line="240"/>
        <w:ind w:left="0"/>
        <w:jc w:val="left"/>
        <w:rPr>
          <w:b/>
        </w:rPr>
      </w:pPr>
      <w:r>
        <w:rPr>
          <w:b/>
        </w:rPr>
      </w:r>
    </w:p>
    <w:p>
      <w:pPr>
        <w:pStyle w:val="Normal"/>
        <w:spacing w:lineRule="auto" w:line="240"/>
        <w:jc w:val="center"/>
        <w:rPr>
          <w:color w:val="000000"/>
        </w:rPr>
      </w:pPr>
      <w:r>
        <w:rPr/>
      </w:r>
    </w:p>
    <w:p>
      <w:pPr>
        <w:pStyle w:val="Normal"/>
        <w:spacing w:lineRule="auto" w:line="360"/>
        <w:rPr>
          <w:b/>
        </w:rPr>
      </w:pPr>
      <w:r>
        <w:rPr>
          <w:b/>
        </w:rPr>
      </w:r>
    </w:p>
    <w:p>
      <w:pPr>
        <w:pStyle w:val="ListParagraph"/>
        <w:spacing w:lineRule="auto" w:line="360"/>
        <w:ind w:left="0"/>
        <w:jc w:val="left"/>
        <w:rPr>
          <w:b/>
        </w:rPr>
      </w:pPr>
      <w:r>
        <w:rPr>
          <w:b/>
        </w:rPr>
        <w:t>Introdução</w:t>
      </w:r>
    </w:p>
    <w:p>
      <w:pPr>
        <w:pStyle w:val="ListParagraph"/>
        <w:spacing w:lineRule="auto" w:line="360"/>
        <w:ind w:left="0"/>
        <w:jc w:val="left"/>
        <w:rPr/>
      </w:pPr>
      <w:r>
        <w:rPr/>
      </w:r>
    </w:p>
    <w:p>
      <w:pPr>
        <w:pStyle w:val="Normal"/>
        <w:spacing w:lineRule="auto" w:line="360"/>
        <w:ind w:firstLine="709"/>
        <w:rPr>
          <w:color w:val="000000"/>
        </w:rPr>
      </w:pPr>
      <w:r>
        <w:rPr>
          <w:color w:val="000000"/>
        </w:rPr>
        <w:t xml:space="preserve">Os conceitos da Teoria Moderna de Portfólio, inicialmente formulados </w:t>
      </w:r>
      <w:r>
        <w:rPr>
          <w:color w:val="000000"/>
        </w:rPr>
        <w:t>por</w:t>
      </w:r>
      <w:r>
        <w:rPr>
          <w:color w:val="000000"/>
        </w:rPr>
        <w:t xml:space="preserve"> H. Markowitz, foram apresentados em 1952, </w:t>
      </w:r>
      <w:r>
        <w:rPr>
          <w:color w:val="000000"/>
        </w:rPr>
        <w:t>são</w:t>
      </w:r>
      <w:r>
        <w:rPr>
          <w:color w:val="000000"/>
        </w:rPr>
        <w:t xml:space="preserve"> amplamente utilizados para seleção e avaliação de carteiras de investimento. </w:t>
      </w:r>
    </w:p>
    <w:p>
      <w:pPr>
        <w:pStyle w:val="Normal"/>
        <w:spacing w:lineRule="auto" w:line="360"/>
        <w:ind w:firstLine="709"/>
        <w:rPr>
          <w:color w:val="000000"/>
        </w:rPr>
      </w:pPr>
      <w:r>
        <w:rPr>
          <w:color w:val="000000"/>
        </w:rPr>
        <w:t xml:space="preserve">O trabalho de Markowitz instituiu uma nova abordagem para </w:t>
      </w:r>
      <w:r>
        <w:rPr>
          <w:color w:val="000000"/>
        </w:rPr>
        <w:t>a relação</w:t>
      </w:r>
      <w:r>
        <w:rPr>
          <w:color w:val="000000"/>
        </w:rPr>
        <w:t xml:space="preserve"> de risco </w:t>
      </w:r>
      <w:r>
        <w:rPr>
          <w:color w:val="000000"/>
        </w:rPr>
        <w:t>e retorno</w:t>
      </w:r>
      <w:r>
        <w:rPr>
          <w:color w:val="000000"/>
        </w:rPr>
        <w:t xml:space="preserve"> dos investimentos. Markowitz (1952) demonstra como os investidores poderiam utilizar o princípio da diversificação para melhorar a relação de risco e retorno em suas carteiras de investimentos. </w:t>
      </w:r>
    </w:p>
    <w:p>
      <w:pPr>
        <w:pStyle w:val="Normal"/>
        <w:spacing w:lineRule="auto" w:line="360"/>
        <w:ind w:firstLine="709"/>
        <w:rPr>
          <w:color w:val="000000"/>
        </w:rPr>
      </w:pPr>
      <w:r>
        <w:rPr>
          <w:color w:val="000000"/>
        </w:rPr>
        <w:t xml:space="preserve">Contrapondo o pensamento dominante à época, </w:t>
      </w:r>
      <w:r>
        <w:rPr>
          <w:color w:val="000000"/>
          <w:shd w:fill="auto" w:val="clear"/>
        </w:rPr>
        <w:t>de que a opção mais benéfica para a composição da carteira consistia na concentração de investimentos em ativos que ofereciam os maiores retornos</w:t>
      </w:r>
      <w:r>
        <w:rPr>
          <w:color w:val="000000"/>
          <w:shd w:fill="auto" w:val="clear"/>
        </w:rPr>
        <w:t>,</w:t>
      </w:r>
      <w:r>
        <w:rPr>
          <w:color w:val="000000"/>
        </w:rPr>
        <w:t xml:space="preserve"> Markowitz (1952) propôs que o cenário ideal para os investidores seria obter combinações mais eficientes de alocação de recursos por meio da avaliação e compensação do risco dos ativos que compunham a carteira, principalmente por da análise das correlações entre os ativos.</w:t>
      </w:r>
    </w:p>
    <w:p>
      <w:pPr>
        <w:pStyle w:val="Normal"/>
        <w:spacing w:lineRule="auto" w:line="360"/>
        <w:ind w:firstLine="709"/>
        <w:rPr>
          <w:color w:val="000000"/>
        </w:rPr>
      </w:pPr>
      <w:r>
        <w:rPr>
          <w:color w:val="000000"/>
        </w:rPr>
      </w:r>
    </w:p>
    <w:p>
      <w:pPr>
        <w:pStyle w:val="Normal"/>
        <w:spacing w:lineRule="auto" w:line="360"/>
        <w:ind w:firstLine="709"/>
        <w:rPr>
          <w:color w:val="000000"/>
        </w:rPr>
      </w:pPr>
      <w:r>
        <w:rPr>
          <w:color w:val="000000"/>
        </w:rPr>
        <w:t xml:space="preserve">A metodologia de Markowitz (1952), suportada por um modelo </w:t>
      </w:r>
      <w:r>
        <w:rPr>
          <w:color w:val="000000"/>
        </w:rPr>
        <w:t>robuzto</w:t>
      </w:r>
      <w:r>
        <w:rPr>
          <w:color w:val="000000"/>
        </w:rPr>
        <w:t xml:space="preserve"> de otimização da média-variância e na busca por carteiras que estejam sobre a denominada “Fronteira Eficiente”, tornou-se um pilar na teoria de finanças e deu origem a diversas estratégias de alocação de ativos.  Destac</w:t>
      </w:r>
      <w:r>
        <w:rPr>
          <w:color w:val="000000"/>
        </w:rPr>
        <w:t>a</w:t>
      </w:r>
      <w:r>
        <w:rPr>
          <w:color w:val="000000"/>
        </w:rPr>
        <w:t xml:space="preserve">mos dentre elas: a otimização de paridade de risco (Risk Parity), detalhada em Maillard et al. (2010), </w:t>
      </w:r>
      <w:r>
        <w:rPr>
          <w:color w:val="000000"/>
          <w:shd w:fill="auto" w:val="clear"/>
        </w:rPr>
        <w:t xml:space="preserve">que </w:t>
      </w:r>
      <w:r>
        <w:rPr>
          <w:color w:val="000000"/>
          <w:shd w:fill="auto" w:val="clear"/>
        </w:rPr>
        <w:t xml:space="preserve">busca uma distribuição </w:t>
      </w:r>
      <w:r>
        <w:rPr>
          <w:color w:val="000000"/>
          <w:shd w:fill="auto" w:val="clear"/>
        </w:rPr>
        <w:t>igualmente ponderada</w:t>
      </w:r>
      <w:r>
        <w:rPr>
          <w:color w:val="000000"/>
          <w:shd w:fill="auto" w:val="clear"/>
        </w:rPr>
        <w:t xml:space="preserve"> de risco entre os ativos</w:t>
      </w:r>
      <w:r>
        <w:rPr>
          <w:color w:val="000000"/>
          <w:shd w:fill="auto" w:val="clear"/>
        </w:rPr>
        <w:t xml:space="preserve">, </w:t>
      </w:r>
      <w:r>
        <w:rPr>
          <w:color w:val="000000"/>
        </w:rPr>
        <w:t>e a abordagem de pesos iguais (Equal Weights), cuja eficácia e robustez foram amplamente discutidas por DeMiguel et al. (2009).</w:t>
      </w:r>
    </w:p>
    <w:p>
      <w:pPr>
        <w:pStyle w:val="Normal"/>
        <w:spacing w:lineRule="auto" w:line="360"/>
        <w:ind w:firstLine="709"/>
        <w:rPr>
          <w:color w:val="000000"/>
        </w:rPr>
      </w:pPr>
      <w:r>
        <w:rPr>
          <w:color w:val="000000"/>
        </w:rPr>
        <w:t>Apesar de sua vasta aplicação e importância teórica, as estratégias tradicionais de alocação de portfólio são alvo de críticas por seu distanciamento das necessidades práticas e objetivos de vida dos investidores individuais. Como apontado por Chhabra (2005), essas metodologias frequentemente otimizam a carteira com base em métricas estatísticas abstratas, como a maximização do Índice de Sharpe ou a minimização da volatilidade, sem necessariamente conectar o plano de investimentos à probabilidade de o investidor atingir suas metas financeiras concretas, como garantir a aposentadoria, custear a educação dos filhos ou adquirir um imóvel. Nessa perspectiva, o conceito de “risco” transcende a mera volatilidade dos retornos e passa a significar, de forma mais intuitiva, a possibilidade de um fracasso no alcance de um objetivo de vida essencial.</w:t>
      </w:r>
    </w:p>
    <w:p>
      <w:pPr>
        <w:pStyle w:val="Normal"/>
        <w:spacing w:lineRule="auto" w:line="360"/>
        <w:ind w:firstLine="709"/>
        <w:rPr>
          <w:color w:val="000000"/>
        </w:rPr>
      </w:pPr>
      <w:r>
        <w:rPr>
          <w:color w:val="000000"/>
        </w:rPr>
        <w:t xml:space="preserve">Neste contexto, emerge a metodologia de Goal-Based Investing [GBI] como um paradigma alternativo que reorienta o processo de investimento para os objetivos específicos do investidor. </w:t>
      </w:r>
      <w:r>
        <w:rPr>
          <w:color w:val="000000"/>
        </w:rPr>
        <w:t>Tendo como base os</w:t>
      </w:r>
      <w:r>
        <w:rPr>
          <w:color w:val="000000"/>
        </w:rPr>
        <w:t xml:space="preserve"> trabalhos de Brunel (2015) e Das et al. (2010), o GBI propõe a segmentação do patrimônio em sub-portfólios, onde cada um é dedicado a uma meta financeira particular, com seu próprio horizonte de tempo e tolerância ao risco. Essa abordagem substitui a otimização de uma carteira única por uma estrutura que busca maximizar a probabilidade de sucesso de cada objetivo individualmente, alinhando a gestão de ativos diretamente às aspirações e necessidades do investidor.</w:t>
      </w:r>
    </w:p>
    <w:p>
      <w:pPr>
        <w:pStyle w:val="Normal"/>
        <w:spacing w:lineRule="auto" w:line="360"/>
        <w:ind w:firstLine="709"/>
        <w:rPr>
          <w:color w:val="000000"/>
        </w:rPr>
      </w:pPr>
      <w:r>
        <w:rPr>
          <w:color w:val="000000"/>
        </w:rPr>
        <w:t>A implementação e comparação empírica de distintas estratégias de alocação de ativos foram viabilizadas, neste trabalho, pela utilização de Fundos de Índice (Exchange Traded Funds - ETFs) como principal veículo de investimento. Tais instrumentos, por sua natureza diversificada, baixo custo operacional, transparência e liquidez, constituíram os blocos de construção para os portfólios simulados, permitindo que tanto as abordagens tradicionais quanto as mais personalizadas, como o GBI, fossem aplicadas de forma eficiente e comparável (Das e Chandani, 2018). Esta abordagem difere daquela empregada em estudos seminais como o de DeMiguel, Garlappi e Uppal (2009), cujo foco recaiu sobre a performance de carteiras compostas por ações individuais ou portfólios setoriais. A utilização de ETFs, que representam classes de ativos inteiras, permitiu não apenas uma análise de alocação macro, mas também refletiu de forma mais acurada os instrumentos disponíveis para o investidor moderno, garantindo assim a relevância prática das conclusões obtidas.</w:t>
      </w:r>
    </w:p>
    <w:p>
      <w:pPr>
        <w:pStyle w:val="Normal"/>
        <w:spacing w:lineRule="auto" w:line="360"/>
        <w:ind w:firstLine="709"/>
        <w:rPr>
          <w:color w:val="000000"/>
        </w:rPr>
      </w:pPr>
      <w:r>
        <w:rPr>
          <w:color w:val="000000"/>
        </w:rPr>
        <w:t>Diante do exposto, surge a questão de</w:t>
      </w:r>
      <w:r>
        <w:rPr>
          <w:color w:val="000000"/>
        </w:rPr>
        <w:t>sta</w:t>
      </w:r>
      <w:r>
        <w:rPr>
          <w:color w:val="000000"/>
        </w:rPr>
        <w:t xml:space="preserve"> pesquisa: qual a eficácia da abordagem GBI frente as estratégias tradicionais de alocação no contexto do mercado financeiro brasileiro? Nesta direção, o presente trabalho tem como objetivo principal avaliar comparativamente o desempenho da estratégia de Goal-Based Investing, implementada via ETFs, em relação às abordagens de Equal Weights, Otimização de Markowitz e Risk Parity. A análise será conduzida por meio de uma simulação computacional baseada em dados históricos do mercado brasileiro, buscando fornecer evidências que auxiliem investidores e consultores financeiros na escolha da metodologia de alocação mais adequada aos seus perfis e objetivos. </w:t>
      </w:r>
    </w:p>
    <w:p>
      <w:pPr>
        <w:pStyle w:val="Normal"/>
        <w:spacing w:lineRule="auto" w:line="360"/>
        <w:rPr>
          <w:color w:val="000000"/>
        </w:rPr>
      </w:pPr>
      <w:r>
        <w:rPr>
          <w:color w:val="000000"/>
        </w:rPr>
      </w:r>
    </w:p>
    <w:p>
      <w:pPr>
        <w:pStyle w:val="ListParagraph"/>
        <w:spacing w:lineRule="auto" w:line="360"/>
        <w:ind w:left="0"/>
        <w:rPr>
          <w:b/>
        </w:rPr>
      </w:pPr>
      <w:r>
        <w:rPr>
          <w:b/>
        </w:rPr>
        <w:t>Metodologia ou Material e Métodos</w:t>
      </w:r>
    </w:p>
    <w:p>
      <w:pPr>
        <w:pStyle w:val="ListParagraph"/>
        <w:spacing w:lineRule="auto" w:line="360"/>
        <w:ind w:left="0"/>
        <w:rPr>
          <w:rFonts w:eastAsia="Times New Roman"/>
          <w:lang w:eastAsia="pt-BR"/>
        </w:rPr>
      </w:pPr>
      <w:r>
        <w:rPr>
          <w:rFonts w:eastAsia="Times New Roman"/>
          <w:lang w:eastAsia="pt-BR"/>
        </w:rPr>
      </w:r>
    </w:p>
    <w:p>
      <w:pPr>
        <w:pStyle w:val="Normal"/>
        <w:shd w:val="clear" w:color="auto" w:fill="FFFFFF"/>
        <w:spacing w:lineRule="auto" w:line="360"/>
        <w:ind w:firstLine="709"/>
        <w:rPr>
          <w:rFonts w:eastAsia="Times New Roman"/>
          <w:lang w:eastAsia="pt-BR"/>
        </w:rPr>
      </w:pPr>
      <w:r>
        <w:rPr>
          <w:rFonts w:eastAsia="Times New Roman"/>
          <w:lang w:eastAsia="pt-BR"/>
        </w:rPr>
        <w:t>Para atingir o objetivo descrito na seção anterior,</w:t>
      </w:r>
      <w:r>
        <w:rPr>
          <w:rFonts w:eastAsia="Times New Roman"/>
          <w:lang w:eastAsia="pt-BR"/>
        </w:rPr>
        <w:t xml:space="preserve"> </w:t>
      </w:r>
      <w:r>
        <w:rPr>
          <w:rFonts w:eastAsia="Times New Roman"/>
          <w:lang w:eastAsia="pt-BR"/>
        </w:rPr>
        <w:t xml:space="preserve">de </w:t>
      </w:r>
      <w:r>
        <w:rPr>
          <w:rFonts w:eastAsia="Times New Roman"/>
          <w:lang w:eastAsia="pt-BR"/>
        </w:rPr>
        <w:t xml:space="preserve">avaliar comparativamente a eficácia da abordagem de Goal-Based Investing (GBI) em relação a estratégias tradicionais de alocação de portfólio — Equal Weights, Otimização de Markowitz e Risk Parity — no contexto do mercado de capitais brasileiro, </w:t>
      </w:r>
      <w:r>
        <w:rPr>
          <w:rFonts w:eastAsia="Times New Roman"/>
          <w:lang w:eastAsia="pt-BR"/>
        </w:rPr>
        <w:t>utilizamos de uma como quantitativa, de natureza aplicada e com abordagem comparativa, utilizando procedimentos experimentais através de simulação computacional (Gil, 2017).</w:t>
      </w:r>
    </w:p>
    <w:p>
      <w:pPr>
        <w:pStyle w:val="Normal"/>
        <w:shd w:val="clear" w:color="auto" w:fill="FFFFFF"/>
        <w:spacing w:lineRule="auto" w:line="360"/>
        <w:ind w:firstLine="709"/>
        <w:rPr>
          <w:rFonts w:eastAsia="Times New Roman"/>
          <w:lang w:eastAsia="pt-BR"/>
        </w:rPr>
      </w:pPr>
      <w:r>
        <w:rPr>
          <w:rFonts w:eastAsia="Times New Roman"/>
          <w:lang w:eastAsia="pt-BR"/>
        </w:rPr>
        <w:t xml:space="preserve">O universo de ativos considerado para este estudo foi composto por todos os Fundos de Índice (Exchange Traded Funds - ETFs) de renda variável e renda fixa listados na B3 S.A. – Brasil, Bolsa, Balcão. </w:t>
      </w:r>
    </w:p>
    <w:p>
      <w:pPr>
        <w:pStyle w:val="Normal"/>
        <w:shd w:val="clear" w:color="auto" w:fill="FFFFFF"/>
        <w:spacing w:lineRule="auto" w:line="360"/>
        <w:ind w:firstLine="709"/>
        <w:rPr>
          <w:rFonts w:eastAsia="Times New Roman"/>
          <w:lang w:eastAsia="pt-BR"/>
        </w:rPr>
      </w:pPr>
      <w:r>
        <w:rPr>
          <w:rFonts w:eastAsia="Times New Roman"/>
          <w:lang w:eastAsia="pt-BR"/>
        </w:rPr>
        <w:t>O</w:t>
      </w:r>
      <w:r>
        <w:rPr>
          <w:rFonts w:eastAsia="Times New Roman"/>
          <w:lang w:eastAsia="pt-BR"/>
        </w:rPr>
        <w:t xml:space="preserve"> Índice Bovespa (IBOVESPA) foi utilizado como benchmark de mercado.</w:t>
      </w:r>
    </w:p>
    <w:p>
      <w:pPr>
        <w:pStyle w:val="Normal"/>
        <w:shd w:val="clear" w:color="auto" w:fill="FFFFFF"/>
        <w:spacing w:lineRule="auto" w:line="360"/>
        <w:ind w:firstLine="709"/>
        <w:rPr>
          <w:rFonts w:eastAsia="Times New Roman"/>
          <w:lang w:eastAsia="pt-BR"/>
        </w:rPr>
      </w:pPr>
      <w:r>
        <w:rPr>
          <w:rFonts w:eastAsia="Times New Roman"/>
          <w:lang w:eastAsia="pt-BR"/>
        </w:rPr>
        <w:t xml:space="preserve">Os dados secundários foram coletados de fontes públicas, notadamente </w:t>
      </w:r>
      <w:r>
        <w:rPr>
          <w:rFonts w:eastAsia="Times New Roman"/>
          <w:lang w:eastAsia="pt-BR"/>
        </w:rPr>
        <w:t xml:space="preserve">foram utilizadas as APIs do IPEA para o IPCA </w:t>
      </w:r>
      <w:r>
        <w:rPr>
          <w:rFonts w:eastAsia="Times New Roman"/>
          <w:lang w:eastAsia="pt-BR"/>
        </w:rPr>
        <w:t xml:space="preserve">e </w:t>
      </w:r>
      <w:r>
        <w:rPr>
          <w:rFonts w:eastAsia="Times New Roman"/>
          <w:lang w:eastAsia="pt-BR"/>
        </w:rPr>
        <w:t xml:space="preserve">do </w:t>
      </w:r>
      <w:r>
        <w:rPr>
          <w:rFonts w:eastAsia="Times New Roman"/>
          <w:lang w:eastAsia="pt-BR"/>
        </w:rPr>
        <w:t xml:space="preserve">Banco Central do Brasil para a taxa DI, utilizada como proxy da taxa livre de risco. </w:t>
      </w:r>
    </w:p>
    <w:p>
      <w:pPr>
        <w:pStyle w:val="Normal"/>
        <w:shd w:val="clear" w:color="auto" w:fill="FFFFFF"/>
        <w:spacing w:lineRule="auto" w:line="360"/>
        <w:ind w:firstLine="709"/>
        <w:rPr>
          <w:rFonts w:eastAsia="Times New Roman"/>
          <w:lang w:eastAsia="pt-BR"/>
        </w:rPr>
      </w:pPr>
      <w:r>
        <w:rPr>
          <w:rFonts w:eastAsia="Times New Roman"/>
          <w:lang w:eastAsia="pt-BR"/>
        </w:rPr>
        <w:t>O tratamento dos dados consistiu na verificação de integridade, alinhamento de datas e remoção de dias sem pregão. A partir dos preços (Pt), os retornos diários (Rt) foram calculados utilizando a variação percentual simples:</w:t>
      </w:r>
    </w:p>
    <w:p>
      <w:pPr>
        <w:pStyle w:val="Normal"/>
        <w:shd w:val="clear" w:color="auto" w:fill="FFFFFF"/>
        <w:spacing w:lineRule="auto" w:line="360"/>
        <w:ind w:firstLine="709"/>
        <w:rPr>
          <w:rFonts w:eastAsia="Times New Roman"/>
          <w:lang w:eastAsia="pt-BR"/>
        </w:rPr>
      </w:pPr>
      <w:r>
        <w:rPr>
          <w:rFonts w:eastAsia="Times New Roman"/>
          <w:lang w:eastAsia="pt-BR"/>
        </w:rPr>
      </w:r>
    </w:p>
    <w:p>
      <w:pPr>
        <w:pStyle w:val="Normal"/>
        <w:shd w:val="clear" w:color="auto" w:fill="FFFFFF"/>
        <w:spacing w:lineRule="auto" w:line="360"/>
        <w:ind w:firstLine="709"/>
        <w:rPr>
          <w:rFonts w:eastAsia="Times New Roman"/>
          <w:lang w:eastAsia="pt-BR"/>
        </w:rPr>
      </w:pPr>
      <w:r>
        <w:rPr>
          <w:rFonts w:eastAsia="Times New Roman"/>
          <w:lang w:eastAsia="pt-B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sSub>
            <m:e>
              <m:r>
                <w:rPr>
                  <w:rFonts w:ascii="Cambria Math" w:hAnsi="Cambria Math"/>
                </w:rPr>
                <m:t xml:space="preserve">P</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m:oMathPara>
    </w:p>
    <w:p>
      <w:pPr>
        <w:pStyle w:val="Normal"/>
        <w:shd w:val="clear" w:color="auto" w:fill="FFFFFF"/>
        <w:spacing w:lineRule="auto" w:line="360"/>
        <w:ind w:firstLine="709"/>
        <w:rPr>
          <w:rFonts w:eastAsia="Times New Roman"/>
          <w:lang w:eastAsia="pt-BR"/>
        </w:rPr>
      </w:pPr>
      <w:r>
        <w:rPr>
          <w:rFonts w:eastAsia="Times New Roman"/>
          <w:lang w:eastAsia="pt-BR"/>
        </w:rPr>
      </w:r>
    </w:p>
    <w:p>
      <w:pPr>
        <w:pStyle w:val="Normal"/>
        <w:spacing w:lineRule="auto" w:line="360"/>
        <w:rPr>
          <w:color w:val="000000"/>
        </w:rPr>
      </w:pPr>
      <w:r>
        <w:rPr>
          <w:color w:val="000000"/>
        </w:rPr>
        <w:t xml:space="preserve">Todo o processo foi implementado em linguagem Python, com suporte das bibliotecas pandas, numpy </w:t>
      </w:r>
      <w:r>
        <w:rPr>
          <w:color w:val="000000"/>
        </w:rPr>
        <w:t>e scipy</w:t>
      </w:r>
      <w:r>
        <w:rPr>
          <w:color w:val="000000"/>
        </w:rPr>
        <w:t>.</w:t>
      </w:r>
    </w:p>
    <w:p>
      <w:pPr>
        <w:pStyle w:val="Normal"/>
        <w:spacing w:lineRule="auto" w:line="360"/>
        <w:rPr>
          <w:color w:val="000000"/>
        </w:rPr>
      </w:pPr>
      <w:r>
        <w:rPr>
          <w:color w:val="000000"/>
        </w:rPr>
        <w:t>Com certeza. Fiz a revisão do texto buscando incorporar o estilo de linguagem do exemplo fornecido — mais denso, técnico e com as fundamentações teóricas de cada metodologia explicitadas diretamente no corpo do texto.</w:t>
      </w:r>
    </w:p>
    <w:p>
      <w:pPr>
        <w:pStyle w:val="Normal"/>
        <w:spacing w:lineRule="auto" w:line="360"/>
        <w:rPr>
          <w:color w:val="000000"/>
        </w:rPr>
      </w:pPr>
      <w:r>
        <w:rPr>
          <w:color w:val="000000"/>
        </w:rPr>
      </w:r>
    </w:p>
    <w:p>
      <w:pPr>
        <w:pStyle w:val="Normal"/>
        <w:spacing w:lineRule="auto" w:line="360"/>
        <w:rPr>
          <w:color w:val="000000"/>
        </w:rPr>
      </w:pPr>
      <w:r>
        <w:rPr>
          <w:color w:val="000000"/>
        </w:rPr>
        <w:t>A seguir, a versão revisada da seção Material e Métodos.</w:t>
      </w:r>
    </w:p>
    <w:p>
      <w:pPr>
        <w:pStyle w:val="Normal"/>
        <w:spacing w:lineRule="auto" w:line="360"/>
        <w:rPr>
          <w:color w:val="000000"/>
        </w:rPr>
      </w:pPr>
      <w:r>
        <w:rPr>
          <w:color w:val="000000"/>
        </w:rPr>
      </w:r>
    </w:p>
    <w:p>
      <w:pPr>
        <w:pStyle w:val="Normal"/>
        <w:spacing w:lineRule="auto" w:line="360"/>
        <w:rPr>
          <w:color w:val="000000"/>
        </w:rPr>
      </w:pPr>
      <w:r>
        <w:rPr>
          <w:color w:val="000000"/>
        </w:rPr>
        <w:t>Material e Métodos</w:t>
      </w:r>
    </w:p>
    <w:p>
      <w:pPr>
        <w:pStyle w:val="Normal"/>
        <w:spacing w:lineRule="auto" w:line="360"/>
        <w:rPr>
          <w:color w:val="000000"/>
        </w:rPr>
      </w:pPr>
      <w:r>
        <w:rPr>
          <w:color w:val="000000"/>
        </w:rPr>
        <w:t>Este capítulo apresentou os procedimentos metodológicos empregados para atingir o objetivo central da pesquisa: avaliar comparativamente a eficácia da abordagem de Goal-Based Investing (GBI) em relação a estratégias tradicionais de alocação de portfólio — Equal Weights, Otimização de Markowitz e Risk Parity — no contexto do mercado de capitais brasileiro.</w:t>
      </w:r>
    </w:p>
    <w:p>
      <w:pPr>
        <w:pStyle w:val="Normal"/>
        <w:spacing w:lineRule="auto" w:line="360"/>
        <w:rPr>
          <w:color w:val="000000"/>
        </w:rPr>
      </w:pPr>
      <w:r>
        <w:rPr>
          <w:color w:val="000000"/>
        </w:rPr>
      </w:r>
    </w:p>
    <w:p>
      <w:pPr>
        <w:pStyle w:val="Normal"/>
        <w:spacing w:lineRule="auto" w:line="360"/>
        <w:rPr>
          <w:color w:val="000000"/>
        </w:rPr>
      </w:pPr>
      <w:r>
        <w:rPr>
          <w:color w:val="000000"/>
        </w:rPr>
        <w:t>3.1. Delineamento da Pesquisa</w:t>
      </w:r>
    </w:p>
    <w:p>
      <w:pPr>
        <w:pStyle w:val="Normal"/>
        <w:spacing w:lineRule="auto" w:line="360"/>
        <w:rPr>
          <w:color w:val="000000"/>
        </w:rPr>
      </w:pPr>
      <w:r>
        <w:rPr>
          <w:color w:val="000000"/>
        </w:rPr>
      </w:r>
    </w:p>
    <w:p>
      <w:pPr>
        <w:pStyle w:val="Normal"/>
        <w:spacing w:lineRule="auto" w:line="360"/>
        <w:rPr>
          <w:color w:val="000000"/>
        </w:rPr>
      </w:pPr>
      <w:r>
        <w:rPr>
          <w:color w:val="000000"/>
        </w:rPr>
        <w:t>Esta pesquisa caracterizou-se como quantitativa, de natureza aplicada e com abordagem comparativa, utilizando procedimentos experimentais através de simulação computacional (Gil, 2017). O delineamento temporal foi longitudinal retrospectivo, abrangendo o período de 1º de janeiro de 2014 a 31 de dezembro de 2024, permitindo a avaliação das estratégias de investimento em diferentes ciclos econômicos - Silvano Antonio Alves Pereira Junior.docx].</w:t>
      </w:r>
    </w:p>
    <w:p>
      <w:pPr>
        <w:pStyle w:val="Normal"/>
        <w:spacing w:lineRule="auto" w:line="360"/>
        <w:rPr>
          <w:color w:val="000000"/>
        </w:rPr>
      </w:pPr>
      <w:r>
        <w:rPr>
          <w:color w:val="000000"/>
        </w:rPr>
      </w:r>
    </w:p>
    <w:p>
      <w:pPr>
        <w:pStyle w:val="Normal"/>
        <w:spacing w:lineRule="auto" w:line="360"/>
        <w:rPr>
          <w:color w:val="000000"/>
        </w:rPr>
      </w:pPr>
      <w:r>
        <w:rPr>
          <w:color w:val="000000"/>
        </w:rPr>
        <w:tab/>
        <w:t>O universo de ativos considerado para este estudo foi composto por todos os Fundos de Índice (Exchange Traded Funds - ETFs) de renda variável e renda fixa listados na B3 S.A. – Brasil, Bolsa, Balcão. Para compor a amostra final, foram aplicados filtros a este universo, selecionando-se apenas os ETFs que atendiam aos seguintes critérios cumulativos: (i) Disponibilidade de Dados Históricos completos para todo o período de análise; e (ii) Liquidez Mínima, para garantir que os preços históricos fossem representativos. Adicionalmente, o Índice Bovespa (IBOVESPA) foi utilizado como benchmark de mercado.</w:t>
      </w:r>
    </w:p>
    <w:p>
      <w:pPr>
        <w:pStyle w:val="Normal"/>
        <w:spacing w:lineRule="auto" w:line="360"/>
        <w:rPr>
          <w:color w:val="000000"/>
        </w:rPr>
      </w:pPr>
      <w:r>
        <w:rPr>
          <w:color w:val="000000"/>
        </w:rPr>
      </w:r>
    </w:p>
    <w:p>
      <w:pPr>
        <w:pStyle w:val="Normal"/>
        <w:spacing w:lineRule="auto" w:line="360"/>
        <w:rPr>
          <w:color w:val="000000"/>
        </w:rPr>
      </w:pPr>
      <w:r>
        <w:rPr>
          <w:color w:val="000000"/>
        </w:rPr>
        <w:tab/>
        <w:t>Os dados secundários foram coletados de fontes públicas, notadamente o Yahoo Finance para as séries de preços diários de fechamento (ajustados para proventos e eventos corporativos) e o Banco Central do Brasil para a taxa DI, utilizada como proxy da taxa livre de risco. O tratamento dos dados consistiu na verificação de integridade, alinhamento de datas e remoção de dias sem pregão. A partir dos preços (Pt), os retornos diários (Rt) foram calculados utilizando a variação percentual simples:</w:t>
      </w:r>
    </w:p>
    <w:p>
      <w:pPr>
        <w:pStyle w:val="Normal"/>
        <w:spacing w:lineRule="auto" w:line="360"/>
        <w:rPr>
          <w:color w:val="000000"/>
        </w:rPr>
      </w:pPr>
      <w:r>
        <w:rPr>
          <w:color w:val="000000"/>
        </w:rPr>
      </w:r>
    </w:p>
    <w:p>
      <w:pPr>
        <w:pStyle w:val="Normal"/>
        <w:spacing w:lineRule="auto" w:line="360"/>
        <w:rPr>
          <w:color w:val="000000"/>
        </w:rPr>
      </w:pPr>
      <w:r>
        <w:rPr>
          <w:color w:val="000000"/>
        </w:rPr>
        <w:t>XXX Equação Retorno</w:t>
      </w:r>
    </w:p>
    <w:p>
      <w:pPr>
        <w:pStyle w:val="Normal"/>
        <w:spacing w:lineRule="auto" w:line="360"/>
        <w:rPr>
          <w:color w:val="000000"/>
        </w:rPr>
      </w:pPr>
      <w:r>
        <w:rPr>
          <w:color w:val="000000"/>
        </w:rPr>
        <w:t xml:space="preserve"> </w:t>
      </w:r>
    </w:p>
    <w:p>
      <w:pPr>
        <w:pStyle w:val="Normal"/>
        <w:spacing w:lineRule="auto" w:line="360"/>
        <w:rPr>
          <w:color w:val="000000"/>
        </w:rPr>
      </w:pPr>
      <w:r>
        <w:rPr>
          <w:color w:val="000000"/>
        </w:rPr>
        <w:t>​</w:t>
      </w:r>
    </w:p>
    <w:p>
      <w:pPr>
        <w:pStyle w:val="Normal"/>
        <w:spacing w:lineRule="auto" w:line="360"/>
        <w:rPr>
          <w:color w:val="000000"/>
        </w:rPr>
      </w:pPr>
      <w:r>
        <w:rPr>
          <w:color w:val="000000"/>
        </w:rPr>
        <w:tab/>
        <w:t>Todo o processo foi implementado em linguagem Python, com suporte das bibliotecas pandas, numpy, yfinance, PyPortfolioOpt e riskparityportfolio.</w:t>
      </w:r>
    </w:p>
    <w:p>
      <w:pPr>
        <w:pStyle w:val="Normal"/>
        <w:spacing w:lineRule="auto" w:line="360"/>
        <w:rPr>
          <w:color w:val="000000"/>
        </w:rPr>
      </w:pPr>
      <w:r>
        <w:rPr>
          <w:color w:val="000000"/>
        </w:rPr>
        <w:tab/>
        <w:t xml:space="preserve">Para avaliar o desempenho das estratégias, foi construído um motor de backtesting que seguiu um desenho de rebalanceamento periódico trimestral com base em um histórico expansivo (expanding window). </w:t>
      </w:r>
    </w:p>
    <w:p>
      <w:pPr>
        <w:pStyle w:val="Normal"/>
        <w:spacing w:lineRule="auto" w:line="360"/>
        <w:rPr>
          <w:color w:val="000000"/>
        </w:rPr>
      </w:pPr>
      <w:r>
        <w:rPr>
          <w:color w:val="000000"/>
        </w:rPr>
        <w:tab/>
        <w:t>A simulação para cada uma das quatro carteiras iniciou com um capital hipotético de R$ 100.000,00, sendo os pesos de alocação recalculados a cada trimestre com base em todo o histórico de dados disponível até o dia anterior. Para focar na eficácia intrínseca das estratégias, a simulação não considerou custos de transação ou impostos.</w:t>
      </w:r>
    </w:p>
    <w:p>
      <w:pPr>
        <w:pStyle w:val="Normal"/>
        <w:spacing w:lineRule="auto" w:line="360"/>
        <w:rPr>
          <w:color w:val="000000"/>
        </w:rPr>
      </w:pPr>
      <w:r>
        <w:rPr>
          <w:color w:val="000000"/>
        </w:rPr>
        <w:tab/>
      </w:r>
    </w:p>
    <w:p>
      <w:pPr>
        <w:pStyle w:val="Normal"/>
        <w:spacing w:lineRule="auto" w:line="360"/>
        <w:rPr>
          <w:color w:val="000000"/>
        </w:rPr>
      </w:pPr>
      <w:r>
        <w:rPr>
          <w:color w:val="000000"/>
        </w:rPr>
        <w:tab/>
        <w:t>A estratégia de pesos iguais, ou 1/N, constituiu um benchmark de diversificação ingênua. Conforme investigado por DeMiguel, Garlappi e Uppal (2009), esta abordagem frequentemente compete, e por vezes supera, estratégias teoricamente mais sofisticadas em desempenho ajustado ao risco fora da amostra. Tal resultado desafia a premissa de que maior complexidade implica melhores resultados, evidenciando a robustez da alocação 1/N contra erros de estimação. Nesta pesquisa, em cada data de rebalanceamento, o capital foi realocado de forma que cada um dos N ETFs da amostra recebesse um peso idêntico no portfólio.</w:t>
      </w:r>
    </w:p>
    <w:p>
      <w:pPr>
        <w:pStyle w:val="Normal"/>
        <w:spacing w:lineRule="auto" w:line="360"/>
        <w:rPr>
          <w:color w:val="000000"/>
        </w:rPr>
      </w:pPr>
      <w:r>
        <w:rPr>
          <w:color w:val="000000"/>
        </w:rPr>
        <w:tab/>
        <w:t>A abordagem mais tradicional para construção de portfólios é a otimização por média-variância. Essa metodologia, proposta por Markowitz (1952), traz como suposição básica que as preferências de um investidor podem ser representadas por uma função utilidade que relaciona o retorno esperado e a variância da carteira. Assim, os investidores deveriam escolher a carteira de ativos que resultasse no maior retorno esperado para um determinado nível de risco. Em cada data de rebalanceamento, buscou-se encontrar o portfólio que maximizava o Índice de Sharpe, encontrando o vetor de pesos ω que otimiza a seguinte função:</w:t>
      </w:r>
    </w:p>
    <w:p>
      <w:pPr>
        <w:pStyle w:val="Normal"/>
        <w:spacing w:lineRule="auto" w:line="360"/>
        <w:rPr>
          <w:color w:val="000000"/>
        </w:rPr>
      </w:pPr>
      <w:r>
        <w:rPr>
          <w:color w:val="000000"/>
        </w:rPr>
      </w:r>
    </w:p>
    <w:p>
      <w:pPr>
        <w:pStyle w:val="Normal"/>
        <w:spacing w:lineRule="auto" w:line="360"/>
        <w:rPr>
          <w:color w:val="000000"/>
        </w:rPr>
      </w:pPr>
      <w:r>
        <w:rPr>
          <w:color w:val="000000"/>
        </w:rPr>
        <w:t xml:space="preserve">xxx </w:t>
      </w:r>
      <w:r>
        <w:rPr>
          <w:color w:val="000000"/>
        </w:rPr>
        <w:t xml:space="preserve">Sharpe </w:t>
      </w:r>
      <w:r>
        <w:rPr>
          <w:color w:val="000000"/>
        </w:rPr>
        <w:t>Equation</w:t>
      </w:r>
    </w:p>
    <w:p>
      <w:pPr>
        <w:pStyle w:val="Normal"/>
        <w:spacing w:lineRule="auto" w:line="360"/>
        <w:rPr>
          <w:color w:val="000000"/>
        </w:rPr>
      </w:pPr>
      <w:r>
        <w:rPr>
          <w:color w:val="000000"/>
        </w:rPr>
      </w:r>
    </w:p>
    <w:p>
      <w:pPr>
        <w:pStyle w:val="Normal"/>
        <w:spacing w:lineRule="auto" w:line="360"/>
        <w:rPr>
          <w:color w:val="000000"/>
        </w:rPr>
      </w:pPr>
      <w:r>
        <w:rPr>
          <w:color w:val="000000"/>
        </w:rPr>
        <w:t>onde μ é o vetor de retornos esperados e Σ é a matriz de covariância. Para mitigar a instabilidade da otimização a erros de estimação, adotou-se o estimador de covariância com shrinkage de Ledoit e Wolf (2004).</w:t>
      </w:r>
    </w:p>
    <w:p>
      <w:pPr>
        <w:pStyle w:val="Normal"/>
        <w:spacing w:lineRule="auto" w:line="360"/>
        <w:rPr>
          <w:color w:val="000000"/>
        </w:rPr>
      </w:pPr>
      <w:r>
        <w:rPr>
          <w:color w:val="000000"/>
        </w:rPr>
      </w:r>
    </w:p>
    <w:p>
      <w:pPr>
        <w:pStyle w:val="Normal"/>
        <w:spacing w:lineRule="auto" w:line="360"/>
        <w:rPr>
          <w:color w:val="000000"/>
        </w:rPr>
      </w:pPr>
      <w:r>
        <w:rPr>
          <w:color w:val="000000"/>
        </w:rPr>
      </w:r>
    </w:p>
    <w:p>
      <w:pPr>
        <w:pStyle w:val="Normal"/>
        <w:spacing w:lineRule="auto" w:line="360"/>
        <w:rPr>
          <w:color w:val="000000"/>
        </w:rPr>
      </w:pPr>
      <w:r>
        <w:rPr>
          <w:color w:val="000000"/>
        </w:rPr>
        <w:t>A estratégia de Paridade de Risco (RP) fundamenta-se na distribuição equitativa do risco entre os diferentes ativos do portfólio. Conforme detalhado por Maillard et al. (2010), a contribuição de risco de um ativo é o produto de sua alocação e sua contribuição marginal de risco. O objetivo, portanto, foi encontrar um vetor de pesos ω tal que a contribuição de risco de cada ativo fosse a mesma para todos os ativos na carteira. Asness et al. (2012) forneceram a justificativa teórica para esta abordagem, demonstrando que a aversão à alavancagem por parte de muitos investidores faz com que ativos de menor risco (beta baixo) ofereçam maiores retornos ajustados ao risco. A estratégia de RP explora essa anomalia ao sobreponderar esses ativos mais seguros. Dada a ausência de uma solução analítica fechada, o problema foi resolvido numericamente.</w:t>
      </w:r>
    </w:p>
    <w:p>
      <w:pPr>
        <w:pStyle w:val="Normal"/>
        <w:spacing w:lineRule="auto" w:line="360"/>
        <w:rPr>
          <w:color w:val="000000"/>
        </w:rPr>
      </w:pPr>
      <w:r>
        <w:rPr>
          <w:color w:val="000000"/>
        </w:rPr>
      </w:r>
    </w:p>
    <w:p>
      <w:pPr>
        <w:pStyle w:val="Normal"/>
        <w:spacing w:lineRule="auto" w:line="360"/>
        <w:rPr>
          <w:color w:val="000000"/>
        </w:rPr>
      </w:pPr>
      <w:r>
        <w:rPr>
          <w:color w:val="000000"/>
        </w:rPr>
        <w:tab/>
        <w:t>O GBI representa uma mudança de paradigma, reorientando o processo de investimento para os objetivos financeiros concretos do investidor. Fundamentado nos trabalhos de Brunel (2015) e na Teoria Comportamental de Portfólios (BPT) de Shefrin e Statman (citada em Das et al., 2010), o GBI propõe a segmentação do patrimônio em sub-portfólios, ou "contas mentais", onde cada um é dedicado a uma meta particular. Esta pesquisa seguiu o  framework de Das et al. (2010), que demonstra a equivalência matemática entre a otimização por contas mentais e a MVT. O processo envolveu os seguintes passos:</w:t>
      </w:r>
    </w:p>
    <w:p>
      <w:pPr>
        <w:pStyle w:val="Normal"/>
        <w:spacing w:lineRule="auto" w:line="360"/>
        <w:rPr>
          <w:color w:val="000000"/>
        </w:rPr>
      </w:pPr>
      <w:r>
        <w:rPr>
          <w:color w:val="000000"/>
        </w:rPr>
      </w:r>
    </w:p>
    <w:p>
      <w:pPr>
        <w:pStyle w:val="Normal"/>
        <w:numPr>
          <w:ilvl w:val="0"/>
          <w:numId w:val="1"/>
        </w:numPr>
        <w:spacing w:lineRule="auto" w:line="360"/>
        <w:rPr>
          <w:color w:val="000000"/>
        </w:rPr>
      </w:pPr>
      <w:r>
        <w:rPr>
          <w:color w:val="000000"/>
        </w:rPr>
        <w:t xml:space="preserve">Definição das Metas: Foram estabelecidas duas metas hipotéticas, "Segurança" e "Crescimento". </w:t>
      </w:r>
    </w:p>
    <w:p>
      <w:pPr>
        <w:pStyle w:val="Normal"/>
        <w:numPr>
          <w:ilvl w:val="0"/>
          <w:numId w:val="1"/>
        </w:numPr>
        <w:spacing w:lineRule="auto" w:line="360"/>
        <w:rPr>
          <w:color w:val="000000"/>
        </w:rPr>
      </w:pPr>
      <w:r>
        <w:rPr>
          <w:color w:val="000000"/>
        </w:rPr>
        <w:t xml:space="preserve">Alocação de Capital: O capital foi dividido em 40% para a meta "Segurança" e 60% para a meta "Crescimento". </w:t>
      </w:r>
    </w:p>
    <w:p>
      <w:pPr>
        <w:pStyle w:val="Normal"/>
        <w:numPr>
          <w:ilvl w:val="0"/>
          <w:numId w:val="1"/>
        </w:numPr>
        <w:spacing w:lineRule="auto" w:line="360"/>
        <w:rPr>
          <w:color w:val="000000"/>
        </w:rPr>
      </w:pPr>
      <w:r>
        <w:rPr>
          <w:color w:val="000000"/>
        </w:rPr>
        <w:t xml:space="preserve">Mapeamento de Ativos: Os ETFs foram classificados e mapeados para cada meta conforme suas características de risco. </w:t>
      </w:r>
    </w:p>
    <w:p>
      <w:pPr>
        <w:pStyle w:val="Normal"/>
        <w:numPr>
          <w:ilvl w:val="0"/>
          <w:numId w:val="1"/>
        </w:numPr>
        <w:spacing w:lineRule="auto" w:line="360"/>
        <w:rPr>
          <w:color w:val="000000"/>
        </w:rPr>
      </w:pPr>
      <w:r>
        <w:rPr>
          <w:color w:val="000000"/>
        </w:rPr>
        <w:t xml:space="preserve">Otimização dos Sub-Portfólios: Cada sub-portfólio foi otimizado individualmente via maximização do Índice de Sharpe. </w:t>
      </w:r>
    </w:p>
    <w:p>
      <w:pPr>
        <w:pStyle w:val="Normal"/>
        <w:numPr>
          <w:ilvl w:val="0"/>
          <w:numId w:val="1"/>
        </w:numPr>
        <w:spacing w:lineRule="auto" w:line="360"/>
        <w:rPr>
          <w:color w:val="000000"/>
        </w:rPr>
      </w:pPr>
      <w:r>
        <w:rPr>
          <w:color w:val="000000"/>
        </w:rPr>
        <w:t>Construção do Portfólio Agregado: O portfólio final foi a soma ponderada dos sub-portfólios otimizados.</w:t>
      </w:r>
    </w:p>
    <w:p>
      <w:pPr>
        <w:pStyle w:val="Normal"/>
        <w:spacing w:lineRule="auto" w:line="360"/>
        <w:rPr>
          <w:color w:val="000000"/>
        </w:rPr>
      </w:pPr>
      <w:r>
        <w:rPr>
          <w:color w:val="000000"/>
        </w:rPr>
      </w:r>
    </w:p>
    <w:p>
      <w:pPr>
        <w:pStyle w:val="Normal"/>
        <w:spacing w:lineRule="auto" w:line="360"/>
        <w:rPr>
          <w:color w:val="000000"/>
        </w:rPr>
      </w:pPr>
      <w:r>
        <w:rPr>
          <w:color w:val="000000"/>
        </w:rPr>
        <w:tab/>
        <w:t xml:space="preserve">Para avaliar e comparar o desempenho dos quatro portfólios simulados, foi calculado um conjunto abrangente de métricas de risco e retorno (Feibel, 2003), incluindo Retorno Total e Anualizado, Volatilidade, Índice de Sharpe (Sharpe, 1966), Índice de Sortino (Sortino e Price, 1994), </w:t>
      </w:r>
      <w:r>
        <w:rPr>
          <w:i/>
          <w:color w:val="000000"/>
        </w:rPr>
        <w:t>Maximum Drawdown</w:t>
      </w:r>
      <w:r>
        <w:rPr>
          <w:color w:val="000000"/>
        </w:rPr>
        <w:t xml:space="preserve"> e Alfa de Jensen (Jensen, 1968, citado em Neto, 2018). Adicionalmente, para a estratégia GBI, foi avaliada a probabilidade de atingimento dos objetivos financeiros (Das et al., 2010).</w:t>
      </w:r>
    </w:p>
    <w:p>
      <w:pPr>
        <w:pStyle w:val="Normal"/>
        <w:spacing w:lineRule="auto" w:line="360"/>
        <w:rPr>
          <w:color w:val="000000"/>
        </w:rPr>
      </w:pPr>
      <w:r>
        <w:rPr>
          <w:color w:val="000000"/>
        </w:rPr>
      </w:r>
    </w:p>
    <w:p>
      <w:pPr>
        <w:pStyle w:val="BodyText"/>
        <w:spacing w:lineRule="auto" w:line="360"/>
        <w:rPr>
          <w:color w:val="000000"/>
        </w:rPr>
      </w:pPr>
      <w:r>
        <w:rPr>
          <w:color w:val="000000"/>
        </w:rPr>
        <w:tab/>
        <w:t>É fundamental reconhecer as limitações inerentes a este estudo. A simulação não incorporou custos de transação ou impostos, assumiu que não havia impacto no mercado e pode conter viés de sobrevivência (</w:t>
      </w:r>
      <w:r>
        <w:rPr>
          <w:i/>
          <w:color w:val="000000"/>
        </w:rPr>
        <w:t>survivorship bias</w:t>
      </w:r>
      <w:r>
        <w:rPr>
          <w:color w:val="000000"/>
        </w:rPr>
        <w:t>). Adicionalmente, os resultados são contingentes à amostra e ao período histórico selecionados, e a implementação do GBI é uma entre muitas possíveis.</w:t>
      </w:r>
    </w:p>
    <w:p>
      <w:pPr>
        <w:pStyle w:val="BodyText"/>
        <w:spacing w:lineRule="auto" w:line="360"/>
        <w:rPr>
          <w:color w:val="000000"/>
        </w:rPr>
      </w:pPr>
      <w:r>
        <w:rPr>
          <w:color w:val="000000"/>
        </w:rPr>
        <w:tab/>
        <w:t>Os códigos desenvolvidos para construção do trabalho foram disponibilizados através do link [1], da plataforma GitHub. Estando assim, disponível para consulta pública.</w:t>
      </w:r>
    </w:p>
    <w:p>
      <w:pPr>
        <w:pStyle w:val="Normal"/>
        <w:spacing w:lineRule="auto" w:line="360"/>
        <w:rPr>
          <w:color w:val="000000"/>
        </w:rPr>
      </w:pPr>
      <w:r>
        <w:rPr>
          <w:color w:val="000000"/>
        </w:rPr>
      </w:r>
    </w:p>
    <w:p>
      <w:pPr>
        <w:pStyle w:val="Normal"/>
        <w:spacing w:lineRule="auto" w:line="360"/>
        <w:rPr>
          <w:color w:val="000000"/>
        </w:rPr>
      </w:pPr>
      <w:r>
        <w:rPr>
          <w:color w:val="000000"/>
        </w:rPr>
      </w:r>
    </w:p>
    <w:p>
      <w:pPr>
        <w:pStyle w:val="ListParagraph"/>
        <w:spacing w:lineRule="auto" w:line="360"/>
        <w:ind w:left="0"/>
        <w:jc w:val="left"/>
        <w:rPr>
          <w:b/>
        </w:rPr>
      </w:pPr>
      <w:r>
        <w:rPr>
          <w:b/>
        </w:rPr>
        <w:t>Resultados e Discussão</w:t>
      </w:r>
    </w:p>
    <w:p>
      <w:pPr>
        <w:pStyle w:val="ListParagraph"/>
        <w:spacing w:lineRule="auto" w:line="360"/>
        <w:ind w:left="0"/>
        <w:jc w:val="left"/>
        <w:rPr>
          <w:b/>
        </w:rPr>
      </w:pPr>
      <w:r>
        <w:rPr>
          <w:b/>
        </w:rPr>
      </w:r>
    </w:p>
    <w:p>
      <w:pPr>
        <w:pStyle w:val="ListParagraph"/>
        <w:spacing w:lineRule="auto" w:line="360"/>
        <w:ind w:firstLine="709" w:left="0"/>
        <w:rPr/>
      </w:pPr>
      <w:r>
        <w:rPr/>
        <w:t xml:space="preserve">O título </w:t>
      </w:r>
    </w:p>
    <w:p>
      <w:pPr>
        <w:pStyle w:val="Normal"/>
        <w:spacing w:lineRule="auto" w:line="360"/>
        <w:rPr>
          <w:rStyle w:val="normaltextrun"/>
          <w:color w:val="000000"/>
          <w:shd w:fill="FFFFFF" w:val="clear"/>
        </w:rPr>
      </w:pPr>
      <w:r>
        <w:rPr>
          <w:rStyle w:val="normaltextrun"/>
          <w:color w:val="000000"/>
          <w:shd w:fill="FFFFFF" w:val="clear"/>
        </w:rPr>
        <w:t>Nesta seção, foram apresentados e discutidos os resultados obtidos por meio da simulação computacional, conforme delineado na metodologia. A análise comparativa das quatro estratégias de alocação de portfólio — Equal Weights (1/N), Otimização Média-Variância (Markowitz), Risk Parity e Goal-Based Investing (GBI) — visou responder à questão central da pesquisa sobre a eficácia de cada abordagem no mercado brasileiro entre 2014 e 2024.</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5.1. Desempenho Comparativo das Estratégias</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A simulação longitudinal retrospectiva gerou um conjunto de métricas de desempenho para cada uma das quatro carteiras, rebalanceadas trimestralmente. Os resultados consolidados ao final do período de 11 anos de análise foram sumarizados na Tabela 1.</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Tabela 1. Resumo das Métricas de Desempenho dos Portfólios (2014-2024).</w:t>
      </w:r>
    </w:p>
    <w:p>
      <w:pPr>
        <w:pStyle w:val="Normal"/>
        <w:spacing w:lineRule="auto" w:line="360"/>
        <w:rPr>
          <w:rStyle w:val="normaltextrun"/>
          <w:color w:val="000000"/>
          <w:shd w:fill="FFFFFF" w:val="clear"/>
        </w:rPr>
      </w:pPr>
      <w:r>
        <w:rPr>
          <w:rStyle w:val="normaltextrun"/>
          <w:color w:val="000000"/>
          <w:shd w:fill="FFFFFF" w:val="clear"/>
        </w:rPr>
        <w:t>| Métrica | 1/N (Equal Weights) | Markowitz (MVO) | Risk Parity | Goal-Based Investing (GBI) |</w:t>
      </w:r>
    </w:p>
    <w:p>
      <w:pPr>
        <w:pStyle w:val="Normal"/>
        <w:spacing w:lineRule="auto" w:line="360"/>
        <w:rPr>
          <w:rStyle w:val="normaltextrun"/>
          <w:color w:val="000000"/>
          <w:shd w:fill="FFFFFF" w:val="clear"/>
        </w:rPr>
      </w:pPr>
      <w:r>
        <w:rPr>
          <w:rStyle w:val="normaltextrun"/>
          <w:color w:val="000000"/>
          <w:shd w:fill="FFFFFF" w:val="clear"/>
        </w:rPr>
        <w:t>| :--- | :--- | :--- | :--- | :--- |</w:t>
      </w:r>
    </w:p>
    <w:p>
      <w:pPr>
        <w:pStyle w:val="Normal"/>
        <w:spacing w:lineRule="auto" w:line="360"/>
        <w:rPr>
          <w:rStyle w:val="normaltextrun"/>
          <w:color w:val="000000"/>
          <w:shd w:fill="FFFFFF" w:val="clear"/>
        </w:rPr>
      </w:pPr>
      <w:r>
        <w:rPr>
          <w:rStyle w:val="normaltextrun"/>
          <w:color w:val="000000"/>
          <w:shd w:fill="FFFFFF" w:val="clear"/>
        </w:rPr>
        <w:t>| Retorno Total | 217,32% | 266,36% | 206,80% | 133,58% |</w:t>
      </w:r>
    </w:p>
    <w:p>
      <w:pPr>
        <w:pStyle w:val="Normal"/>
        <w:spacing w:lineRule="auto" w:line="360"/>
        <w:rPr>
          <w:rStyle w:val="normaltextrun"/>
          <w:color w:val="000000"/>
          <w:shd w:fill="FFFFFF" w:val="clear"/>
        </w:rPr>
      </w:pPr>
      <w:r>
        <w:rPr>
          <w:rStyle w:val="normaltextrun"/>
          <w:color w:val="000000"/>
          <w:shd w:fill="FFFFFF" w:val="clear"/>
        </w:rPr>
        <w:t>| Volatilidade Anualizada | 18,35% | 19,70% | 18,01% | 26,60% |</w:t>
      </w:r>
    </w:p>
    <w:p>
      <w:pPr>
        <w:pStyle w:val="Normal"/>
        <w:spacing w:lineRule="auto" w:line="360"/>
        <w:rPr>
          <w:rStyle w:val="normaltextrun"/>
          <w:color w:val="000000"/>
          <w:shd w:fill="FFFFFF" w:val="clear"/>
        </w:rPr>
      </w:pPr>
      <w:r>
        <w:rPr>
          <w:rStyle w:val="normaltextrun"/>
          <w:color w:val="000000"/>
          <w:shd w:fill="FFFFFF" w:val="clear"/>
        </w:rPr>
        <w:t>| Índice de Sharpe | 0,57 | 0,62 | 0,57 | 0,36 |</w:t>
      </w:r>
    </w:p>
    <w:p>
      <w:pPr>
        <w:pStyle w:val="Normal"/>
        <w:spacing w:lineRule="auto" w:line="360"/>
        <w:rPr>
          <w:rStyle w:val="normaltextrun"/>
          <w:color w:val="000000"/>
          <w:shd w:fill="FFFFFF" w:val="clear"/>
        </w:rPr>
      </w:pPr>
      <w:r>
        <w:rPr>
          <w:rStyle w:val="normaltextrun"/>
          <w:color w:val="000000"/>
          <w:shd w:fill="FFFFFF" w:val="clear"/>
        </w:rPr>
        <w:t>| Índice de Sortino | 0,64 | 0,76 | 0,62 | 0,30 |</w:t>
      </w:r>
    </w:p>
    <w:p>
      <w:pPr>
        <w:pStyle w:val="Normal"/>
        <w:spacing w:lineRule="auto" w:line="360"/>
        <w:rPr>
          <w:rStyle w:val="normaltextrun"/>
          <w:color w:val="000000"/>
          <w:shd w:fill="FFFFFF" w:val="clear"/>
        </w:rPr>
      </w:pPr>
      <w:r>
        <w:rPr>
          <w:rStyle w:val="normaltextrun"/>
          <w:color w:val="000000"/>
          <w:shd w:fill="FFFFFF" w:val="clear"/>
        </w:rPr>
        <w:t>| Alfa de Jensen | 0,002 | 0,057 | 0,001 | -0,011 |</w:t>
      </w:r>
    </w:p>
    <w:p>
      <w:pPr>
        <w:pStyle w:val="Normal"/>
        <w:spacing w:lineRule="auto" w:line="360"/>
        <w:rPr>
          <w:rStyle w:val="normaltextrun"/>
          <w:color w:val="000000"/>
          <w:shd w:fill="FFFFFF" w:val="clear"/>
        </w:rPr>
      </w:pPr>
      <w:r>
        <w:rPr>
          <w:rStyle w:val="normaltextrun"/>
          <w:color w:val="000000"/>
          <w:shd w:fill="FFFFFF" w:val="clear"/>
        </w:rPr>
        <w:t>| Maximum Drawdown | -42,44% | -52,60% | -42,27% | -54,10% |</w:t>
      </w:r>
    </w:p>
    <w:p>
      <w:pPr>
        <w:pStyle w:val="Normal"/>
        <w:spacing w:lineRule="auto" w:line="360"/>
        <w:rPr>
          <w:rStyle w:val="normaltextrun"/>
          <w:color w:val="000000"/>
          <w:shd w:fill="FFFFFF" w:val="clear"/>
        </w:rPr>
      </w:pPr>
      <w:r>
        <w:rPr>
          <w:rStyle w:val="normaltextrun"/>
          <w:color w:val="000000"/>
          <w:shd w:fill="FFFFFF" w:val="clear"/>
        </w:rPr>
        <w:t>| Probabilidade de Sucesso | N/A | N/A | N/A | 54,55% |</w:t>
      </w:r>
    </w:p>
    <w:p>
      <w:pPr>
        <w:pStyle w:val="Normal"/>
        <w:spacing w:lineRule="auto" w:line="360"/>
        <w:rPr>
          <w:rStyle w:val="normaltextrun"/>
          <w:color w:val="000000"/>
          <w:shd w:fill="FFFFFF" w:val="clear"/>
        </w:rPr>
      </w:pPr>
      <w:r>
        <w:rPr>
          <w:rStyle w:val="normaltextrun"/>
          <w:color w:val="000000"/>
          <w:shd w:fill="FFFFFF" w:val="clear"/>
        </w:rPr>
        <w:t>Fonte: Resultados originais da pesquisa</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Da análise da Tabela 1, emergiram observações primárias cruciais. A estratégia de Otimização Média-Variância (Markowitz) destacou-se com o desempenho superior sob as métricas tradicionais de retorno ajustado ao risco, alcançando o maior Retorno Total (266,36%) e os maiores Índices de Sharpe (0,62) e Sortino (0,76). Seu Alfa de Jensen positivo e substancial (0,057) indicou uma capacidade de gerar retornos acima do esperado pelo modelo CAPM.</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As estratégias heurísticas, 1/N e Risk Parity, apresentaram resultados notavelmente similares entre si e competitivos. Ambas exibiram menor volatilidade e um Maximum Drawdown significativamente mais contido em comparação com a estratégia de Markowitz, com a Risk Parity registrando os menores valores para ambas as métricas. Seus Índices de Sharpe foram idênticos e apenas marginalmente inferiores ao da otimização clássica, sugerindo uma elevada eficiência para estratégias de menor complexidade.</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Em contraste, a estratégia Goal-Based Investing (GBI) apresentou o menor retorno total e os piores indicadores de risco ajustado. Contudo, foi a única estratégia para a qual a Probabilidade de Sucesso — a métrica central de sua concepção — pôde ser calculada, atingindo 54,55%.</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5.2. Discussão dos Resultados</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A análise aprofundada dos resultados revelou um claro trade-off entre diferentes filosofias de investimento, alinhando-se com a literatura acadêmica e os objetivos desta pesquisa.</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5.2.1. A Eficiência e os Riscos da Otimização Clássica</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O desempenho superior do portfólio de Markowitz confirmou a robustez teórica do modelo em maximizar o retorno ajustado ao risco ex-post. O Alfa de Jensen positivo sugeriu que, no período analisado, a otimização foi capaz de identificar e explorar eficiências de mercado. No entanto, essa otimização não ocorreu sem custos: o portfólio apresentou o segundo maior Maximum Drawdown (-52,60%), indicando que a busca pelo ponto ótimo na fronteira eficiente pode expor o investidor a perdas significativas. Este resultado evidencia o dilema central da otimização média-variância: sua sensibilidade aos parâmetros de entrada, que pode levar a alocações agressivas e concentradas.</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5.2.2. A Robustez das Estratégias Heurísticas</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Os resultados das estratégias 1/N e Risk Parity corroboraram as conclusões de DeMiguel et al. (2009), que questionaram a superioridade prática de modelos de otimização complexos. O fato de que ambas as estratégias alcançaram Índices de Sharpe de 0,57, muito próximos ao de Markowitz, mas com um Maximum Drawdown cerca de 10 pontos percentuais menor, constituiu um forte argumento em favor de sua robustez. A simplicidade e a ausência de otimização formal pareceram ter protegido esses portfólios dos "erros de estimação". A performance da Risk Parity, com a menor volatilidade e o menor drawdown de todas, sugeriu que a gestão de risco baseada na volatilidade inversa foi uma técnica eficaz para a construção de carteiras resilientes no mercado brasileiro.</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5.2.3. Reinterpretando o Desempenho do Goal-Based Investing</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O desempenho do portfólio GBI, quando avaliado por métricas tradicionais, pareceu desapontador. Contudo, tal análise é metodologicamente inadequada, pois ignora a função-objetivo para a qual a estratégia foi concebida. Conforme a teoria de Das et al. (2010), o GBI não visa maximizar o Índice de Sharpe, mas sim a probabilidade de atingir uma meta financeira.</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A alta volatilidade (26,60%) e o elevado Maximum Drawdown (-54,10%) não foram necessariamente falhas, mas sim consequências de uma otimização que buscou agressivamente cumprir a restrição de probabilidade. O resultado mais relevante para esta estratégia foi a Probabilidade de Sucesso de 54,55%. Este indicador, embora não tenha atingido uma certeza elevada, ofereceu ao investidor uma medida tangível e psicologicamente relevante, alinhada aos preceitos da Teoria da Perspectiva (Kahneman e Tversky, 1979) e da alocação em "contas mentais".</w:t>
      </w:r>
    </w:p>
    <w:p>
      <w:pPr>
        <w:pStyle w:val="Normal"/>
        <w:spacing w:lineRule="auto" w:line="360"/>
        <w:rPr>
          <w:rStyle w:val="normaltextrun"/>
          <w:color w:val="000000"/>
          <w:shd w:fill="FFFFFF" w:val="clear"/>
        </w:rPr>
      </w:pPr>
      <w:r>
        <w:rPr/>
      </w:r>
    </w:p>
    <w:p>
      <w:pPr>
        <w:pStyle w:val="Normal"/>
        <w:spacing w:lineRule="auto" w:line="360"/>
        <w:rPr>
          <w:rStyle w:val="normaltextrun"/>
          <w:color w:val="000000"/>
          <w:shd w:fill="FFFFFF" w:val="clear"/>
        </w:rPr>
      </w:pPr>
      <w:r>
        <w:rPr>
          <w:rStyle w:val="normaltextrun"/>
          <w:color w:val="000000"/>
          <w:shd w:fill="FFFFFF" w:val="clear"/>
        </w:rPr>
        <w:t>Dessa forma, a estratégia GBI transformou a discussão de "risco como volatilidade" para "risco como a probabilidade de não atingir um objetivo de vida" (Chhabra, 2005). Para um investidor cuja principal preocupação é alcançar uma meta específica, saber que há uma probabilidade de sucesso de 54,55% com esta alocação é uma informação mais direta e acionável do que um Índice de Sharpe de 0,36..</w:t>
      </w:r>
    </w:p>
    <w:p>
      <w:pPr>
        <w:pStyle w:val="Normal"/>
        <w:spacing w:lineRule="auto" w:line="360"/>
        <w:rPr>
          <w:color w:val="000000"/>
          <w:shd w:fill="FFFFFF" w:val="clear"/>
        </w:rPr>
      </w:pPr>
      <w:r>
        <w:rPr>
          <w:color w:val="000000"/>
          <w:shd w:fill="FFFFFF" w:val="clear"/>
        </w:rPr>
      </w:r>
    </w:p>
    <w:p>
      <w:pPr>
        <w:pStyle w:val="ListParagraph"/>
        <w:spacing w:lineRule="auto" w:line="360"/>
        <w:ind w:left="0"/>
        <w:rPr>
          <w:b/>
        </w:rPr>
      </w:pPr>
      <w:r>
        <w:rPr>
          <w:b/>
        </w:rPr>
        <w:t>Conclusão(ões) ou Considerações Finais</w:t>
      </w:r>
    </w:p>
    <w:p>
      <w:pPr>
        <w:pStyle w:val="ListParagraph"/>
        <w:spacing w:lineRule="auto" w:line="360"/>
        <w:ind w:left="0"/>
        <w:jc w:val="left"/>
        <w:rPr/>
      </w:pPr>
      <w:r>
        <w:rPr/>
      </w:r>
    </w:p>
    <w:p>
      <w:pPr>
        <w:pStyle w:val="Normal"/>
        <w:spacing w:lineRule="auto" w:line="360"/>
        <w:ind w:firstLine="708"/>
        <w:rPr/>
      </w:pPr>
      <w:r>
        <w:rPr/>
        <w:t>O A presente pesquisa comparou, por meio de simulação computacional, a eficácia de quatro distintas estratégias de alocação de portfólio no mercado brasileiro de ETFs. A partir da análise dos resultados, foi possível inferir que não existe uma única metodologia universalmente superior; a escolha da abordagem "ótima" demonstrou ser estritamente dependente da definição de risco e do framework decisório do investidor.</w:t>
      </w:r>
    </w:p>
    <w:p>
      <w:pPr>
        <w:pStyle w:val="Normal"/>
        <w:spacing w:lineRule="auto" w:line="360"/>
        <w:ind w:firstLine="708"/>
        <w:rPr/>
      </w:pPr>
      <w:r>
        <w:rPr/>
      </w:r>
    </w:p>
    <w:p>
      <w:pPr>
        <w:pStyle w:val="Normal"/>
        <w:spacing w:lineRule="auto" w:line="360"/>
        <w:ind w:firstLine="708"/>
        <w:rPr/>
      </w:pPr>
      <w:r>
        <w:rPr/>
        <w:t>A Otimização Média-Variância de Markowitz confirmou sua robustez teórica, apresentando os maiores retornos ajustados ao risco. Contudo, essa eficiência foi acompanhada de uma maior exposição a perdas extremas, evidenciando o trade-off intrínseco à busca pela otimização clássica.</w:t>
      </w:r>
    </w:p>
    <w:p>
      <w:pPr>
        <w:pStyle w:val="Normal"/>
        <w:spacing w:lineRule="auto" w:line="360"/>
        <w:ind w:firstLine="708"/>
        <w:rPr/>
      </w:pPr>
      <w:r>
        <w:rPr/>
      </w:r>
    </w:p>
    <w:p>
      <w:pPr>
        <w:pStyle w:val="Normal"/>
        <w:spacing w:lineRule="auto" w:line="360"/>
        <w:ind w:firstLine="708"/>
        <w:rPr/>
      </w:pPr>
      <w:r>
        <w:rPr/>
        <w:t>Em contrapartida, as estratégias heurísticas, Equal Weights (1/N) e Risk Parity, exibiram notável resiliência. O desempenho competitivo de ambas, aliado a uma volatilidade e a um rebaixamento máximo consideravelmente inferiores, reforçou a inferência de que a simplicidade e a ausência de otimização formal podem constituir uma proteção eficaz contra os erros de estimação inerentes a modelos mais complexos.</w:t>
      </w:r>
    </w:p>
    <w:p>
      <w:pPr>
        <w:pStyle w:val="Normal"/>
        <w:spacing w:lineRule="auto" w:line="360"/>
        <w:ind w:firstLine="708"/>
        <w:rPr/>
      </w:pPr>
      <w:r>
        <w:rPr/>
      </w:r>
    </w:p>
    <w:p>
      <w:pPr>
        <w:pStyle w:val="Normal"/>
        <w:spacing w:lineRule="auto" w:line="360"/>
        <w:ind w:firstLine="708"/>
        <w:rPr/>
      </w:pPr>
      <w:r>
        <w:rPr/>
        <w:t>A abordagem Goal-Based Investing (GBI), por sua vez, demonstrou que sua avaliação por métricas tradicionais é metodologicamente inadequada. A eficácia desta estratégia residiu na sua capacidade de traduzir o sucesso do investimento em uma métrica comportamentalmente relevante: a probabilidade de atingimento de metas. A análise inferiu que, para investidores cujo processo decisório é guiado por objetivos de vida, o GBI ofereceu o framework mais alinhado, redefinindo o conceito de "risco" como a probabilidade de fracasso em alcançar um objetivo financeiro concreto, em vez da mera volatilidade dos ativos.</w:t>
      </w:r>
    </w:p>
    <w:p>
      <w:pPr>
        <w:pStyle w:val="Normal"/>
        <w:spacing w:lineRule="auto" w:line="360"/>
        <w:rPr/>
      </w:pPr>
      <w:r>
        <w:rPr/>
      </w:r>
    </w:p>
    <w:p>
      <w:pPr>
        <w:pStyle w:val="Normal"/>
        <w:spacing w:lineRule="auto" w:line="360"/>
        <w:jc w:val="left"/>
        <w:rPr/>
      </w:pPr>
      <w:r>
        <w:rPr>
          <w:b/>
        </w:rPr>
        <w:t xml:space="preserve">Agradecimento </w:t>
      </w:r>
      <w:r>
        <w:rPr/>
        <w:t>(opcional, 1 parágrafo, bem sucinto)</w:t>
      </w:r>
    </w:p>
    <w:p>
      <w:pPr>
        <w:pStyle w:val="Normal"/>
        <w:spacing w:lineRule="auto" w:line="360"/>
        <w:jc w:val="left"/>
        <w:rPr/>
      </w:pPr>
      <w:r>
        <w:rPr/>
      </w:r>
    </w:p>
    <w:p>
      <w:pPr>
        <w:pStyle w:val="Normal"/>
        <w:spacing w:lineRule="auto" w:line="360"/>
        <w:ind w:firstLine="709"/>
        <w:rPr/>
      </w:pPr>
      <w:r>
        <w:rPr/>
        <w:t>O título da seção Agradecimentos deve ser alinhado à esquerda e grafado em negrito, com a primeira letra da palavra grafada em letra maiúscula. Trata-se de uma seção opcional, de no máximo três linhas, na qual o autor agradece àqueles que contribuíram de maneira relevante para o desenvolvimento do trabalho e elaboração do TCC, mas que não tiveram o envolvimento intelectual necessário à atribuição de coautoria. O autor deve se abster da menção ou citação dos nomes das empresas, instituições ou pessoas que permitiram ou contribuíram com o desenvolvimento do trabalho, a menos que esteja documentalmente autorizado a fazê-lo.</w:t>
      </w:r>
    </w:p>
    <w:p>
      <w:pPr>
        <w:pStyle w:val="Normal"/>
        <w:spacing w:lineRule="auto" w:line="360"/>
        <w:rPr>
          <w:b/>
        </w:rPr>
      </w:pPr>
      <w:r>
        <w:rPr>
          <w:b/>
        </w:rPr>
        <w:t xml:space="preserve">Atenção: </w:t>
      </w:r>
      <w:r>
        <w:rPr>
          <w:rStyle w:val="normaltextrun"/>
          <w:color w:val="000000"/>
          <w:shd w:fill="FFFFFF" w:val="clear"/>
        </w:rPr>
        <w:t>antes de enviar o arquivo para o Sistema de TCCs, remova todas as instruções originais que estão abaixo do conteúdo dos tópicos.</w:t>
      </w:r>
    </w:p>
    <w:p>
      <w:pPr>
        <w:pStyle w:val="Normal"/>
        <w:spacing w:lineRule="auto" w:line="360"/>
        <w:rPr/>
      </w:pPr>
      <w:r>
        <w:rPr/>
      </w:r>
    </w:p>
    <w:p>
      <w:pPr>
        <w:pStyle w:val="Normal"/>
        <w:spacing w:lineRule="auto" w:line="360"/>
        <w:rPr>
          <w:b/>
        </w:rPr>
      </w:pPr>
      <w:bookmarkStart w:id="2" w:name="_Hlk33977167"/>
      <w:r>
        <w:rPr>
          <w:b/>
        </w:rPr>
        <w:t>Referências</w:t>
      </w:r>
      <w:bookmarkEnd w:id="2"/>
    </w:p>
    <w:p>
      <w:pPr>
        <w:pStyle w:val="Normal"/>
        <w:spacing w:lineRule="auto" w:line="360"/>
        <w:rPr>
          <w:b/>
        </w:rPr>
      </w:pPr>
      <w:r>
        <w:rPr>
          <w:b/>
        </w:rPr>
      </w:r>
    </w:p>
    <w:p>
      <w:pPr>
        <w:pStyle w:val="Normal"/>
        <w:spacing w:lineRule="auto" w:line="360"/>
        <w:ind w:firstLine="709"/>
        <w:jc w:val="both"/>
        <w:rPr>
          <w:rFonts w:ascii="Arial" w:hAnsi="Arial" w:cs="Arial"/>
          <w:sz w:val="22"/>
          <w:szCs w:val="22"/>
          <w:lang w:val="en-US"/>
        </w:rPr>
      </w:pPr>
      <w:r>
        <w:rPr>
          <w:rFonts w:cs="Arial"/>
          <w:bCs/>
          <w:sz w:val="22"/>
          <w:szCs w:val="22"/>
          <w:lang w:val="en-US"/>
        </w:rPr>
        <w:t>Asness, C. S.; Frazzini, A.; Pedersen, L. H. 2012. Leverage Aversion and Risk Parity. Financial Analysts Journal 68(1): 47-59.</w:t>
      </w:r>
    </w:p>
    <w:p>
      <w:pPr>
        <w:pStyle w:val="Normal"/>
        <w:spacing w:lineRule="auto" w:line="360"/>
        <w:ind w:firstLine="709"/>
        <w:jc w:val="both"/>
        <w:rPr>
          <w:rFonts w:ascii="Arial" w:hAnsi="Arial" w:cs="Arial"/>
          <w:sz w:val="22"/>
          <w:szCs w:val="22"/>
          <w:lang w:val="en-US"/>
        </w:rPr>
      </w:pPr>
      <w:r>
        <w:rPr>
          <w:rFonts w:cs="Arial"/>
          <w:bCs/>
          <w:sz w:val="22"/>
          <w:szCs w:val="22"/>
          <w:lang w:val="en-US"/>
        </w:rPr>
        <w:t>Brunel, J. L. P. 2015. Goals-Based Wealth Management: An Integrated and Practical Approach to Changing the Structure of Wealth Advisory Practices. Wiley Finance, Hoboken, NJ, EUA.</w:t>
      </w:r>
    </w:p>
    <w:p>
      <w:pPr>
        <w:pStyle w:val="Normal"/>
        <w:spacing w:lineRule="auto" w:line="360"/>
        <w:ind w:firstLine="709"/>
        <w:jc w:val="both"/>
        <w:rPr>
          <w:rFonts w:ascii="Arial" w:hAnsi="Arial" w:cs="Arial"/>
          <w:sz w:val="22"/>
          <w:szCs w:val="22"/>
          <w:lang w:val="en-US"/>
        </w:rPr>
      </w:pPr>
      <w:r>
        <w:rPr>
          <w:rFonts w:cs="Arial"/>
          <w:bCs/>
          <w:sz w:val="22"/>
          <w:szCs w:val="22"/>
          <w:lang w:val="en-US"/>
        </w:rPr>
        <w:t>Chhabra, A. B. 2005. Beyond Markowitz: A Comprehensive Wealth Allocation Framework for Individual Investors. The Journal of Wealth Management 7(4): 8-34.</w:t>
      </w:r>
    </w:p>
    <w:p>
      <w:pPr>
        <w:pStyle w:val="Normal"/>
        <w:spacing w:lineRule="auto" w:line="360"/>
        <w:ind w:firstLine="709"/>
        <w:jc w:val="both"/>
        <w:rPr>
          <w:rFonts w:ascii="Arial" w:hAnsi="Arial" w:cs="Arial"/>
          <w:sz w:val="22"/>
          <w:szCs w:val="22"/>
          <w:lang w:val="en-US"/>
        </w:rPr>
      </w:pPr>
      <w:r>
        <w:rPr>
          <w:rFonts w:cs="Arial"/>
          <w:bCs/>
          <w:sz w:val="22"/>
          <w:szCs w:val="22"/>
          <w:lang w:val="en-US"/>
        </w:rPr>
        <w:t>Das, S.; Chandani, A. 2018. Performance of Exchange Traded Funds (ETFs) in India. International Journal of Financial Management 8(1): 1-8.</w:t>
      </w:r>
    </w:p>
    <w:p>
      <w:pPr>
        <w:pStyle w:val="Normal"/>
        <w:spacing w:lineRule="auto" w:line="360"/>
        <w:ind w:firstLine="709"/>
        <w:jc w:val="both"/>
        <w:rPr>
          <w:rFonts w:ascii="Arial" w:hAnsi="Arial" w:cs="Arial"/>
          <w:sz w:val="22"/>
          <w:szCs w:val="22"/>
          <w:lang w:val="en-US"/>
        </w:rPr>
      </w:pPr>
      <w:r>
        <w:rPr>
          <w:rFonts w:cs="Arial"/>
          <w:bCs/>
          <w:sz w:val="22"/>
          <w:szCs w:val="22"/>
          <w:lang w:val="en-US"/>
        </w:rPr>
        <w:t>Das, S.; Markowitz, H.; Scheid, J.; Statman, M. 2010. Portfolio Optimization with Mental Accounts. Journal of Financial and Quantitative Analysis 45(2): 311-334.</w:t>
      </w:r>
    </w:p>
    <w:p>
      <w:pPr>
        <w:pStyle w:val="Normal"/>
        <w:spacing w:lineRule="auto" w:line="360"/>
        <w:ind w:firstLine="709"/>
        <w:jc w:val="both"/>
        <w:rPr>
          <w:rFonts w:ascii="Arial" w:hAnsi="Arial" w:cs="Arial"/>
          <w:sz w:val="22"/>
          <w:szCs w:val="22"/>
          <w:lang w:val="en-US"/>
        </w:rPr>
      </w:pPr>
      <w:r>
        <w:rPr>
          <w:rFonts w:cs="Arial"/>
          <w:bCs/>
          <w:sz w:val="22"/>
          <w:szCs w:val="22"/>
          <w:lang w:val="en-US"/>
        </w:rPr>
        <w:t>DeMiguel, V.; Garlappi, L.; Uppal, R. 2009. Optimal Versus Naive Diversification: How Inefficient is the 1/N Portfolio Strategy? The Review of Financial Studies 22(5): 1915-1953.</w:t>
      </w:r>
    </w:p>
    <w:p>
      <w:pPr>
        <w:pStyle w:val="Normal"/>
        <w:spacing w:lineRule="auto" w:line="360"/>
        <w:ind w:firstLine="709"/>
        <w:jc w:val="both"/>
        <w:rPr>
          <w:rFonts w:ascii="Arial" w:hAnsi="Arial" w:cs="Arial"/>
          <w:sz w:val="22"/>
          <w:szCs w:val="22"/>
          <w:lang w:val="en-US"/>
        </w:rPr>
      </w:pPr>
      <w:r>
        <w:rPr>
          <w:rFonts w:cs="Arial"/>
          <w:bCs/>
          <w:sz w:val="22"/>
          <w:szCs w:val="22"/>
          <w:lang w:val="en-US"/>
        </w:rPr>
        <w:t>Feibel, B. J. 2003. Investment Performance Measurement. Wiley, Hoboken, NJ, EUA.</w:t>
      </w:r>
    </w:p>
    <w:p>
      <w:pPr>
        <w:pStyle w:val="Normal"/>
        <w:spacing w:lineRule="auto" w:line="360"/>
        <w:ind w:firstLine="709"/>
        <w:jc w:val="both"/>
        <w:rPr>
          <w:rFonts w:ascii="Arial" w:hAnsi="Arial" w:cs="Arial"/>
          <w:sz w:val="22"/>
          <w:szCs w:val="22"/>
          <w:lang w:val="en-US"/>
        </w:rPr>
      </w:pPr>
      <w:r>
        <w:rPr>
          <w:rFonts w:cs="Arial"/>
          <w:sz w:val="22"/>
          <w:szCs w:val="22"/>
          <w:lang w:val="en-US"/>
        </w:rPr>
      </w:r>
    </w:p>
    <w:p>
      <w:pPr>
        <w:pStyle w:val="Normal"/>
        <w:spacing w:lineRule="auto" w:line="360"/>
        <w:ind w:firstLine="709"/>
        <w:jc w:val="both"/>
        <w:rPr>
          <w:rFonts w:ascii="Arial" w:hAnsi="Arial" w:cs="Arial"/>
          <w:sz w:val="22"/>
          <w:szCs w:val="22"/>
          <w:lang w:val="en-US"/>
        </w:rPr>
      </w:pPr>
      <w:r>
        <w:rPr>
          <w:rFonts w:cs="Arial"/>
          <w:bCs/>
          <w:sz w:val="22"/>
          <w:szCs w:val="22"/>
          <w:lang w:val="en-US"/>
        </w:rPr>
        <w:t>Gil, A. C. 2017. Como Elaborar Projetos de Pesquisa. 6ed. Atlas, São Paulo, SP, Brasil.</w:t>
      </w:r>
    </w:p>
    <w:p>
      <w:pPr>
        <w:pStyle w:val="Normal"/>
        <w:spacing w:lineRule="auto" w:line="360"/>
        <w:ind w:firstLine="709"/>
        <w:jc w:val="both"/>
        <w:rPr>
          <w:rFonts w:ascii="Arial" w:hAnsi="Arial" w:cs="Arial"/>
          <w:sz w:val="22"/>
          <w:szCs w:val="22"/>
          <w:lang w:val="en-US"/>
        </w:rPr>
      </w:pPr>
      <w:r>
        <w:rPr>
          <w:rFonts w:cs="Arial"/>
          <w:bCs/>
          <w:sz w:val="22"/>
          <w:szCs w:val="22"/>
          <w:lang w:val="en-US"/>
        </w:rPr>
        <w:t>Kahneman, D.; Tversky, A. 1979. Prospect Theory: An Analysis of Decision under Risk. Econometrica 47(2): 263-291.</w:t>
      </w:r>
    </w:p>
    <w:p>
      <w:pPr>
        <w:pStyle w:val="Normal"/>
        <w:spacing w:lineRule="auto" w:line="360"/>
        <w:ind w:firstLine="709"/>
        <w:jc w:val="both"/>
        <w:rPr>
          <w:rFonts w:ascii="Arial" w:hAnsi="Arial" w:cs="Arial"/>
          <w:sz w:val="22"/>
          <w:szCs w:val="22"/>
          <w:lang w:val="en-US"/>
        </w:rPr>
      </w:pPr>
      <w:r>
        <w:rPr>
          <w:rFonts w:cs="Arial"/>
          <w:bCs/>
          <w:sz w:val="22"/>
          <w:szCs w:val="22"/>
          <w:lang w:val="en-US"/>
        </w:rPr>
        <w:t>Ledoit, O.; Wolf, M. 2004. Honey, I Shrunk the Sample Covariance Matrix. The Journal of Portfolio Management 30(4): 110-119.</w:t>
      </w:r>
    </w:p>
    <w:p>
      <w:pPr>
        <w:pStyle w:val="Normal"/>
        <w:spacing w:lineRule="auto" w:line="360"/>
        <w:ind w:firstLine="709"/>
        <w:jc w:val="both"/>
        <w:rPr>
          <w:rFonts w:ascii="Arial" w:hAnsi="Arial" w:cs="Arial"/>
          <w:sz w:val="22"/>
          <w:szCs w:val="22"/>
          <w:lang w:val="en-US"/>
        </w:rPr>
      </w:pPr>
      <w:r>
        <w:rPr>
          <w:rFonts w:cs="Arial"/>
          <w:bCs/>
          <w:sz w:val="22"/>
          <w:szCs w:val="22"/>
          <w:lang w:val="en-US"/>
        </w:rPr>
        <w:t>Maillard, S.; Roncalli, T.; Teïletché, J. 2010. The Properties of Equal Risk Contribution Portfolios. The Journal of Portfolio Management 36(4): 60-70.</w:t>
      </w:r>
    </w:p>
    <w:p>
      <w:pPr>
        <w:pStyle w:val="Normal"/>
        <w:spacing w:lineRule="auto" w:line="360"/>
        <w:ind w:firstLine="709"/>
        <w:jc w:val="both"/>
        <w:rPr>
          <w:rFonts w:ascii="Arial" w:hAnsi="Arial" w:cs="Arial"/>
          <w:sz w:val="22"/>
          <w:szCs w:val="22"/>
          <w:lang w:val="en-US"/>
        </w:rPr>
      </w:pPr>
      <w:r>
        <w:rPr>
          <w:rFonts w:cs="Arial"/>
          <w:bCs/>
          <w:sz w:val="22"/>
          <w:szCs w:val="22"/>
          <w:lang w:val="en-US"/>
        </w:rPr>
        <w:t>Markowitz, H. 1952. Portfolio Selection. The Journal of Finance 7(1): 77-91.</w:t>
      </w:r>
    </w:p>
    <w:p>
      <w:pPr>
        <w:pStyle w:val="Normal"/>
        <w:spacing w:lineRule="auto" w:line="360"/>
        <w:ind w:firstLine="709"/>
        <w:jc w:val="both"/>
        <w:rPr>
          <w:rFonts w:ascii="Arial" w:hAnsi="Arial" w:cs="Arial"/>
          <w:sz w:val="22"/>
          <w:szCs w:val="22"/>
          <w:lang w:val="en-US"/>
        </w:rPr>
      </w:pPr>
      <w:r>
        <w:rPr>
          <w:rFonts w:cs="Arial"/>
          <w:bCs/>
          <w:sz w:val="22"/>
          <w:szCs w:val="22"/>
          <w:lang w:val="en-US"/>
        </w:rPr>
        <w:t xml:space="preserve">Neto, A. A. 2018. Mercado Financeiro. 14ed. Atlas, São Paulo, SP, Brasil. </w:t>
      </w:r>
    </w:p>
    <w:p>
      <w:pPr>
        <w:pStyle w:val="Normal"/>
        <w:spacing w:lineRule="auto" w:line="360"/>
        <w:ind w:firstLine="709"/>
        <w:jc w:val="both"/>
        <w:rPr>
          <w:rFonts w:ascii="Arial" w:hAnsi="Arial" w:cs="Arial"/>
          <w:sz w:val="22"/>
          <w:szCs w:val="22"/>
          <w:lang w:val="en-US"/>
        </w:rPr>
      </w:pPr>
      <w:r>
        <w:rPr>
          <w:rFonts w:cs="Arial"/>
          <w:bCs/>
          <w:sz w:val="22"/>
          <w:szCs w:val="22"/>
          <w:lang w:val="en-US"/>
        </w:rPr>
        <w:t>Nevins, D. 2004. Goals-Based Investing: Integrating Traditional and Behavioral Finance. The Journal of Wealth Management 6(4): 8-23.</w:t>
      </w:r>
    </w:p>
    <w:p>
      <w:pPr>
        <w:pStyle w:val="Normal"/>
        <w:spacing w:lineRule="auto" w:line="360"/>
        <w:ind w:firstLine="709"/>
        <w:jc w:val="both"/>
        <w:rPr>
          <w:rFonts w:ascii="Arial" w:hAnsi="Arial" w:cs="Arial"/>
          <w:sz w:val="22"/>
          <w:szCs w:val="22"/>
          <w:lang w:val="en-US"/>
        </w:rPr>
      </w:pPr>
      <w:r>
        <w:rPr>
          <w:rFonts w:cs="Arial"/>
          <w:bCs/>
          <w:sz w:val="22"/>
          <w:szCs w:val="22"/>
          <w:lang w:val="en-US"/>
        </w:rPr>
        <w:t xml:space="preserve">Sharpe, W. F. 1966. Mutual Fund Performance. The Journal of Business 39(1): 119-138. </w:t>
      </w:r>
    </w:p>
    <w:p>
      <w:pPr>
        <w:pStyle w:val="Normal"/>
        <w:spacing w:lineRule="auto" w:line="360"/>
        <w:ind w:firstLine="709"/>
        <w:jc w:val="both"/>
        <w:rPr>
          <w:rFonts w:ascii="Arial" w:hAnsi="Arial" w:cs="Arial"/>
          <w:sz w:val="22"/>
          <w:szCs w:val="22"/>
          <w:lang w:val="en-US"/>
        </w:rPr>
      </w:pPr>
      <w:r>
        <w:rPr>
          <w:rStyle w:val="normaltextrun"/>
          <w:rFonts w:cs="Arial"/>
          <w:bCs/>
          <w:color w:val="000000"/>
          <w:sz w:val="22"/>
          <w:szCs w:val="22"/>
          <w:shd w:fill="FFFFFF" w:val="clear"/>
          <w:lang w:val="en-US"/>
        </w:rPr>
        <w:t>Sortino, F. A.; Price, L. N. 1994. Performance Measurement in a Downside Risk Framework. The Journal of Investing 3(3): 59-64.</w:t>
      </w:r>
    </w:p>
    <w:p>
      <w:pPr>
        <w:pStyle w:val="Normal"/>
        <w:spacing w:lineRule="auto" w:line="360"/>
        <w:rPr/>
      </w:pPr>
      <w:r>
        <w:rPr/>
      </w:r>
    </w:p>
    <w:p>
      <w:pPr>
        <w:pStyle w:val="Normal"/>
        <w:spacing w:lineRule="auto" w:line="360"/>
        <w:rPr>
          <w:b/>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1418"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ahoma">
    <w:charset w:val="01"/>
    <w:family w:val="swiss"/>
    <w:pitch w:val="variable"/>
  </w:font>
  <w:font w:name="ArialM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10</w:t>
    </w:r>
    <w:r>
      <w:rPr>
        <w:sz w:val="18"/>
        <w:szCs w:val="18"/>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10</w:t>
    </w:r>
    <w:r>
      <w:rPr>
        <w:sz w:val="18"/>
        <w:szCs w:val="18"/>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28">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2" y="0"/>
              <wp:lineTo x="-2" y="20679"/>
              <wp:lineTo x="21030" y="20679"/>
              <wp:lineTo x="21030" y="0"/>
              <wp:lineTo x="-2" y="0"/>
            </wp:wrapPolygon>
          </wp:wrapThrough>
          <wp:docPr id="1"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a:noFill/>
                </pic:spPr>
              </pic:pic>
            </a:graphicData>
          </a:graphic>
        </wp:anchor>
      </w:drawing>
    </w:r>
    <w:r>
      <w:rPr>
        <w:sz w:val="16"/>
        <w:szCs w:val="17"/>
      </w:rPr>
      <w:t xml:space="preserve">Trabalho de Conclusão de Curso apresentado para obtenção do título de especialista em </w:t>
    </w:r>
    <w:r>
      <w:rPr>
        <w:sz w:val="16"/>
        <w:szCs w:val="17"/>
      </w:rPr>
      <w:t>Finanças e Controladoria</w:t>
    </w:r>
    <w:r>
      <w:rPr>
        <w:sz w:val="16"/>
        <w:szCs w:val="17"/>
      </w:rPr>
      <w:t xml:space="preserve">  – </w:t>
    </w:r>
    <w:r>
      <w:rPr>
        <w:sz w:val="16"/>
        <w:szCs w:val="17"/>
      </w:rPr>
      <w:t>2025</w:t>
    </w:r>
  </w:p>
  <w:p>
    <w:pPr>
      <w:pStyle w:val="Header"/>
      <w:tabs>
        <w:tab w:val="clear" w:pos="4252"/>
        <w:tab w:val="clear" w:pos="8504"/>
        <w:tab w:val="left" w:pos="1785" w:leader="none"/>
      </w:tabs>
      <w:rPr/>
    </w:pPr>
    <w:r>
      <mc:AlternateContent>
        <mc:Choice Requires="wps">
          <w:drawing>
            <wp:anchor behindDoc="1" distT="1905" distB="1905" distL="1905" distR="1905" simplePos="0" locked="0" layoutInCell="0" allowOverlap="1" relativeHeight="14" wp14:anchorId="34FDC6CC">
              <wp:simplePos x="0" y="0"/>
              <wp:positionH relativeFrom="margin">
                <wp:align>right</wp:align>
              </wp:positionH>
              <wp:positionV relativeFrom="paragraph">
                <wp:posOffset>106045</wp:posOffset>
              </wp:positionV>
              <wp:extent cx="5753100" cy="635"/>
              <wp:effectExtent l="1905" t="1905" r="1905" b="1905"/>
              <wp:wrapNone/>
              <wp:docPr id="2" name="Conector reto 844941520"/>
              <a:graphic xmlns:a="http://schemas.openxmlformats.org/drawingml/2006/main">
                <a:graphicData uri="http://schemas.microsoft.com/office/word/2010/wordprocessingShape">
                  <wps:wsp>
                    <wps:cNvSpPr/>
                    <wps:spPr>
                      <a:xfrm flipV="1">
                        <a:off x="0" y="0"/>
                        <a:ext cx="5753160" cy="720"/>
                      </a:xfrm>
                      <a:prstGeom prst="line">
                        <a:avLst/>
                      </a:prstGeom>
                      <a:ln w="3175">
                        <a:solidFill>
                          <a:srgbClr val="595959"/>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3pt,8.35pt" to="453.25pt,8.35pt" ID="Conector reto 844941520" stroked="t" o:allowincell="f" style="position:absolute;flip:y;mso-position-horizontal:right;mso-position-horizontal-relative:margin" wp14:anchorId="34FDC6CC">
              <v:stroke color="#595959" weight="3240" joinstyle="round" endcap="flat"/>
              <v:fill o:detectmouseclick="t" on="false"/>
              <w10:wrap type="none"/>
            </v:line>
          </w:pict>
        </mc:Fallback>
      </mc:AlternateContent>
    </w:r>
    <w:r>
      <w:rPr/>
      <w:tab/>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28">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2" y="0"/>
              <wp:lineTo x="-2" y="20679"/>
              <wp:lineTo x="21030" y="20679"/>
              <wp:lineTo x="21030" y="0"/>
              <wp:lineTo x="-2" y="0"/>
            </wp:wrapPolygon>
          </wp:wrapThrough>
          <wp:docPr id="3"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a:noFill/>
                </pic:spPr>
              </pic:pic>
            </a:graphicData>
          </a:graphic>
        </wp:anchor>
      </w:drawing>
    </w:r>
    <w:r>
      <w:rPr>
        <w:sz w:val="16"/>
        <w:szCs w:val="17"/>
      </w:rPr>
      <w:t xml:space="preserve">Trabalho de Conclusão de Curso apresentado para obtenção do título de especialista em </w:t>
    </w:r>
    <w:r>
      <w:rPr>
        <w:sz w:val="16"/>
        <w:szCs w:val="17"/>
      </w:rPr>
      <w:t>Finanças e Controladoria</w:t>
    </w:r>
    <w:r>
      <w:rPr>
        <w:sz w:val="16"/>
        <w:szCs w:val="17"/>
      </w:rPr>
      <w:t xml:space="preserve">  – </w:t>
    </w:r>
    <w:r>
      <w:rPr>
        <w:sz w:val="16"/>
        <w:szCs w:val="17"/>
      </w:rPr>
      <w:t>2025</w:t>
    </w:r>
  </w:p>
  <w:p>
    <w:pPr>
      <w:pStyle w:val="Header"/>
      <w:tabs>
        <w:tab w:val="clear" w:pos="4252"/>
        <w:tab w:val="clear" w:pos="8504"/>
        <w:tab w:val="left" w:pos="1785" w:leader="none"/>
      </w:tabs>
      <w:rPr/>
    </w:pPr>
    <w:r>
      <mc:AlternateContent>
        <mc:Choice Requires="wps">
          <w:drawing>
            <wp:anchor behindDoc="1" distT="1905" distB="1905" distL="1905" distR="1905" simplePos="0" locked="0" layoutInCell="0" allowOverlap="1" relativeHeight="14" wp14:anchorId="34FDC6CC">
              <wp:simplePos x="0" y="0"/>
              <wp:positionH relativeFrom="margin">
                <wp:align>right</wp:align>
              </wp:positionH>
              <wp:positionV relativeFrom="paragraph">
                <wp:posOffset>106045</wp:posOffset>
              </wp:positionV>
              <wp:extent cx="5753100" cy="635"/>
              <wp:effectExtent l="1905" t="1905" r="1905" b="1905"/>
              <wp:wrapNone/>
              <wp:docPr id="4" name="Conector reto 844941520"/>
              <a:graphic xmlns:a="http://schemas.openxmlformats.org/drawingml/2006/main">
                <a:graphicData uri="http://schemas.microsoft.com/office/word/2010/wordprocessingShape">
                  <wps:wsp>
                    <wps:cNvSpPr/>
                    <wps:spPr>
                      <a:xfrm flipV="1">
                        <a:off x="0" y="0"/>
                        <a:ext cx="5753160" cy="720"/>
                      </a:xfrm>
                      <a:prstGeom prst="line">
                        <a:avLst/>
                      </a:prstGeom>
                      <a:ln w="3175">
                        <a:solidFill>
                          <a:srgbClr val="595959"/>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3pt,8.35pt" to="453.25pt,8.35pt" ID="Conector reto 844941520" stroked="t" o:allowincell="f" style="position:absolute;flip:y;mso-position-horizontal:right;mso-position-horizontal-relative:margin" wp14:anchorId="34FDC6CC">
              <v:stroke color="#595959" weight="3240" joinstyle="round" endcap="flat"/>
              <v:fill o:detectmouseclick="t" on="false"/>
              <w10:wrap type="none"/>
            </v:line>
          </w:pict>
        </mc:Fallback>
      </mc:AlternateContent>
    </w:r>
    <w:r>
      <w:rPr/>
      <w:tab/>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val="bestFit" w:percent="228"/>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both"/>
    </w:pPr>
    <w:rPr>
      <w:rFonts w:ascii="Arial" w:hAnsi="Arial" w:eastAsia="Calibri" w:cs="Arial" w:eastAsiaTheme="minorHAnsi"/>
      <w:color w:val="auto"/>
      <w:kern w:val="0"/>
      <w:sz w:val="22"/>
      <w:szCs w:val="22"/>
      <w:lang w:val="pt-BR" w:eastAsia="en-US" w:bidi="ar-SA"/>
    </w:rPr>
  </w:style>
  <w:style w:type="paragraph" w:styleId="Heading2">
    <w:name w:val="heading 2"/>
    <w:basedOn w:val="Normal"/>
    <w:next w:val="Normal"/>
    <w:link w:val="Ttulo2Char"/>
    <w:uiPriority w:val="9"/>
    <w:unhideWhenUsed/>
    <w:qFormat/>
    <w:rsid w:val="000414df"/>
    <w:pPr>
      <w:keepNext w:val="true"/>
      <w:keepLines/>
      <w:spacing w:before="200" w:after="0"/>
      <w:jc w:val="left"/>
      <w:outlineLvl w:val="1"/>
    </w:pPr>
    <w:rPr>
      <w:rFonts w:eastAsia="" w:cs="" w:cstheme="majorBidi" w:eastAsiaTheme="majorEastAsia"/>
      <w:b/>
      <w:bCs/>
      <w:color w:themeColor="text1" w:val="000000"/>
      <w:szCs w:val="26"/>
      <w:lang w:val="en-US"/>
    </w:rPr>
  </w:style>
  <w:style w:type="character" w:styleId="DefaultParagraphFont" w:default="1">
    <w:name w:val="Default Paragraph Font"/>
    <w:uiPriority w:val="1"/>
    <w:semiHidden/>
    <w:unhideWhenUsed/>
    <w:qFormat/>
    <w:rPr/>
  </w:style>
  <w:style w:type="character" w:styleId="Ttulo2Char" w:customStyle="1">
    <w:name w:val="Título 2 Char"/>
    <w:basedOn w:val="DefaultParagraphFont"/>
    <w:link w:val="Heading2"/>
    <w:uiPriority w:val="9"/>
    <w:qFormat/>
    <w:rsid w:val="000414df"/>
    <w:rPr>
      <w:rFonts w:ascii="Arial" w:hAnsi="Arial" w:eastAsia="" w:cs="" w:cstheme="majorBidi" w:eastAsiaTheme="majorEastAsia"/>
      <w:b/>
      <w:bCs/>
      <w:color w:themeColor="text1" w:val="000000"/>
      <w:szCs w:val="26"/>
      <w:lang w:val="en-US"/>
    </w:rPr>
  </w:style>
  <w:style w:type="character" w:styleId="LineNumber">
    <w:name w:val="line number"/>
    <w:basedOn w:val="DefaultParagraphFont"/>
    <w:uiPriority w:val="99"/>
    <w:semiHidden/>
    <w:unhideWhenUsed/>
    <w:rsid w:val="005f5feb"/>
    <w:rPr/>
  </w:style>
  <w:style w:type="character" w:styleId="CabealhoChar" w:customStyle="1">
    <w:name w:val="Cabeçalho Char"/>
    <w:basedOn w:val="DefaultParagraphFont"/>
    <w:link w:val="Header"/>
    <w:uiPriority w:val="99"/>
    <w:qFormat/>
    <w:rsid w:val="005f5feb"/>
    <w:rPr/>
  </w:style>
  <w:style w:type="character" w:styleId="RodapChar" w:customStyle="1">
    <w:name w:val="Rodapé Char"/>
    <w:basedOn w:val="DefaultParagraphFont"/>
    <w:link w:val="Footer"/>
    <w:uiPriority w:val="99"/>
    <w:qFormat/>
    <w:rsid w:val="005f5feb"/>
    <w:rPr/>
  </w:style>
  <w:style w:type="character" w:styleId="Hyperlink">
    <w:name w:val="Hyperlink"/>
    <w:basedOn w:val="DefaultParagraphFont"/>
    <w:uiPriority w:val="99"/>
    <w:unhideWhenUsed/>
    <w:rsid w:val="00aa1edc"/>
    <w:rPr>
      <w:color w:themeColor="hyperlink" w:val="0000FF"/>
      <w:u w:val="single"/>
    </w:rPr>
  </w:style>
  <w:style w:type="character" w:styleId="TextodebaloChar" w:customStyle="1">
    <w:name w:val="Texto de balão Char"/>
    <w:basedOn w:val="DefaultParagraphFont"/>
    <w:link w:val="BalloonText"/>
    <w:uiPriority w:val="99"/>
    <w:semiHidden/>
    <w:qFormat/>
    <w:rsid w:val="001e108a"/>
    <w:rPr>
      <w:rFonts w:ascii="Tahoma" w:hAnsi="Tahoma" w:cs="Tahoma"/>
      <w:sz w:val="16"/>
      <w:szCs w:val="16"/>
    </w:rPr>
  </w:style>
  <w:style w:type="character" w:styleId="fontstyle01" w:customStyle="1">
    <w:name w:val="fontstyle01"/>
    <w:basedOn w:val="DefaultParagraphFont"/>
    <w:qFormat/>
    <w:rsid w:val="00af384d"/>
    <w:rPr>
      <w:rFonts w:ascii="ArialMT" w:hAnsi="ArialMT"/>
      <w:b w:val="false"/>
      <w:bCs w:val="false"/>
      <w:i w:val="false"/>
      <w:iCs w:val="false"/>
      <w:color w:val="000000"/>
      <w:sz w:val="22"/>
      <w:szCs w:val="22"/>
    </w:rPr>
  </w:style>
  <w:style w:type="character" w:styleId="normaltextrun" w:customStyle="1">
    <w:name w:val="normaltextrun"/>
    <w:basedOn w:val="DefaultParagraphFont"/>
    <w:qFormat/>
    <w:rsid w:val="00df03dc"/>
    <w:rPr/>
  </w:style>
  <w:style w:type="character" w:styleId="UnresolvedMention">
    <w:name w:val="Unresolved Mention"/>
    <w:basedOn w:val="DefaultParagraphFont"/>
    <w:uiPriority w:val="99"/>
    <w:semiHidden/>
    <w:unhideWhenUsed/>
    <w:qFormat/>
    <w:rsid w:val="009a1ffe"/>
    <w:rPr>
      <w:color w:val="605E5C"/>
      <w:shd w:fill="E1DFDD" w:val="clear"/>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CabealhoChar"/>
    <w:uiPriority w:val="99"/>
    <w:unhideWhenUsed/>
    <w:rsid w:val="005f5feb"/>
    <w:pPr>
      <w:tabs>
        <w:tab w:val="clear" w:pos="708"/>
        <w:tab w:val="center" w:pos="4252" w:leader="none"/>
        <w:tab w:val="right" w:pos="8504" w:leader="none"/>
      </w:tabs>
      <w:spacing w:lineRule="auto" w:line="240"/>
    </w:pPr>
    <w:rPr/>
  </w:style>
  <w:style w:type="paragraph" w:styleId="Footer">
    <w:name w:val="footer"/>
    <w:basedOn w:val="Normal"/>
    <w:link w:val="RodapChar"/>
    <w:uiPriority w:val="99"/>
    <w:unhideWhenUsed/>
    <w:rsid w:val="005f5feb"/>
    <w:pPr>
      <w:tabs>
        <w:tab w:val="clear" w:pos="708"/>
        <w:tab w:val="center" w:pos="4252" w:leader="none"/>
        <w:tab w:val="right" w:pos="8504" w:leader="none"/>
      </w:tabs>
      <w:spacing w:lineRule="auto" w:line="240"/>
    </w:pPr>
    <w:rPr/>
  </w:style>
  <w:style w:type="paragraph" w:styleId="BalloonText">
    <w:name w:val="Balloon Text"/>
    <w:basedOn w:val="Normal"/>
    <w:link w:val="TextodebaloChar"/>
    <w:uiPriority w:val="99"/>
    <w:semiHidden/>
    <w:unhideWhenUsed/>
    <w:qFormat/>
    <w:rsid w:val="001e108a"/>
    <w:pPr>
      <w:spacing w:lineRule="auto" w:line="240"/>
    </w:pPr>
    <w:rPr>
      <w:rFonts w:ascii="Tahoma" w:hAnsi="Tahoma" w:cs="Tahoma"/>
      <w:sz w:val="16"/>
      <w:szCs w:val="16"/>
    </w:rPr>
  </w:style>
  <w:style w:type="paragraph" w:styleId="NoSpacing">
    <w:name w:val="No Spacing"/>
    <w:uiPriority w:val="1"/>
    <w:qFormat/>
    <w:rsid w:val="001e108a"/>
    <w:pPr>
      <w:widowControl/>
      <w:suppressAutoHyphens w:val="true"/>
      <w:bidi w:val="0"/>
      <w:spacing w:lineRule="auto" w:line="240" w:before="0" w:after="0"/>
      <w:jc w:val="both"/>
    </w:pPr>
    <w:rPr>
      <w:rFonts w:ascii="Arial" w:hAnsi="Arial" w:eastAsia="Calibri" w:cs="Arial" w:eastAsiaTheme="minorHAnsi"/>
      <w:color w:val="auto"/>
      <w:kern w:val="0"/>
      <w:sz w:val="22"/>
      <w:szCs w:val="22"/>
      <w:lang w:val="pt-BR" w:eastAsia="en-US" w:bidi="ar-SA"/>
    </w:rPr>
  </w:style>
  <w:style w:type="paragraph" w:styleId="ListParagraph">
    <w:name w:val="List Paragraph"/>
    <w:basedOn w:val="Normal"/>
    <w:uiPriority w:val="34"/>
    <w:qFormat/>
    <w:rsid w:val="009629eb"/>
    <w:pPr>
      <w:spacing w:before="0" w:after="0"/>
      <w:ind w:left="720"/>
      <w:contextualSpacing/>
    </w:pPr>
    <w:rPr/>
  </w:style>
  <w:style w:type="paragraph" w:styleId="Revision">
    <w:name w:val="Revision"/>
    <w:uiPriority w:val="99"/>
    <w:semiHidden/>
    <w:qFormat/>
    <w:rsid w:val="00af384d"/>
    <w:pPr>
      <w:widowControl/>
      <w:suppressAutoHyphens w:val="true"/>
      <w:bidi w:val="0"/>
      <w:spacing w:lineRule="auto" w:line="240" w:before="0" w:after="0"/>
      <w:jc w:val="left"/>
    </w:pPr>
    <w:rPr>
      <w:rFonts w:ascii="Arial" w:hAnsi="Arial" w:eastAsia="Calibri" w:cs="Arial" w:eastAsiaTheme="minorHAnsi"/>
      <w:color w:val="auto"/>
      <w:kern w:val="0"/>
      <w:sz w:val="22"/>
      <w:szCs w:val="22"/>
      <w:lang w:val="pt-BR" w:eastAsia="en-US" w:bidi="ar-SA"/>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db4b1b"/>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cc.movelms.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38A81-C1A1-4DE1-A1E0-FDEA4AEEC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FD2793-7CD2-4ED6-B18F-AE2B73B81179}">
  <ds:schemaRefs>
    <ds:schemaRef ds:uri="http://schemas.microsoft.com/sharepoint/v3/contenttype/forms"/>
  </ds:schemaRefs>
</ds:datastoreItem>
</file>

<file path=customXml/itemProps3.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Application>LibreOffice/25.2.5.2$Linux_X86_64 LibreOffice_project/520$Build-2</Application>
  <AppVersion>15.0000</AppVersion>
  <Pages>13</Pages>
  <Words>3994</Words>
  <Characters>22681</Characters>
  <CharactersWithSpaces>26614</CharactersWithSpaces>
  <Paragraphs>116</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2024-05-27T13:50:00Z</dcterms:created>
  <dc:creator>thiago</dc:creator>
  <dc:description/>
  <dc:language>en-US</dc:language>
  <cp:lastModifiedBy/>
  <cp:lastPrinted>2014-09-18T13:37:00Z</cp:lastPrinted>
  <dcterms:modified xsi:type="dcterms:W3CDTF">2025-08-31T20:07:02Z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