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C7CD9">
      <w:pPr>
        <w:jc w:val="center"/>
      </w:pPr>
      <w:r>
        <w:rPr>
          <w:b/>
          <w:sz w:val="36"/>
        </w:rPr>
        <w:t>PCB 总线层分配与 Freerouting 源码级引导</w:t>
      </w:r>
    </w:p>
    <w:p w14:paraId="23574717">
      <w:pPr>
        <w:jc w:val="center"/>
      </w:pPr>
      <w:r>
        <w:t>2026 年 6 月 15 日</w:t>
      </w:r>
    </w:p>
    <w:p w14:paraId="1B31E6B8">
      <w:pPr>
        <w:pStyle w:val="3"/>
      </w:pPr>
      <w:r>
        <w:t xml:space="preserve">一、 corridor penalty </w:t>
      </w:r>
    </w:p>
    <w:p w14:paraId="33EFD2E4">
      <w:pPr>
        <w:spacing w:line="300" w:lineRule="auto"/>
        <w:ind w:firstLine="420"/>
      </w:pPr>
      <w:r>
        <w:t>前期 seed-only 与 corridor conflict model 实验证明, planner 侧 proxy 虽然能够改变层分配结果, 但在 Freerouting detailed-routing 层面并未稳定改变实际走线几何。因此研究重点转向修改 Freerouting 源码, 使布线器在搜索过程中直接感知 planner corridor。前期完成了源码级 corridor-aware cost penalty 原型、Python 实验链路参数透传、patched jar 构建、hard penalty 尺度校准、soft potential 修正以及 soft 参数网格实验。</w:t>
      </w:r>
    </w:p>
    <w:p w14:paraId="0965EAB6">
      <w:pPr>
        <w:spacing w:line="300" w:lineRule="auto"/>
        <w:ind w:firstLine="420"/>
      </w:pPr>
      <w:r>
        <w:t>实验结果表明, 源码级引导机制确实能够改变 Freerouting 的布线行为, 但当前 penalty 注入方式尚不能在保持布通率的前提下稳定提高 corridor adherence。核心判断: Freerouting 可被源码级引导, 但 corridor bias 不宜直接作为主路径代价加入 expansion value, 而应进一步降级为较弱的排序偏好或近似等价路径之间的次级选择准则。</w:t>
      </w:r>
    </w:p>
    <w:p w14:paraId="792B9368">
      <w:pPr>
        <w:pStyle w:val="3"/>
      </w:pPr>
      <w:r>
        <w:t>二、 源码级 corridor penalty 原型与校准</w:t>
      </w:r>
    </w:p>
    <w:p w14:paraId="330EE3C9">
      <w:pPr>
        <w:spacing w:line="300" w:lineRule="auto"/>
        <w:ind w:firstLine="420"/>
      </w:pPr>
      <w:r>
        <w:t>第一版 corridor-aware penalty 采用 hard penalty 形式: 若候选扩展点位于指定 net 的 corridor 内, 则不增加代价; 若位于 corridor 外, 则向 Freerouting 的 expansion value 中加入与 step length 成比例的额外代价。第二版 soft potential 在此基础上改用指数衰减函数, 使 penalty 随 outside distance 连续增长, 并通过 max_factor 限制最大强度。</w:t>
      </w:r>
    </w:p>
    <w:p w14:paraId="5050937E">
      <w:pPr>
        <w:spacing w:line="300" w:lineRule="auto"/>
        <w:ind w:firstLine="420"/>
      </w:pPr>
      <w:r>
        <w:t>hard penalty 的最小实验显示该机制能够改变 Freerouting 输出: 16x4 shuffle seed 1 上 penalty=5 时保持 16/16 routed, inside ratio 从 0.149255 提高到 0.170097。但 24x6 seed 1 上当 penalty=5 时 routed 降至 15/24。soft potential 的参数网格实验(16x4, scale=2, max_factor=0.1-0.5, penalty=0-5)未产生任何满足接受准则的参数组合——凡是保持全布通的组合其 inside ratio 均未高于 baseline, 而 inside ratio 明显提高的组合均导致未布通网络增加。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75"/>
        <w:gridCol w:w="1234"/>
        <w:gridCol w:w="1234"/>
      </w:tblGrid>
      <w:tr w14:paraId="0FD9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0C3B0CD1">
            <w:pPr>
              <w:spacing w:after="0" w:line="240" w:lineRule="auto"/>
            </w:pPr>
            <w:r>
              <w:rPr>
                <w:b/>
              </w:rPr>
              <w:t>样本</w:t>
            </w:r>
          </w:p>
        </w:tc>
        <w:tc>
          <w:tcPr>
            <w:tcW w:w="1234" w:type="dxa"/>
          </w:tcPr>
          <w:p w14:paraId="54555265">
            <w:pPr>
              <w:spacing w:after="0" w:line="240" w:lineRule="auto"/>
            </w:pPr>
            <w:r>
              <w:rPr>
                <w:b/>
              </w:rPr>
              <w:t>Penalty</w:t>
            </w:r>
          </w:p>
        </w:tc>
        <w:tc>
          <w:tcPr>
            <w:tcW w:w="1234" w:type="dxa"/>
          </w:tcPr>
          <w:p w14:paraId="2ABC570E">
            <w:pPr>
              <w:spacing w:after="0" w:line="240" w:lineRule="auto"/>
            </w:pPr>
            <w:r>
              <w:rPr>
                <w:b/>
              </w:rPr>
              <w:t>Routed</w:t>
            </w:r>
          </w:p>
        </w:tc>
        <w:tc>
          <w:tcPr>
            <w:tcW w:w="1234" w:type="dxa"/>
          </w:tcPr>
          <w:p w14:paraId="13A5BA27">
            <w:pPr>
              <w:spacing w:after="0" w:line="240" w:lineRule="auto"/>
            </w:pPr>
            <w:r>
              <w:rPr>
                <w:b/>
              </w:rPr>
              <w:t>Unrouted</w:t>
            </w:r>
          </w:p>
        </w:tc>
        <w:tc>
          <w:tcPr>
            <w:tcW w:w="1234" w:type="dxa"/>
          </w:tcPr>
          <w:p w14:paraId="7C36CBC6">
            <w:pPr>
              <w:spacing w:after="0" w:line="240" w:lineRule="auto"/>
            </w:pPr>
            <w:r>
              <w:rPr>
                <w:b/>
              </w:rPr>
              <w:t>Wirelength mm</w:t>
            </w:r>
          </w:p>
        </w:tc>
        <w:tc>
          <w:tcPr>
            <w:tcW w:w="1234" w:type="dxa"/>
          </w:tcPr>
          <w:p w14:paraId="056294F4">
            <w:pPr>
              <w:spacing w:after="0" w:line="240" w:lineRule="auto"/>
            </w:pPr>
            <w:r>
              <w:rPr>
                <w:b/>
              </w:rPr>
              <w:t>Segments</w:t>
            </w:r>
          </w:p>
        </w:tc>
        <w:tc>
          <w:tcPr>
            <w:tcW w:w="1234" w:type="dxa"/>
          </w:tcPr>
          <w:p w14:paraId="673010F6">
            <w:pPr>
              <w:spacing w:after="0" w:line="240" w:lineRule="auto"/>
            </w:pPr>
            <w:r>
              <w:rPr>
                <w:b/>
              </w:rPr>
              <w:t>Inside ratio</w:t>
            </w:r>
          </w:p>
        </w:tc>
      </w:tr>
      <w:tr w14:paraId="79DF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04EA3C47">
            <w:pPr>
              <w:spacing w:after="0" w:line="240" w:lineRule="auto"/>
            </w:pPr>
            <w:r>
              <w:t>16x4 hard p=5</w:t>
            </w:r>
          </w:p>
        </w:tc>
        <w:tc>
          <w:tcPr>
            <w:tcW w:w="1234" w:type="dxa"/>
          </w:tcPr>
          <w:p w14:paraId="4277FA05">
            <w:pPr>
              <w:spacing w:after="0" w:line="240" w:lineRule="auto"/>
            </w:pPr>
            <w:r>
              <w:t>5</w:t>
            </w:r>
          </w:p>
        </w:tc>
        <w:tc>
          <w:tcPr>
            <w:tcW w:w="1234" w:type="dxa"/>
          </w:tcPr>
          <w:p w14:paraId="6FCB23EE">
            <w:pPr>
              <w:spacing w:after="0" w:line="240" w:lineRule="auto"/>
            </w:pPr>
            <w:r>
              <w:t>16</w:t>
            </w:r>
          </w:p>
        </w:tc>
        <w:tc>
          <w:tcPr>
            <w:tcW w:w="1234" w:type="dxa"/>
          </w:tcPr>
          <w:p w14:paraId="350FA975">
            <w:pPr>
              <w:spacing w:after="0" w:line="240" w:lineRule="auto"/>
            </w:pPr>
            <w:r>
              <w:t>0</w:t>
            </w:r>
          </w:p>
        </w:tc>
        <w:tc>
          <w:tcPr>
            <w:tcW w:w="1234" w:type="dxa"/>
          </w:tcPr>
          <w:p w14:paraId="135471D7">
            <w:pPr>
              <w:spacing w:after="0" w:line="240" w:lineRule="auto"/>
            </w:pPr>
            <w:r>
              <w:t>995.18</w:t>
            </w:r>
          </w:p>
        </w:tc>
        <w:tc>
          <w:tcPr>
            <w:tcW w:w="1234" w:type="dxa"/>
          </w:tcPr>
          <w:p w14:paraId="2558501A">
            <w:pPr>
              <w:spacing w:after="0" w:line="240" w:lineRule="auto"/>
            </w:pPr>
            <w:r>
              <w:t>77</w:t>
            </w:r>
          </w:p>
        </w:tc>
        <w:tc>
          <w:tcPr>
            <w:tcW w:w="1234" w:type="dxa"/>
          </w:tcPr>
          <w:p w14:paraId="387EE05C">
            <w:pPr>
              <w:spacing w:after="0" w:line="240" w:lineRule="auto"/>
            </w:pPr>
            <w:r>
              <w:t>0.170097</w:t>
            </w:r>
          </w:p>
        </w:tc>
      </w:tr>
      <w:tr w14:paraId="70F8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AD529BB">
            <w:pPr>
              <w:spacing w:after="0" w:line="240" w:lineRule="auto"/>
            </w:pPr>
            <w:r>
              <w:t>24x6 hard p=0.05</w:t>
            </w:r>
          </w:p>
        </w:tc>
        <w:tc>
          <w:tcPr>
            <w:tcW w:w="1234" w:type="dxa"/>
          </w:tcPr>
          <w:p w14:paraId="31B04A22">
            <w:pPr>
              <w:spacing w:after="0" w:line="240" w:lineRule="auto"/>
            </w:pPr>
            <w:r>
              <w:t>0.05</w:t>
            </w:r>
          </w:p>
        </w:tc>
        <w:tc>
          <w:tcPr>
            <w:tcW w:w="1234" w:type="dxa"/>
          </w:tcPr>
          <w:p w14:paraId="0B6412B2">
            <w:pPr>
              <w:spacing w:after="0" w:line="240" w:lineRule="auto"/>
            </w:pPr>
            <w:r>
              <w:t>24</w:t>
            </w:r>
          </w:p>
        </w:tc>
        <w:tc>
          <w:tcPr>
            <w:tcW w:w="1234" w:type="dxa"/>
          </w:tcPr>
          <w:p w14:paraId="1DB47504">
            <w:pPr>
              <w:spacing w:after="0" w:line="240" w:lineRule="auto"/>
            </w:pPr>
            <w:r>
              <w:t>0</w:t>
            </w:r>
          </w:p>
        </w:tc>
        <w:tc>
          <w:tcPr>
            <w:tcW w:w="1234" w:type="dxa"/>
          </w:tcPr>
          <w:p w14:paraId="41ACD6E4">
            <w:pPr>
              <w:spacing w:after="0" w:line="240" w:lineRule="auto"/>
            </w:pPr>
            <w:r>
              <w:t>1860.20</w:t>
            </w:r>
          </w:p>
        </w:tc>
        <w:tc>
          <w:tcPr>
            <w:tcW w:w="1234" w:type="dxa"/>
          </w:tcPr>
          <w:p w14:paraId="450C0ED9">
            <w:pPr>
              <w:spacing w:after="0" w:line="240" w:lineRule="auto"/>
            </w:pPr>
            <w:r>
              <w:t>227</w:t>
            </w:r>
          </w:p>
        </w:tc>
        <w:tc>
          <w:tcPr>
            <w:tcW w:w="1234" w:type="dxa"/>
          </w:tcPr>
          <w:p w14:paraId="3EFBB7C2">
            <w:pPr>
              <w:spacing w:after="0" w:line="240" w:lineRule="auto"/>
            </w:pPr>
            <w:r>
              <w:t>0.044333</w:t>
            </w:r>
          </w:p>
        </w:tc>
      </w:tr>
      <w:tr w14:paraId="3040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1D5AA8B6">
            <w:pPr>
              <w:spacing w:after="0" w:line="240" w:lineRule="auto"/>
            </w:pPr>
            <w:r>
              <w:t>24x6 hard p=0.5</w:t>
            </w:r>
          </w:p>
        </w:tc>
        <w:tc>
          <w:tcPr>
            <w:tcW w:w="1234" w:type="dxa"/>
          </w:tcPr>
          <w:p w14:paraId="1DB42CFD">
            <w:pPr>
              <w:spacing w:after="0" w:line="240" w:lineRule="auto"/>
            </w:pPr>
            <w:r>
              <w:t>0.5</w:t>
            </w:r>
          </w:p>
        </w:tc>
        <w:tc>
          <w:tcPr>
            <w:tcW w:w="1234" w:type="dxa"/>
          </w:tcPr>
          <w:p w14:paraId="4DD05A8C">
            <w:pPr>
              <w:spacing w:after="0" w:line="240" w:lineRule="auto"/>
            </w:pPr>
            <w:r>
              <w:t>17</w:t>
            </w:r>
          </w:p>
        </w:tc>
        <w:tc>
          <w:tcPr>
            <w:tcW w:w="1234" w:type="dxa"/>
          </w:tcPr>
          <w:p w14:paraId="0AAC49EC">
            <w:pPr>
              <w:spacing w:after="0" w:line="240" w:lineRule="auto"/>
            </w:pPr>
            <w:r>
              <w:t>7</w:t>
            </w:r>
          </w:p>
        </w:tc>
        <w:tc>
          <w:tcPr>
            <w:tcW w:w="1234" w:type="dxa"/>
          </w:tcPr>
          <w:p w14:paraId="621084AB">
            <w:pPr>
              <w:spacing w:after="0" w:line="240" w:lineRule="auto"/>
            </w:pPr>
            <w:r>
              <w:t>1238.79</w:t>
            </w:r>
          </w:p>
        </w:tc>
        <w:tc>
          <w:tcPr>
            <w:tcW w:w="1234" w:type="dxa"/>
          </w:tcPr>
          <w:p w14:paraId="4902A046">
            <w:pPr>
              <w:spacing w:after="0" w:line="240" w:lineRule="auto"/>
            </w:pPr>
            <w:r>
              <w:t>134</w:t>
            </w:r>
          </w:p>
        </w:tc>
        <w:tc>
          <w:tcPr>
            <w:tcW w:w="1234" w:type="dxa"/>
          </w:tcPr>
          <w:p w14:paraId="142D6F31">
            <w:pPr>
              <w:spacing w:after="0" w:line="240" w:lineRule="auto"/>
            </w:pPr>
            <w:r>
              <w:t>0.100437</w:t>
            </w:r>
          </w:p>
        </w:tc>
      </w:tr>
      <w:tr w14:paraId="5295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2CD2CE02">
            <w:pPr>
              <w:spacing w:after="0" w:line="240" w:lineRule="auto"/>
            </w:pPr>
            <w:r>
              <w:t>16x4 soft mf=0.3 p=5</w:t>
            </w:r>
          </w:p>
        </w:tc>
        <w:tc>
          <w:tcPr>
            <w:tcW w:w="1234" w:type="dxa"/>
          </w:tcPr>
          <w:p w14:paraId="4C420231">
            <w:pPr>
              <w:spacing w:after="0" w:line="240" w:lineRule="auto"/>
            </w:pPr>
            <w:r>
              <w:t>5</w:t>
            </w:r>
          </w:p>
        </w:tc>
        <w:tc>
          <w:tcPr>
            <w:tcW w:w="1234" w:type="dxa"/>
          </w:tcPr>
          <w:p w14:paraId="0E4FBC15">
            <w:pPr>
              <w:spacing w:after="0" w:line="240" w:lineRule="auto"/>
            </w:pPr>
            <w:r>
              <w:t>14</w:t>
            </w:r>
          </w:p>
        </w:tc>
        <w:tc>
          <w:tcPr>
            <w:tcW w:w="1234" w:type="dxa"/>
          </w:tcPr>
          <w:p w14:paraId="1AE7BCFE">
            <w:pPr>
              <w:spacing w:after="0" w:line="240" w:lineRule="auto"/>
            </w:pPr>
            <w:r>
              <w:t>2</w:t>
            </w:r>
          </w:p>
        </w:tc>
        <w:tc>
          <w:tcPr>
            <w:tcW w:w="1234" w:type="dxa"/>
          </w:tcPr>
          <w:p w14:paraId="4A6F1C2B">
            <w:pPr>
              <w:spacing w:after="0" w:line="240" w:lineRule="auto"/>
            </w:pPr>
            <w:r>
              <w:t>843.53</w:t>
            </w:r>
          </w:p>
        </w:tc>
        <w:tc>
          <w:tcPr>
            <w:tcW w:w="1234" w:type="dxa"/>
          </w:tcPr>
          <w:p w14:paraId="07985DBF">
            <w:pPr>
              <w:spacing w:after="0" w:line="240" w:lineRule="auto"/>
            </w:pPr>
            <w:r>
              <w:t>61</w:t>
            </w:r>
          </w:p>
        </w:tc>
        <w:tc>
          <w:tcPr>
            <w:tcW w:w="1234" w:type="dxa"/>
          </w:tcPr>
          <w:p w14:paraId="4DB08729">
            <w:pPr>
              <w:spacing w:after="0" w:line="240" w:lineRule="auto"/>
            </w:pPr>
            <w:r>
              <w:t>0.265241</w:t>
            </w:r>
          </w:p>
        </w:tc>
      </w:tr>
      <w:tr w14:paraId="1292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49ED3918">
            <w:pPr>
              <w:spacing w:after="0" w:line="240" w:lineRule="auto"/>
            </w:pPr>
            <w:r>
              <w:t>16x4 soft mf=0.5 p=5</w:t>
            </w:r>
          </w:p>
        </w:tc>
        <w:tc>
          <w:tcPr>
            <w:tcW w:w="1234" w:type="dxa"/>
          </w:tcPr>
          <w:p w14:paraId="5998D696">
            <w:pPr>
              <w:spacing w:after="0" w:line="240" w:lineRule="auto"/>
            </w:pPr>
            <w:r>
              <w:t>5</w:t>
            </w:r>
          </w:p>
        </w:tc>
        <w:tc>
          <w:tcPr>
            <w:tcW w:w="1234" w:type="dxa"/>
          </w:tcPr>
          <w:p w14:paraId="39D9AD02">
            <w:pPr>
              <w:spacing w:after="0" w:line="240" w:lineRule="auto"/>
            </w:pPr>
            <w:r>
              <w:t>14</w:t>
            </w:r>
          </w:p>
        </w:tc>
        <w:tc>
          <w:tcPr>
            <w:tcW w:w="1234" w:type="dxa"/>
          </w:tcPr>
          <w:p w14:paraId="7070208A">
            <w:pPr>
              <w:spacing w:after="0" w:line="240" w:lineRule="auto"/>
            </w:pPr>
            <w:r>
              <w:t>2</w:t>
            </w:r>
          </w:p>
        </w:tc>
        <w:tc>
          <w:tcPr>
            <w:tcW w:w="1234" w:type="dxa"/>
          </w:tcPr>
          <w:p w14:paraId="6913F466">
            <w:pPr>
              <w:spacing w:after="0" w:line="240" w:lineRule="auto"/>
            </w:pPr>
            <w:r>
              <w:t>871.25</w:t>
            </w:r>
          </w:p>
        </w:tc>
        <w:tc>
          <w:tcPr>
            <w:tcW w:w="1234" w:type="dxa"/>
          </w:tcPr>
          <w:p w14:paraId="5F7878F6">
            <w:pPr>
              <w:spacing w:after="0" w:line="240" w:lineRule="auto"/>
            </w:pPr>
            <w:r>
              <w:t>78</w:t>
            </w:r>
          </w:p>
        </w:tc>
        <w:tc>
          <w:tcPr>
            <w:tcW w:w="1234" w:type="dxa"/>
          </w:tcPr>
          <w:p w14:paraId="3191F479">
            <w:pPr>
              <w:spacing w:after="0" w:line="240" w:lineRule="auto"/>
            </w:pPr>
            <w:r>
              <w:t>0.207260</w:t>
            </w:r>
          </w:p>
        </w:tc>
      </w:tr>
    </w:tbl>
    <w:p w14:paraId="03179F26">
      <w:pPr>
        <w:spacing w:line="300" w:lineRule="auto"/>
        <w:ind w:firstLine="420"/>
      </w:pPr>
      <w:r>
        <w:t>造成该现象的核心原因在于 penalty 注入位置。当前 penalty 被直接加入 expansion value(maze search 的主路径代价)。一旦该项足够强, 就优先改变可布通性, 而不是只在近似等价路径之间选择更靠近 corridor 的路径。</w:t>
      </w:r>
    </w:p>
    <w:p w14:paraId="3B05E078">
      <w:pPr>
        <w:pStyle w:val="3"/>
      </w:pPr>
      <w:r>
        <w:t>三、 P0 基础工程修复</w:t>
      </w:r>
    </w:p>
    <w:p w14:paraId="5ED66844">
      <w:pPr>
        <w:spacing w:line="300" w:lineRule="auto"/>
        <w:ind w:firstLine="420"/>
      </w:pPr>
      <w:r>
        <w:t>在继续推进 corridor penalty 实验之前, 本周优先核查了阶段总结第 4 节列出的 P0 基础工程问题。经确认, Evaluator 的 bus_id 访问方式(已通过 bus_by_id 字典修正)、坐标系统一与拥塞计算(已通过坐标自动检测和转换)、Routed parser 连通性判断(已重写为 UnionFind pad-segment-via 连通图分析)、SES parser net 解析(已同时支持带引号和不带引号 net 名)四项已在前期 Phase 1 实验中陆续修复。本周实际改动仅为 .gitignore 规则修正和 README.md 补写。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52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A1D350">
            <w:pPr>
              <w:spacing w:after="0" w:line="240" w:lineRule="auto"/>
            </w:pPr>
            <w:r>
              <w:rPr>
                <w:b/>
              </w:rPr>
              <w:t>P0 事项</w:t>
            </w:r>
          </w:p>
        </w:tc>
        <w:tc>
          <w:tcPr>
            <w:tcW w:w="2880" w:type="dxa"/>
          </w:tcPr>
          <w:p w14:paraId="1AE60129">
            <w:pPr>
              <w:spacing w:after="0" w:line="240" w:lineRule="auto"/>
            </w:pPr>
            <w:r>
              <w:rPr>
                <w:b/>
              </w:rPr>
              <w:t>状态</w:t>
            </w:r>
          </w:p>
        </w:tc>
        <w:tc>
          <w:tcPr>
            <w:tcW w:w="2880" w:type="dxa"/>
          </w:tcPr>
          <w:p w14:paraId="1EA3D0D0">
            <w:pPr>
              <w:spacing w:after="0" w:line="240" w:lineRule="auto"/>
            </w:pPr>
            <w:r>
              <w:rPr>
                <w:b/>
              </w:rPr>
              <w:t>说明</w:t>
            </w:r>
          </w:p>
        </w:tc>
      </w:tr>
      <w:tr w14:paraId="41B1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B8B8EE">
            <w:pPr>
              <w:spacing w:after="0" w:line="240" w:lineRule="auto"/>
            </w:pPr>
            <w:r>
              <w:t>Evaluator bus_id 访问</w:t>
            </w:r>
          </w:p>
        </w:tc>
        <w:tc>
          <w:tcPr>
            <w:tcW w:w="2880" w:type="dxa"/>
          </w:tcPr>
          <w:p w14:paraId="5251DAE7">
            <w:pPr>
              <w:spacing w:after="0" w:line="240" w:lineRule="auto"/>
            </w:pPr>
            <w:r>
              <w:t>已修复</w:t>
            </w:r>
          </w:p>
        </w:tc>
        <w:tc>
          <w:tcPr>
            <w:tcW w:w="2880" w:type="dxa"/>
          </w:tcPr>
          <w:p w14:paraId="007BF18A">
            <w:pPr>
              <w:spacing w:after="0" w:line="240" w:lineRule="auto"/>
            </w:pPr>
            <w:r>
              <w:t>bus_by_id 字典已建立, conflict 检测使用 bus_by_id.get()</w:t>
            </w:r>
          </w:p>
        </w:tc>
      </w:tr>
      <w:tr w14:paraId="77C4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DFF6E3">
            <w:pPr>
              <w:spacing w:after="0" w:line="240" w:lineRule="auto"/>
            </w:pPr>
            <w:r>
              <w:t>坐标系统一 + 拥塞计算</w:t>
            </w:r>
          </w:p>
        </w:tc>
        <w:tc>
          <w:tcPr>
            <w:tcW w:w="2880" w:type="dxa"/>
          </w:tcPr>
          <w:p w14:paraId="4C55089E">
            <w:pPr>
              <w:spacing w:after="0" w:line="240" w:lineRule="auto"/>
            </w:pPr>
            <w:r>
              <w:t>已修复</w:t>
            </w:r>
          </w:p>
        </w:tc>
        <w:tc>
          <w:tcPr>
            <w:tcW w:w="2880" w:type="dxa"/>
          </w:tcPr>
          <w:p w14:paraId="73F051C5">
            <w:pPr>
              <w:spacing w:after="0" w:line="240" w:lineRule="auto"/>
            </w:pPr>
            <w:r>
              <w:t>自动检测绝对/局部坐标并转换, bench1_4L 上 congestion 非零</w:t>
            </w:r>
          </w:p>
        </w:tc>
      </w:tr>
      <w:tr w14:paraId="2908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F354E5">
            <w:pPr>
              <w:spacing w:after="0" w:line="240" w:lineRule="auto"/>
            </w:pPr>
            <w:r>
              <w:t>Routed parser 连通性</w:t>
            </w:r>
          </w:p>
        </w:tc>
        <w:tc>
          <w:tcPr>
            <w:tcW w:w="2880" w:type="dxa"/>
          </w:tcPr>
          <w:p w14:paraId="0FDD4AD9">
            <w:pPr>
              <w:spacing w:after="0" w:line="240" w:lineRule="auto"/>
            </w:pPr>
            <w:r>
              <w:t>已修复</w:t>
            </w:r>
          </w:p>
        </w:tc>
        <w:tc>
          <w:tcPr>
            <w:tcW w:w="2880" w:type="dxa"/>
          </w:tcPr>
          <w:p w14:paraId="25049ABE">
            <w:pPr>
              <w:spacing w:after="0" w:line="240" w:lineRule="auto"/>
            </w:pPr>
            <w:r>
              <w:t>UnionFind 连通图, is_fully_routed 判断</w:t>
            </w:r>
          </w:p>
        </w:tc>
      </w:tr>
      <w:tr w14:paraId="7279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73EC68">
            <w:pPr>
              <w:spacing w:after="0" w:line="240" w:lineRule="auto"/>
            </w:pPr>
            <w:r>
              <w:t>SES parser net 解析</w:t>
            </w:r>
          </w:p>
        </w:tc>
        <w:tc>
          <w:tcPr>
            <w:tcW w:w="2880" w:type="dxa"/>
          </w:tcPr>
          <w:p w14:paraId="3B5CE2E9">
            <w:pPr>
              <w:spacing w:after="0" w:line="240" w:lineRule="auto"/>
            </w:pPr>
            <w:r>
              <w:t>已修复</w:t>
            </w:r>
          </w:p>
        </w:tc>
        <w:tc>
          <w:tcPr>
            <w:tcW w:w="2880" w:type="dxa"/>
          </w:tcPr>
          <w:p w14:paraId="694F1E99">
            <w:pPr>
              <w:spacing w:after="0" w:line="240" w:lineRule="auto"/>
            </w:pPr>
            <w:r>
              <w:t>regex 同时支持 (net name) 和 (net NAME)</w:t>
            </w:r>
          </w:p>
        </w:tc>
      </w:tr>
      <w:tr w14:paraId="6DFA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107CAA">
            <w:pPr>
              <w:spacing w:after="0" w:line="240" w:lineRule="auto"/>
            </w:pPr>
            <w:r>
              <w:t>.gitignore</w:t>
            </w:r>
          </w:p>
        </w:tc>
        <w:tc>
          <w:tcPr>
            <w:tcW w:w="2880" w:type="dxa"/>
          </w:tcPr>
          <w:p w14:paraId="73BA4A0A">
            <w:pPr>
              <w:spacing w:after="0" w:line="240" w:lineRule="auto"/>
            </w:pPr>
            <w:r>
              <w:t>已修正</w:t>
            </w:r>
          </w:p>
        </w:tc>
        <w:tc>
          <w:tcPr>
            <w:tcW w:w="2880" w:type="dxa"/>
          </w:tcPr>
          <w:p w14:paraId="46DF96A3">
            <w:pPr>
              <w:spacing w:after="0" w:line="240" w:lineRule="auto"/>
            </w:pPr>
            <w:r>
              <w:t>新增 bench*_4L.json, 收紧 doc/ 范围, 保留阶段总结可追踪</w:t>
            </w:r>
          </w:p>
        </w:tc>
      </w:tr>
      <w:tr w14:paraId="3DA7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86B581">
            <w:pPr>
              <w:spacing w:after="0" w:line="240" w:lineRule="auto"/>
            </w:pPr>
            <w:r>
              <w:t>README.md</w:t>
            </w:r>
          </w:p>
        </w:tc>
        <w:tc>
          <w:tcPr>
            <w:tcW w:w="2880" w:type="dxa"/>
          </w:tcPr>
          <w:p w14:paraId="1C31DF5C">
            <w:pPr>
              <w:spacing w:after="0" w:line="240" w:lineRule="auto"/>
            </w:pPr>
            <w:r>
              <w:t>已补写</w:t>
            </w:r>
          </w:p>
        </w:tc>
        <w:tc>
          <w:tcPr>
            <w:tcW w:w="2880" w:type="dxa"/>
          </w:tcPr>
          <w:p w14:paraId="249FBCBB">
            <w:pPr>
              <w:spacing w:after="0" w:line="240" w:lineRule="auto"/>
            </w:pPr>
            <w:r>
              <w:t>项目结构、格式、指标、快速开始、baseline 方法、复现说明</w:t>
            </w:r>
          </w:p>
        </w:tc>
      </w:tr>
    </w:tbl>
    <w:p w14:paraId="4C9E52FA">
      <w:pPr>
        <w:pStyle w:val="3"/>
      </w:pPr>
      <w:r>
        <w:t>四、 Tie-breaker 模式实现</w:t>
      </w:r>
    </w:p>
    <w:p w14:paraId="0BEE9499">
      <w:pPr>
        <w:spacing w:line="300" w:lineRule="auto"/>
        <w:ind w:firstLine="420"/>
      </w:pPr>
      <w:r>
        <w:t>根据前期 soft potential 网格实验的结论, 本周实现了第三种 corridor penalty 注入模式 tie-breaker。核心设计为: corridor bias 不修改 expansion value, 而是作为微小偏置加入 sorting value, 使 corridor 偏好仅在两条候选路径的基础代价几乎相等时才打破平局。</w:t>
      </w:r>
    </w:p>
    <w:p w14:paraId="1C09D8D9">
      <w:pPr>
        <w:spacing w:line="300" w:lineRule="auto"/>
        <w:ind w:firstLine="420"/>
      </w:pPr>
      <w:r>
        <w:t>具体改动: CorridorGuide.java 新增 isTieBreaker()方法和 tie_breaker 模式识别, 该模式下 outsidePenalty()返回归一化 outside factor(0 到 1)而非代价单位值。MazeSearchAlgo.java 新增 tie_break_weight 字段(由 JVM 参数 ba.corridor.tie_break_weight 控制, 默认 0.1), 在 expand_to_door_section()中对 tie-breaker 模式不将 corridor penalty 加入 expansion_value, 而是将 tie_break_weight 乘以 corridor factor 的结果加入 sorting_value。Python 侧四个脚本(freerouting_headless.py、phase1_dummy_corridor_test.py、phase1_seed_sweep.py、router_corridor_penalty_sweep.py)均完成参数透传。</w:t>
      </w:r>
    </w:p>
    <w:p w14:paraId="65CCD4BB">
      <w:pPr>
        <w:spacing w:line="300" w:lineRule="auto"/>
        <w:ind w:firstLine="420"/>
      </w:pPr>
      <w:r>
        <w:t>构建验证通过。hard mode 兼容性对照确认单点结果与旧版一致(16x4 seed 1、penalty 5 下 16 routed、inside ratio 0.170097), 新代码未破坏旧行为。</w:t>
      </w:r>
    </w:p>
    <w:p w14:paraId="266AA91C">
      <w:pPr>
        <w:pStyle w:val="3"/>
      </w:pPr>
      <w:r>
        <w:t>五、 Tie-breaker 验证与三路径完整结论</w:t>
      </w:r>
    </w:p>
    <w:p w14:paraId="2813BC54">
      <w:pPr>
        <w:spacing w:line="300" w:lineRule="auto"/>
        <w:ind w:firstLine="420"/>
      </w:pPr>
      <w:r>
        <w:t>在 24x6 SMD-pad high_conflict 样本上, 固定 split_outer_inner case、5 passes、120s timeout, 扫描 tie_break_weight 为 0.1、0.5、1.0、2.0。所有设置的结果与 baseline(无 corridor guide)完全一致, 均为 20 routed、4 unrouted、1731.86 mm wirelength。tie-breaker 在所有权重下均未改变任何 detailed routing 指标。</w:t>
      </w:r>
    </w:p>
    <w:p w14:paraId="284B4023">
      <w:pPr>
        <w:spacing w:line="300" w:lineRule="auto"/>
        <w:ind w:firstLine="420"/>
      </w:pPr>
      <w:r>
        <w:t>至此, 三种 corridor 注入路径的系统性探索全部完成。完整结论如下表所示。三者均无法同时满足[不增加 unrouted + 提高 corridor adherence]的接受准则。这是一个有学术价值的负面结果集合: 它证明源码级 corridor 注入是可行的(能改变布线行为), 但在当前 maze search 架构下, 从外部向搜索过程中注入 corridor 偏好无法实现稳定的 corridor guidance。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91"/>
        <w:gridCol w:w="1728"/>
        <w:gridCol w:w="1728"/>
        <w:gridCol w:w="1728"/>
      </w:tblGrid>
      <w:tr w14:paraId="2630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426D3DE">
            <w:pPr>
              <w:spacing w:after="0" w:line="240" w:lineRule="auto"/>
            </w:pPr>
            <w:r>
              <w:rPr>
                <w:b/>
              </w:rPr>
              <w:t>方法</w:t>
            </w:r>
          </w:p>
        </w:tc>
        <w:tc>
          <w:tcPr>
            <w:tcW w:w="1728" w:type="dxa"/>
          </w:tcPr>
          <w:p w14:paraId="3D81502E">
            <w:pPr>
              <w:spacing w:after="0" w:line="240" w:lineRule="auto"/>
            </w:pPr>
            <w:r>
              <w:rPr>
                <w:b/>
              </w:rPr>
              <w:t>注入位置</w:t>
            </w:r>
          </w:p>
        </w:tc>
        <w:tc>
          <w:tcPr>
            <w:tcW w:w="1728" w:type="dxa"/>
          </w:tcPr>
          <w:p w14:paraId="370B7451">
            <w:pPr>
              <w:spacing w:after="0" w:line="240" w:lineRule="auto"/>
            </w:pPr>
            <w:r>
              <w:rPr>
                <w:b/>
              </w:rPr>
              <w:t>能改变布线几何</w:t>
            </w:r>
          </w:p>
        </w:tc>
        <w:tc>
          <w:tcPr>
            <w:tcW w:w="1728" w:type="dxa"/>
          </w:tcPr>
          <w:p w14:paraId="3C8569C3">
            <w:pPr>
              <w:spacing w:after="0" w:line="240" w:lineRule="auto"/>
            </w:pPr>
            <w:r>
              <w:rPr>
                <w:b/>
              </w:rPr>
              <w:t>能保持可布通性</w:t>
            </w:r>
          </w:p>
        </w:tc>
        <w:tc>
          <w:tcPr>
            <w:tcW w:w="1728" w:type="dxa"/>
          </w:tcPr>
          <w:p w14:paraId="69402698">
            <w:pPr>
              <w:spacing w:after="0" w:line="240" w:lineRule="auto"/>
            </w:pPr>
            <w:r>
              <w:rPr>
                <w:b/>
              </w:rPr>
              <w:t>能提高 corridor adherence</w:t>
            </w:r>
          </w:p>
        </w:tc>
      </w:tr>
      <w:tr w14:paraId="7A41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AC54F6">
            <w:pPr>
              <w:spacing w:after="0" w:line="240" w:lineRule="auto"/>
            </w:pPr>
            <w:r>
              <w:t>Hard penalty</w:t>
            </w:r>
          </w:p>
        </w:tc>
        <w:tc>
          <w:tcPr>
            <w:tcW w:w="1728" w:type="dxa"/>
          </w:tcPr>
          <w:p w14:paraId="6B858AC4">
            <w:pPr>
              <w:spacing w:after="0" w:line="240" w:lineRule="auto"/>
            </w:pPr>
            <w:r>
              <w:t>expansion_value</w:t>
            </w:r>
          </w:p>
        </w:tc>
        <w:tc>
          <w:tcPr>
            <w:tcW w:w="1728" w:type="dxa"/>
          </w:tcPr>
          <w:p w14:paraId="2ED174CD">
            <w:pPr>
              <w:spacing w:after="0" w:line="240" w:lineRule="auto"/>
            </w:pPr>
            <w:r>
              <w:t>是</w:t>
            </w:r>
          </w:p>
        </w:tc>
        <w:tc>
          <w:tcPr>
            <w:tcW w:w="1728" w:type="dxa"/>
          </w:tcPr>
          <w:p w14:paraId="25B664EB">
            <w:pPr>
              <w:spacing w:after="0" w:line="240" w:lineRule="auto"/>
            </w:pPr>
            <w:r>
              <w:t>否(增加 unrouted)</w:t>
            </w:r>
          </w:p>
        </w:tc>
        <w:tc>
          <w:tcPr>
            <w:tcW w:w="1728" w:type="dxa"/>
          </w:tcPr>
          <w:p w14:paraId="4630AFDF">
            <w:pPr>
              <w:spacing w:after="0" w:line="240" w:lineRule="auto"/>
            </w:pPr>
            <w:r>
              <w:t>仅在牺牲布通率时</w:t>
            </w:r>
          </w:p>
        </w:tc>
      </w:tr>
      <w:tr w14:paraId="23C1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253362C">
            <w:pPr>
              <w:spacing w:after="0" w:line="240" w:lineRule="auto"/>
            </w:pPr>
            <w:r>
              <w:t>Soft potential</w:t>
            </w:r>
          </w:p>
        </w:tc>
        <w:tc>
          <w:tcPr>
            <w:tcW w:w="1728" w:type="dxa"/>
          </w:tcPr>
          <w:p w14:paraId="5F59815D">
            <w:pPr>
              <w:spacing w:after="0" w:line="240" w:lineRule="auto"/>
            </w:pPr>
            <w:r>
              <w:t>expansion_value</w:t>
            </w:r>
          </w:p>
        </w:tc>
        <w:tc>
          <w:tcPr>
            <w:tcW w:w="1728" w:type="dxa"/>
          </w:tcPr>
          <w:p w14:paraId="1B7A70E8">
            <w:pPr>
              <w:spacing w:after="0" w:line="240" w:lineRule="auto"/>
            </w:pPr>
            <w:r>
              <w:t>是</w:t>
            </w:r>
          </w:p>
        </w:tc>
        <w:tc>
          <w:tcPr>
            <w:tcW w:w="1728" w:type="dxa"/>
          </w:tcPr>
          <w:p w14:paraId="4E22F322">
            <w:pPr>
              <w:spacing w:after="0" w:line="240" w:lineRule="auto"/>
            </w:pPr>
            <w:r>
              <w:t>否(参数网格无一满足)</w:t>
            </w:r>
          </w:p>
        </w:tc>
        <w:tc>
          <w:tcPr>
            <w:tcW w:w="1728" w:type="dxa"/>
          </w:tcPr>
          <w:p w14:paraId="42269361">
            <w:pPr>
              <w:spacing w:after="0" w:line="240" w:lineRule="auto"/>
            </w:pPr>
            <w:r>
              <w:t>仅在牺牲布通率时</w:t>
            </w:r>
          </w:p>
        </w:tc>
      </w:tr>
      <w:tr w14:paraId="66C0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862019F">
            <w:pPr>
              <w:spacing w:after="0" w:line="240" w:lineRule="auto"/>
            </w:pPr>
            <w:r>
              <w:t>Tie-breaker</w:t>
            </w:r>
          </w:p>
        </w:tc>
        <w:tc>
          <w:tcPr>
            <w:tcW w:w="1728" w:type="dxa"/>
          </w:tcPr>
          <w:p w14:paraId="6AD74112">
            <w:pPr>
              <w:spacing w:after="0" w:line="240" w:lineRule="auto"/>
            </w:pPr>
            <w:r>
              <w:t>sorting_value</w:t>
            </w:r>
          </w:p>
        </w:tc>
        <w:tc>
          <w:tcPr>
            <w:tcW w:w="1728" w:type="dxa"/>
          </w:tcPr>
          <w:p w14:paraId="623753CA">
            <w:pPr>
              <w:spacing w:after="0" w:line="240" w:lineRule="auto"/>
            </w:pPr>
            <w:r>
              <w:t>否(无效果)</w:t>
            </w:r>
          </w:p>
        </w:tc>
        <w:tc>
          <w:tcPr>
            <w:tcW w:w="1728" w:type="dxa"/>
          </w:tcPr>
          <w:p w14:paraId="567A4A4F">
            <w:pPr>
              <w:spacing w:after="0" w:line="240" w:lineRule="auto"/>
            </w:pPr>
            <w:r>
              <w:t>是</w:t>
            </w:r>
          </w:p>
        </w:tc>
        <w:tc>
          <w:tcPr>
            <w:tcW w:w="1728" w:type="dxa"/>
          </w:tcPr>
          <w:p w14:paraId="7B8D80B2">
            <w:pPr>
              <w:spacing w:after="0" w:line="240" w:lineRule="auto"/>
            </w:pPr>
            <w:r>
              <w:t>否(无效果)</w:t>
            </w:r>
          </w:p>
        </w:tc>
      </w:tr>
    </w:tbl>
    <w:p w14:paraId="586BA4D9">
      <w:pPr>
        <w:pStyle w:val="3"/>
      </w:pPr>
      <w:r>
        <w:t>六、 Seed-only 正式对比实验 (20 seeds)</w:t>
      </w:r>
    </w:p>
    <w:p w14:paraId="59E2BFD3">
      <w:pPr>
        <w:spacing w:line="300" w:lineRule="auto"/>
        <w:ind w:firstLine="420"/>
      </w:pPr>
      <w:r>
        <w:t>基于上述三路径结论, 本周将实验验证主线回归到 seed-only 口径, 完成了 greedy 与 feedback 的正式对比实验。实验设置: high_conflict_4L_smd benchmark(24 nets、6 buses、SMD pads), shuffle 置换方式, seeds 1 至 20(共 20 个独立样本), 对比方法包括 all_L0、stripe、greedy、feedback、split_outer_inner, Freerouting 设置 20 passes、4 threads、180s timeout。实验入口为 benchmark/phase1_seed_sweep.py, 结果保存在 runs/phase1_formal_seed_only_24x6_20seeds/。</w:t>
      </w:r>
    </w:p>
    <w:p w14:paraId="263A3DC4">
      <w:pPr>
        <w:spacing w:line="300" w:lineRule="auto"/>
        <w:ind w:firstLine="420"/>
      </w:pPr>
      <w:r>
        <w:t>实验核心发现: 在所有 20 个 seed 上, greedy 与 feedback 的详细布线指标完全一致。proxy cost、routed/unrouted、wirelength、segments、vias 全部相同。不存在任何一个 seed 上 feedback 的 routed 数高于或低于 greedy。在当前的保守接受准则下, FeedbackSolver 在所有 shuffle 样本上都收敛到与 GreedySolver 完全相同的层分配方案。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382"/>
        <w:gridCol w:w="1396"/>
        <w:gridCol w:w="1371"/>
        <w:gridCol w:w="1347"/>
        <w:gridCol w:w="1359"/>
      </w:tblGrid>
      <w:tr w14:paraId="1451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2DBCE3A">
            <w:pPr>
              <w:spacing w:after="0" w:line="240" w:lineRule="auto"/>
            </w:pPr>
            <w:r>
              <w:rPr>
                <w:b/>
              </w:rPr>
              <w:t>方法</w:t>
            </w:r>
          </w:p>
        </w:tc>
        <w:tc>
          <w:tcPr>
            <w:tcW w:w="1440" w:type="dxa"/>
          </w:tcPr>
          <w:p w14:paraId="5FDC93FC">
            <w:pPr>
              <w:spacing w:after="0" w:line="240" w:lineRule="auto"/>
            </w:pPr>
            <w:r>
              <w:rPr>
                <w:b/>
              </w:rPr>
              <w:t>Avg Routed</w:t>
            </w:r>
          </w:p>
        </w:tc>
        <w:tc>
          <w:tcPr>
            <w:tcW w:w="1440" w:type="dxa"/>
          </w:tcPr>
          <w:p w14:paraId="69105B81">
            <w:pPr>
              <w:spacing w:after="0" w:line="240" w:lineRule="auto"/>
            </w:pPr>
            <w:r>
              <w:rPr>
                <w:b/>
              </w:rPr>
              <w:t>Avg Unrouted</w:t>
            </w:r>
          </w:p>
        </w:tc>
        <w:tc>
          <w:tcPr>
            <w:tcW w:w="1440" w:type="dxa"/>
          </w:tcPr>
          <w:p w14:paraId="1BD45EBE">
            <w:pPr>
              <w:spacing w:after="0" w:line="240" w:lineRule="auto"/>
            </w:pPr>
            <w:r>
              <w:rPr>
                <w:b/>
              </w:rPr>
              <w:t>Avg WL (mm)</w:t>
            </w:r>
          </w:p>
        </w:tc>
        <w:tc>
          <w:tcPr>
            <w:tcW w:w="1440" w:type="dxa"/>
          </w:tcPr>
          <w:p w14:paraId="7F1E2CA9">
            <w:pPr>
              <w:spacing w:after="0" w:line="240" w:lineRule="auto"/>
            </w:pPr>
            <w:r>
              <w:rPr>
                <w:b/>
              </w:rPr>
              <w:t>Avg Vias</w:t>
            </w:r>
          </w:p>
        </w:tc>
        <w:tc>
          <w:tcPr>
            <w:tcW w:w="1440" w:type="dxa"/>
          </w:tcPr>
          <w:p w14:paraId="59FC5964">
            <w:pPr>
              <w:spacing w:after="0" w:line="240" w:lineRule="auto"/>
            </w:pPr>
            <w:r>
              <w:rPr>
                <w:b/>
              </w:rPr>
              <w:t>Avg Proxy Cost</w:t>
            </w:r>
          </w:p>
        </w:tc>
      </w:tr>
      <w:tr w14:paraId="7083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6C4B161">
            <w:pPr>
              <w:spacing w:after="0" w:line="240" w:lineRule="auto"/>
            </w:pPr>
            <w:r>
              <w:t>all_L0</w:t>
            </w:r>
          </w:p>
        </w:tc>
        <w:tc>
          <w:tcPr>
            <w:tcW w:w="1440" w:type="dxa"/>
          </w:tcPr>
          <w:p w14:paraId="183EDDCB">
            <w:pPr>
              <w:spacing w:after="0" w:line="240" w:lineRule="auto"/>
            </w:pPr>
            <w:r>
              <w:t>24/24</w:t>
            </w:r>
          </w:p>
        </w:tc>
        <w:tc>
          <w:tcPr>
            <w:tcW w:w="1440" w:type="dxa"/>
          </w:tcPr>
          <w:p w14:paraId="2495E43E">
            <w:pPr>
              <w:spacing w:after="0" w:line="240" w:lineRule="auto"/>
            </w:pPr>
            <w:r>
              <w:t>0</w:t>
            </w:r>
          </w:p>
        </w:tc>
        <w:tc>
          <w:tcPr>
            <w:tcW w:w="1440" w:type="dxa"/>
          </w:tcPr>
          <w:p w14:paraId="0EC6CC52">
            <w:pPr>
              <w:spacing w:after="0" w:line="240" w:lineRule="auto"/>
            </w:pPr>
            <w:r>
              <w:t>1608.8 +/- 38.9</w:t>
            </w:r>
          </w:p>
        </w:tc>
        <w:tc>
          <w:tcPr>
            <w:tcW w:w="1440" w:type="dxa"/>
          </w:tcPr>
          <w:p w14:paraId="2A7B8EF3">
            <w:pPr>
              <w:spacing w:after="0" w:line="240" w:lineRule="auto"/>
            </w:pPr>
            <w:r>
              <w:t>55 +/- 2</w:t>
            </w:r>
          </w:p>
        </w:tc>
        <w:tc>
          <w:tcPr>
            <w:tcW w:w="1440" w:type="dxa"/>
          </w:tcPr>
          <w:p w14:paraId="74A412BA">
            <w:pPr>
              <w:spacing w:after="0" w:line="240" w:lineRule="auto"/>
            </w:pPr>
            <w:r>
              <w:t>499.7 +/- 76.7</w:t>
            </w:r>
          </w:p>
        </w:tc>
      </w:tr>
      <w:tr w14:paraId="7E35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AFD5876">
            <w:pPr>
              <w:spacing w:after="0" w:line="240" w:lineRule="auto"/>
            </w:pPr>
            <w:r>
              <w:t>stripe</w:t>
            </w:r>
          </w:p>
        </w:tc>
        <w:tc>
          <w:tcPr>
            <w:tcW w:w="1440" w:type="dxa"/>
          </w:tcPr>
          <w:p w14:paraId="5BF6DF1F">
            <w:pPr>
              <w:spacing w:after="0" w:line="240" w:lineRule="auto"/>
            </w:pPr>
            <w:r>
              <w:t>20.3/24</w:t>
            </w:r>
          </w:p>
        </w:tc>
        <w:tc>
          <w:tcPr>
            <w:tcW w:w="1440" w:type="dxa"/>
          </w:tcPr>
          <w:p w14:paraId="567493B3">
            <w:pPr>
              <w:spacing w:after="0" w:line="240" w:lineRule="auto"/>
            </w:pPr>
            <w:r>
              <w:t>3.7</w:t>
            </w:r>
          </w:p>
        </w:tc>
        <w:tc>
          <w:tcPr>
            <w:tcW w:w="1440" w:type="dxa"/>
          </w:tcPr>
          <w:p w14:paraId="383196B7">
            <w:pPr>
              <w:spacing w:after="0" w:line="240" w:lineRule="auto"/>
            </w:pPr>
            <w:r>
              <w:t>1422.0 +/- 177.1</w:t>
            </w:r>
          </w:p>
        </w:tc>
        <w:tc>
          <w:tcPr>
            <w:tcW w:w="1440" w:type="dxa"/>
          </w:tcPr>
          <w:p w14:paraId="4A3B9B08">
            <w:pPr>
              <w:spacing w:after="0" w:line="240" w:lineRule="auto"/>
            </w:pPr>
            <w:r>
              <w:t>0</w:t>
            </w:r>
          </w:p>
        </w:tc>
        <w:tc>
          <w:tcPr>
            <w:tcW w:w="1440" w:type="dxa"/>
          </w:tcPr>
          <w:p w14:paraId="19D086E9">
            <w:pPr>
              <w:spacing w:after="0" w:line="240" w:lineRule="auto"/>
            </w:pPr>
            <w:r>
              <w:t>105.7 +/- 7.7</w:t>
            </w:r>
          </w:p>
        </w:tc>
      </w:tr>
      <w:tr w14:paraId="5439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7557432">
            <w:pPr>
              <w:spacing w:after="0" w:line="240" w:lineRule="auto"/>
            </w:pPr>
            <w:r>
              <w:t>greedy</w:t>
            </w:r>
          </w:p>
        </w:tc>
        <w:tc>
          <w:tcPr>
            <w:tcW w:w="1440" w:type="dxa"/>
          </w:tcPr>
          <w:p w14:paraId="20AF9317">
            <w:pPr>
              <w:spacing w:after="0" w:line="240" w:lineRule="auto"/>
            </w:pPr>
            <w:r>
              <w:t>20.3/24</w:t>
            </w:r>
          </w:p>
        </w:tc>
        <w:tc>
          <w:tcPr>
            <w:tcW w:w="1440" w:type="dxa"/>
          </w:tcPr>
          <w:p w14:paraId="7731F04C">
            <w:pPr>
              <w:spacing w:after="0" w:line="240" w:lineRule="auto"/>
            </w:pPr>
            <w:r>
              <w:t>3.7</w:t>
            </w:r>
          </w:p>
        </w:tc>
        <w:tc>
          <w:tcPr>
            <w:tcW w:w="1440" w:type="dxa"/>
          </w:tcPr>
          <w:p w14:paraId="519DB735">
            <w:pPr>
              <w:spacing w:after="0" w:line="240" w:lineRule="auto"/>
            </w:pPr>
            <w:r>
              <w:t>1422.0 +/- 177.1</w:t>
            </w:r>
          </w:p>
        </w:tc>
        <w:tc>
          <w:tcPr>
            <w:tcW w:w="1440" w:type="dxa"/>
          </w:tcPr>
          <w:p w14:paraId="0271B287">
            <w:pPr>
              <w:spacing w:after="0" w:line="240" w:lineRule="auto"/>
            </w:pPr>
            <w:r>
              <w:t>0</w:t>
            </w:r>
          </w:p>
        </w:tc>
        <w:tc>
          <w:tcPr>
            <w:tcW w:w="1440" w:type="dxa"/>
          </w:tcPr>
          <w:p w14:paraId="20C31E8C">
            <w:pPr>
              <w:spacing w:after="0" w:line="240" w:lineRule="auto"/>
            </w:pPr>
            <w:r>
              <w:t>104.1 +/- 19.9</w:t>
            </w:r>
          </w:p>
        </w:tc>
      </w:tr>
      <w:tr w14:paraId="4144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9520CEF">
            <w:pPr>
              <w:spacing w:after="0" w:line="240" w:lineRule="auto"/>
            </w:pPr>
            <w:r>
              <w:t>feedback</w:t>
            </w:r>
          </w:p>
        </w:tc>
        <w:tc>
          <w:tcPr>
            <w:tcW w:w="1440" w:type="dxa"/>
          </w:tcPr>
          <w:p w14:paraId="1D6BCB4F">
            <w:pPr>
              <w:spacing w:after="0" w:line="240" w:lineRule="auto"/>
            </w:pPr>
            <w:r>
              <w:t>20.3/24</w:t>
            </w:r>
          </w:p>
        </w:tc>
        <w:tc>
          <w:tcPr>
            <w:tcW w:w="1440" w:type="dxa"/>
          </w:tcPr>
          <w:p w14:paraId="78F161D6">
            <w:pPr>
              <w:spacing w:after="0" w:line="240" w:lineRule="auto"/>
            </w:pPr>
            <w:r>
              <w:t>3.7</w:t>
            </w:r>
          </w:p>
        </w:tc>
        <w:tc>
          <w:tcPr>
            <w:tcW w:w="1440" w:type="dxa"/>
          </w:tcPr>
          <w:p w14:paraId="4479B63E">
            <w:pPr>
              <w:spacing w:after="0" w:line="240" w:lineRule="auto"/>
            </w:pPr>
            <w:r>
              <w:t>1422.0 +/- 177.1</w:t>
            </w:r>
          </w:p>
        </w:tc>
        <w:tc>
          <w:tcPr>
            <w:tcW w:w="1440" w:type="dxa"/>
          </w:tcPr>
          <w:p w14:paraId="645E8BF5">
            <w:pPr>
              <w:spacing w:after="0" w:line="240" w:lineRule="auto"/>
            </w:pPr>
            <w:r>
              <w:t>0</w:t>
            </w:r>
          </w:p>
        </w:tc>
        <w:tc>
          <w:tcPr>
            <w:tcW w:w="1440" w:type="dxa"/>
          </w:tcPr>
          <w:p w14:paraId="7A8CDD1B">
            <w:pPr>
              <w:spacing w:after="0" w:line="240" w:lineRule="auto"/>
            </w:pPr>
            <w:r>
              <w:t>104.1 +/- 19.9</w:t>
            </w:r>
          </w:p>
        </w:tc>
      </w:tr>
      <w:tr w14:paraId="0AC4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5D3F2CD">
            <w:pPr>
              <w:spacing w:after="0" w:line="240" w:lineRule="auto"/>
            </w:pPr>
            <w:r>
              <w:t>split_outer_inner</w:t>
            </w:r>
          </w:p>
        </w:tc>
        <w:tc>
          <w:tcPr>
            <w:tcW w:w="1440" w:type="dxa"/>
          </w:tcPr>
          <w:p w14:paraId="5826D550">
            <w:pPr>
              <w:spacing w:after="0" w:line="240" w:lineRule="auto"/>
            </w:pPr>
            <w:r>
              <w:t>20.3/24</w:t>
            </w:r>
          </w:p>
        </w:tc>
        <w:tc>
          <w:tcPr>
            <w:tcW w:w="1440" w:type="dxa"/>
          </w:tcPr>
          <w:p w14:paraId="32D5A0C8">
            <w:pPr>
              <w:spacing w:after="0" w:line="240" w:lineRule="auto"/>
            </w:pPr>
            <w:r>
              <w:t>3.7</w:t>
            </w:r>
          </w:p>
        </w:tc>
        <w:tc>
          <w:tcPr>
            <w:tcW w:w="1440" w:type="dxa"/>
          </w:tcPr>
          <w:p w14:paraId="4BF15E9C">
            <w:pPr>
              <w:spacing w:after="0" w:line="240" w:lineRule="auto"/>
            </w:pPr>
            <w:r>
              <w:t>1422.0 +/- 177.1</w:t>
            </w:r>
          </w:p>
        </w:tc>
        <w:tc>
          <w:tcPr>
            <w:tcW w:w="1440" w:type="dxa"/>
          </w:tcPr>
          <w:p w14:paraId="2EFFB8A2">
            <w:pPr>
              <w:spacing w:after="0" w:line="240" w:lineRule="auto"/>
            </w:pPr>
            <w:r>
              <w:t>0</w:t>
            </w:r>
          </w:p>
        </w:tc>
        <w:tc>
          <w:tcPr>
            <w:tcW w:w="1440" w:type="dxa"/>
          </w:tcPr>
          <w:p w14:paraId="4CB8EA65">
            <w:pPr>
              <w:spacing w:after="0" w:line="240" w:lineRule="auto"/>
            </w:pPr>
            <w:r>
              <w:t>103.2 +/- 8.8</w:t>
            </w:r>
          </w:p>
        </w:tc>
      </w:tr>
    </w:tbl>
    <w:p w14:paraId="340914C8">
      <w:pPr>
        <w:spacing w:line="300" w:lineRule="auto"/>
        <w:ind w:firstLine="420"/>
      </w:pPr>
      <w:r>
        <w:t>一个值得注意的悖论: all_L0(将所有 bus 分配在同一层)在 planner 侧拥有最高的 proxy cost(499.7)和最多的 conflict(11), 但在 Freerouting detailed routing 中却是唯一能 100% 布通所有 24 条 net 的方案。原因在于 SMD pads 天然位于 F.Cu 层, 所有 stub seed 放在 F.Cu 避免了层切换问题。这说明当前 SMD-pad high_conflict benchmark 在 seed-only 口径下不适合直接用于比较层分配策略的优劣。</w:t>
      </w:r>
    </w:p>
    <w:p w14:paraId="5F67A791">
      <w:pPr>
        <w:pStyle w:val="3"/>
      </w:pPr>
      <w:r>
        <w:t xml:space="preserve">七、 </w:t>
      </w:r>
      <w:bookmarkStart w:id="0" w:name="_GoBack"/>
      <w:bookmarkEnd w:id="0"/>
      <w:r>
        <w:t>工程改动汇总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870"/>
        <w:gridCol w:w="2410"/>
      </w:tblGrid>
      <w:tr w14:paraId="3EC8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4956DEDC">
            <w:pPr>
              <w:spacing w:after="0" w:line="240" w:lineRule="auto"/>
            </w:pPr>
            <w:r>
              <w:rPr>
                <w:b/>
              </w:rPr>
              <w:t>文件或目录</w:t>
            </w:r>
          </w:p>
        </w:tc>
        <w:tc>
          <w:tcPr>
            <w:tcW w:w="2880" w:type="dxa"/>
          </w:tcPr>
          <w:p w14:paraId="4A832ED9">
            <w:pPr>
              <w:spacing w:after="0" w:line="240" w:lineRule="auto"/>
            </w:pPr>
            <w:r>
              <w:rPr>
                <w:b/>
              </w:rPr>
              <w:t>主要变化</w:t>
            </w:r>
          </w:p>
        </w:tc>
        <w:tc>
          <w:tcPr>
            <w:tcW w:w="2880" w:type="dxa"/>
          </w:tcPr>
          <w:p w14:paraId="34454B7F">
            <w:pPr>
              <w:spacing w:after="0" w:line="240" w:lineRule="auto"/>
            </w:pPr>
            <w:r>
              <w:rPr>
                <w:b/>
              </w:rPr>
              <w:t>研究作用</w:t>
            </w:r>
          </w:p>
        </w:tc>
      </w:tr>
      <w:tr w14:paraId="5B06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547CA4">
            <w:pPr>
              <w:spacing w:after="0" w:line="240" w:lineRule="auto"/>
            </w:pPr>
            <w:r>
              <w:t>CorridorGuide.java</w:t>
            </w:r>
          </w:p>
        </w:tc>
        <w:tc>
          <w:tcPr>
            <w:tcW w:w="2880" w:type="dxa"/>
          </w:tcPr>
          <w:p w14:paraId="26A323B1">
            <w:pPr>
              <w:spacing w:after="0" w:line="240" w:lineRule="auto"/>
            </w:pPr>
            <w:r>
              <w:t>新增 tie_breaker 模式, isTieBreaker()方法</w:t>
            </w:r>
          </w:p>
        </w:tc>
        <w:tc>
          <w:tcPr>
            <w:tcW w:w="2880" w:type="dxa"/>
          </w:tcPr>
          <w:p w14:paraId="64E42018">
            <w:pPr>
              <w:spacing w:after="0" w:line="240" w:lineRule="auto"/>
            </w:pPr>
            <w:r>
              <w:t>第三种 corridor penalty 注入方式</w:t>
            </w:r>
          </w:p>
        </w:tc>
      </w:tr>
      <w:tr w14:paraId="4040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7AD6F2">
            <w:pPr>
              <w:spacing w:after="0" w:line="240" w:lineRule="auto"/>
            </w:pPr>
            <w:r>
              <w:t>MazeSearchAlgo.java</w:t>
            </w:r>
          </w:p>
        </w:tc>
        <w:tc>
          <w:tcPr>
            <w:tcW w:w="2880" w:type="dxa"/>
          </w:tcPr>
          <w:p w14:paraId="5AECC7EC">
            <w:pPr>
              <w:spacing w:after="0" w:line="240" w:lineRule="auto"/>
            </w:pPr>
            <w:r>
              <w:t>新增 tie_break_weight 字段, 修改 expand_to_door_section()</w:t>
            </w:r>
          </w:p>
        </w:tc>
        <w:tc>
          <w:tcPr>
            <w:tcW w:w="2880" w:type="dxa"/>
          </w:tcPr>
          <w:p w14:paraId="6FA22384">
            <w:pPr>
              <w:spacing w:after="0" w:line="240" w:lineRule="auto"/>
            </w:pPr>
            <w:r>
              <w:t>tie-breaker 模式下 corridor bias 仅影响排序值</w:t>
            </w:r>
          </w:p>
        </w:tc>
      </w:tr>
      <w:tr w14:paraId="28DC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8DEFC4">
            <w:pPr>
              <w:spacing w:after="0" w:line="240" w:lineRule="auto"/>
            </w:pPr>
            <w:r>
              <w:t>freerouting_headless.py</w:t>
            </w:r>
          </w:p>
        </w:tc>
        <w:tc>
          <w:tcPr>
            <w:tcW w:w="2880" w:type="dxa"/>
          </w:tcPr>
          <w:p w14:paraId="18F3DED6">
            <w:pPr>
              <w:spacing w:after="0" w:line="240" w:lineRule="auto"/>
            </w:pPr>
            <w:r>
              <w:t>新增 corridor_tie_break_weight 参数透传</w:t>
            </w:r>
          </w:p>
        </w:tc>
        <w:tc>
          <w:tcPr>
            <w:tcW w:w="2880" w:type="dxa"/>
          </w:tcPr>
          <w:p w14:paraId="266C83F7">
            <w:pPr>
              <w:spacing w:after="0" w:line="240" w:lineRule="auto"/>
            </w:pPr>
            <w:r>
              <w:t>Python 调用 patched jar</w:t>
            </w:r>
          </w:p>
        </w:tc>
      </w:tr>
      <w:tr w14:paraId="432E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B19C7B">
            <w:pPr>
              <w:spacing w:after="0" w:line="240" w:lineRule="auto"/>
            </w:pPr>
            <w:r>
              <w:t>phase1_dummy_corridor_test.py</w:t>
            </w:r>
          </w:p>
        </w:tc>
        <w:tc>
          <w:tcPr>
            <w:tcW w:w="2880" w:type="dxa"/>
          </w:tcPr>
          <w:p w14:paraId="189C951E">
            <w:pPr>
              <w:spacing w:after="0" w:line="240" w:lineRule="auto"/>
            </w:pPr>
            <w:r>
              <w:t>新增 --router-corridor-tie-break-weight</w:t>
            </w:r>
          </w:p>
        </w:tc>
        <w:tc>
          <w:tcPr>
            <w:tcW w:w="2880" w:type="dxa"/>
          </w:tcPr>
          <w:p w14:paraId="19D1290D">
            <w:pPr>
              <w:spacing w:after="0" w:line="240" w:lineRule="auto"/>
            </w:pPr>
            <w:r>
              <w:t>实验脚本参数透传</w:t>
            </w:r>
          </w:p>
        </w:tc>
      </w:tr>
      <w:tr w14:paraId="13B2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12F855">
            <w:pPr>
              <w:spacing w:after="0" w:line="240" w:lineRule="auto"/>
            </w:pPr>
            <w:r>
              <w:t>phase1_seed_sweep.py</w:t>
            </w:r>
          </w:p>
        </w:tc>
        <w:tc>
          <w:tcPr>
            <w:tcW w:w="2880" w:type="dxa"/>
          </w:tcPr>
          <w:p w14:paraId="1E7AC6EA">
            <w:pPr>
              <w:spacing w:after="0" w:line="240" w:lineRule="auto"/>
            </w:pPr>
            <w:r>
              <w:t>新增 --router-corridor-tie-break-weight</w:t>
            </w:r>
          </w:p>
        </w:tc>
        <w:tc>
          <w:tcPr>
            <w:tcW w:w="2880" w:type="dxa"/>
          </w:tcPr>
          <w:p w14:paraId="64F531DE">
            <w:pPr>
              <w:spacing w:after="0" w:line="240" w:lineRule="auto"/>
            </w:pPr>
            <w:r>
              <w:t>批量实验参数透传</w:t>
            </w:r>
          </w:p>
        </w:tc>
      </w:tr>
      <w:tr w14:paraId="36D8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6FE5F6">
            <w:pPr>
              <w:spacing w:after="0" w:line="240" w:lineRule="auto"/>
            </w:pPr>
            <w:r>
              <w:t>router_corridor_penalty_sweep.py</w:t>
            </w:r>
          </w:p>
        </w:tc>
        <w:tc>
          <w:tcPr>
            <w:tcW w:w="2880" w:type="dxa"/>
          </w:tcPr>
          <w:p w14:paraId="1D868DAA">
            <w:pPr>
              <w:spacing w:after="0" w:line="240" w:lineRule="auto"/>
            </w:pPr>
            <w:r>
              <w:t>新增 --corridor-tie-break-weight</w:t>
            </w:r>
          </w:p>
        </w:tc>
        <w:tc>
          <w:tcPr>
            <w:tcW w:w="2880" w:type="dxa"/>
          </w:tcPr>
          <w:p w14:paraId="4F2E155E">
            <w:pPr>
              <w:spacing w:after="0" w:line="240" w:lineRule="auto"/>
            </w:pPr>
            <w:r>
              <w:t>penalty sweep 参数透传</w:t>
            </w:r>
          </w:p>
        </w:tc>
      </w:tr>
      <w:tr w14:paraId="4145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550166E">
            <w:pPr>
              <w:spacing w:after="0" w:line="240" w:lineRule="auto"/>
            </w:pPr>
            <w:r>
              <w:t>.gitignore</w:t>
            </w:r>
          </w:p>
        </w:tc>
        <w:tc>
          <w:tcPr>
            <w:tcW w:w="2880" w:type="dxa"/>
          </w:tcPr>
          <w:p w14:paraId="0CB613E9">
            <w:pPr>
              <w:spacing w:after="0" w:line="240" w:lineRule="auto"/>
            </w:pPr>
            <w:r>
              <w:t>新增 bench*_4L.json, 收紧 doc/ 范围</w:t>
            </w:r>
          </w:p>
        </w:tc>
        <w:tc>
          <w:tcPr>
            <w:tcW w:w="2880" w:type="dxa"/>
          </w:tcPr>
          <w:p w14:paraId="32995C33">
            <w:pPr>
              <w:spacing w:after="0" w:line="240" w:lineRule="auto"/>
            </w:pPr>
            <w:r>
              <w:t>仓库清洁度维护</w:t>
            </w:r>
          </w:p>
        </w:tc>
      </w:tr>
      <w:tr w14:paraId="2832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2D48CB">
            <w:pPr>
              <w:spacing w:after="0" w:line="240" w:lineRule="auto"/>
            </w:pPr>
            <w:r>
              <w:t>README.md</w:t>
            </w:r>
          </w:p>
        </w:tc>
        <w:tc>
          <w:tcPr>
            <w:tcW w:w="2880" w:type="dxa"/>
          </w:tcPr>
          <w:p w14:paraId="324BF844">
            <w:pPr>
              <w:spacing w:after="0" w:line="240" w:lineRule="auto"/>
            </w:pPr>
            <w:r>
              <w:t>完整项目文档</w:t>
            </w:r>
          </w:p>
        </w:tc>
        <w:tc>
          <w:tcPr>
            <w:tcW w:w="2880" w:type="dxa"/>
          </w:tcPr>
          <w:p w14:paraId="59E868FB">
            <w:pPr>
              <w:spacing w:after="0" w:line="240" w:lineRule="auto"/>
            </w:pPr>
            <w:r>
              <w:t>实验复现性保障</w:t>
            </w:r>
          </w:p>
        </w:tc>
      </w:tr>
      <w:tr w14:paraId="7536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04DF92">
            <w:pPr>
              <w:spacing w:after="0" w:line="240" w:lineRule="auto"/>
            </w:pPr>
            <w:r>
              <w:t>analyze_formal_sweep.py</w:t>
            </w:r>
          </w:p>
        </w:tc>
        <w:tc>
          <w:tcPr>
            <w:tcW w:w="2880" w:type="dxa"/>
          </w:tcPr>
          <w:p w14:paraId="6147C618">
            <w:pPr>
              <w:spacing w:after="0" w:line="240" w:lineRule="auto"/>
            </w:pPr>
            <w:r>
              <w:t>新增实验结果分析脚本</w:t>
            </w:r>
          </w:p>
        </w:tc>
        <w:tc>
          <w:tcPr>
            <w:tcW w:w="2880" w:type="dxa"/>
          </w:tcPr>
          <w:p w14:paraId="26CBDD87">
            <w:pPr>
              <w:spacing w:after="0" w:line="240" w:lineRule="auto"/>
            </w:pPr>
            <w:r>
              <w:t>自动化聚合汇总和 per-seed 对比</w:t>
            </w:r>
          </w:p>
        </w:tc>
      </w:tr>
      <w:tr w14:paraId="6A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92E3E0">
            <w:pPr>
              <w:spacing w:after="0" w:line="240" w:lineRule="auto"/>
            </w:pPr>
            <w:r>
              <w:t>doc/阶段性总结_2026-05-24.md</w:t>
            </w:r>
          </w:p>
        </w:tc>
        <w:tc>
          <w:tcPr>
            <w:tcW w:w="2880" w:type="dxa"/>
          </w:tcPr>
          <w:p w14:paraId="6FCBF877">
            <w:pPr>
              <w:spacing w:after="0" w:line="240" w:lineRule="auto"/>
            </w:pPr>
            <w:r>
              <w:t>补充第 31 至第 32 节</w:t>
            </w:r>
          </w:p>
        </w:tc>
        <w:tc>
          <w:tcPr>
            <w:tcW w:w="2880" w:type="dxa"/>
          </w:tcPr>
          <w:p w14:paraId="3E734E48">
            <w:pPr>
              <w:spacing w:after="0" w:line="240" w:lineRule="auto"/>
            </w:pPr>
            <w:r>
              <w:t>记录 tie-breaker + seed-only 实验</w:t>
            </w:r>
          </w:p>
        </w:tc>
      </w:tr>
    </w:tbl>
    <w:p w14:paraId="59E0F2A0">
      <w:pPr>
        <w:pStyle w:val="3"/>
      </w:pPr>
      <w:r>
        <w:t>八、 阶段性结论</w:t>
      </w:r>
    </w:p>
    <w:p w14:paraId="55972288">
      <w:pPr>
        <w:spacing w:line="300" w:lineRule="auto"/>
        <w:ind w:firstLine="420"/>
      </w:pPr>
      <w:r>
        <w:t>第一, hard/soft/tie-breaker 三种 corridor 注入方式均不能同时满足可布通性和 corridor adherence 要求, 该结论是系统性的而非参数调优不足。论文中应将此作为方法探索与负面约束分析章节的核心内容。第二, 在 seed-only 口径下, 当前 FeedbackSolver 因保守接受准则而退化为 GreedySolver, 在所有 20 个 shuffle 样本上二者产生完全相同的层分配和 detailed routing 结果。这既是避免 proxy-induced degradation 的安全保障, 也暴露了当前 feedback 机制缺乏正向优化能力。第三, 当前 SMD-pad high_conflict benchmark 存在 all_L0 悖论——规划侧最差的分配在 detailed routing 中反而最好——说明该 benchmark 不适合作为层分配策略优劣的主要验证平台。</w:t>
      </w:r>
    </w:p>
    <w:p w14:paraId="643AF057">
      <w:pPr>
        <w:pStyle w:val="3"/>
      </w:pPr>
      <w:r>
        <w:t>九、 下周工作计划</w:t>
      </w:r>
    </w:p>
    <w:p w14:paraId="1BA45A8D">
      <w:pPr>
        <w:spacing w:line="300" w:lineRule="auto"/>
        <w:ind w:firstLine="420"/>
      </w:pPr>
      <w:r>
        <w:t>下周从三个方向并行推进。第一, 改进 benchmark 构造: 生成非均匀、非规则的 shuffle 样本——不同 bus 使用不同 net 数(如 2/3/5/6 混合)、不同线宽、非均匀 pad pitch、引入局部障碍, 使 stripe 不再天然接近最优, 给 greedy 和 feedback 留出区分空间。第二, 改进 solver 策略: 考虑放宽 FeedbackSolver 的接受准则, 允许在保持 unrouted_estimate 不增加的前提下接受部分 crossing 改善动作; 或引入更精细的 detailed-routing proxy 指标(如 seed item count、per-layer seed density)来增强区分能力。第三, 考虑回归 through-hole pad 样本作为主要实验平台, 利用 through-hole pads 天然跨层的特性, 使层分配差异更直接地转化为 detailed routing 差异。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075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2666</Words>
  <Characters>6023</Characters>
  <Lines>0</Lines>
  <Paragraphs>0</Paragraphs>
  <TotalTime>1</TotalTime>
  <ScaleCrop>false</ScaleCrop>
  <LinksUpToDate>false</LinksUpToDate>
  <CharactersWithSpaces>6665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赵佳骏</cp:lastModifiedBy>
  <dcterms:modified xsi:type="dcterms:W3CDTF">2026-06-15T10:12:28Z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eyJoZGlkIjoiMjMxNWFjNTgyZWJjNTM4ZGEwOTJkYTUyYTk1NTVlYTAiLCJ1c2VySWQiOiIxNjkwNDQ3MjI4In0=</vt:lpwstr>
  </property>
  <property fmtid="{D5CDD505-2E9C-101B-9397-08002B2CF9AE}" pid="3" name="KSOProductBuildVer">
    <vt:lpwstr>2052-12.1.0.26375</vt:lpwstr>
  </property>
  <property fmtid="{D5CDD505-2E9C-101B-9397-08002B2CF9AE}" pid="4" name="ICV">
    <vt:lpwstr>1EB338AB45A340F097DA86CD8D6F8AC5_12</vt:lpwstr>
  </property>
</Properties>
</file>