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73138">
      <w:pPr>
        <w:spacing w:line="300" w:lineRule="auto"/>
        <w:jc w:val="center"/>
      </w:pPr>
      <w:r>
        <w:rPr>
          <w:rFonts w:ascii="Times New Roman" w:hAnsi="Times New Roman" w:eastAsia="宋体"/>
          <w:b/>
          <w:sz w:val="36"/>
          <w:szCs w:val="36"/>
        </w:rPr>
        <w:t>PCB 总线层分配与详细布线验证周总结</w:t>
      </w:r>
    </w:p>
    <w:p w14:paraId="091E5E95">
      <w:pPr>
        <w:spacing w:line="300" w:lineRule="auto"/>
        <w:jc w:val="center"/>
      </w:pPr>
      <w:r>
        <w:rPr>
          <w:rFonts w:ascii="Times New Roman" w:hAnsi="Times New Roman" w:eastAsia="宋体"/>
        </w:rPr>
        <w:t>2026 年 6 月 8 日</w:t>
      </w:r>
    </w:p>
    <w:p w14:paraId="1E432956">
      <w:pPr>
        <w:pStyle w:val="2"/>
        <w:widowControl/>
        <w:spacing w:line="276" w:lineRule="auto"/>
        <w:jc w:val="left"/>
        <w:rPr>
          <w:rFonts w:ascii="宋体" w:hAnsi="宋体" w:eastAsia="宋体"/>
          <w:b/>
          <w:sz w:val="28"/>
          <w:lang w:val="en-US" w:eastAsia="en-US" w:bidi="ar-SA"/>
        </w:rPr>
      </w:pPr>
      <w:r>
        <w:rPr>
          <w:rFonts w:ascii="宋体" w:hAnsi="宋体" w:eastAsia="宋体"/>
          <w:b/>
          <w:sz w:val="28"/>
          <w:lang w:val="en-US" w:eastAsia="en-US" w:bidi="ar-SA"/>
        </w:rPr>
        <w:t>一、总体进展</w:t>
      </w:r>
    </w:p>
    <w:p w14:paraId="0B297DF9">
      <w:pPr>
        <w:spacing w:line="300" w:lineRule="auto"/>
        <w:ind w:firstLine="420"/>
      </w:pPr>
      <w:r>
        <w:rPr>
          <w:rFonts w:ascii="Times New Roman" w:hAnsi="Times New Roman" w:eastAsia="宋体"/>
        </w:rPr>
        <w:t>本周工作围绕 PCB 总线层分配结果如何进入详细布线验证流程展开。前期尝试将层分配结果表达为 dummy-net corridor，以期形成对 Freerouting 的层占用约束；经过多组对照实验后，该路线被证明难以稳定产生 assignment-dependent routing metrics。因此，本周后半阶段将实验主线调整为 same-net seed 口径，即把层分配结果写作真实信号网络的局部逃逸种子，并以 Freerouting 的 detailed-routing 指标评价层分配方案对后续布线的影响。</w:t>
      </w:r>
    </w:p>
    <w:p w14:paraId="11A3BC67">
      <w:pPr>
        <w:spacing w:line="300" w:lineRule="auto"/>
        <w:ind w:firstLine="420"/>
      </w:pPr>
      <w:r>
        <w:rPr>
          <w:rFonts w:ascii="Times New Roman" w:hAnsi="Times New Roman" w:eastAsia="宋体"/>
        </w:rPr>
        <w:t>该调整并不意味着放弃层分配问题本身，而是对验证接口进行了更准确的界定。当前证据表明，same-net seed 更接近详细布线器能够稳定响应的表达形式；dummy-net corridor 虽能写入 DSN 并被解析，但在当前几何和 Freerouting 行为下，不能可靠反映不同层分配方案的差异。</w:t>
      </w:r>
    </w:p>
    <w:p w14:paraId="24895CD0">
      <w:pPr>
        <w:pStyle w:val="2"/>
        <w:widowControl/>
        <w:spacing w:line="276" w:lineRule="auto"/>
        <w:jc w:val="left"/>
        <w:rPr>
          <w:rFonts w:ascii="宋体" w:hAnsi="宋体" w:eastAsia="宋体"/>
          <w:b/>
          <w:sz w:val="28"/>
          <w:lang w:val="en-US" w:eastAsia="en-US" w:bidi="ar-SA"/>
        </w:rPr>
      </w:pPr>
      <w:r>
        <w:rPr>
          <w:rFonts w:ascii="宋体" w:hAnsi="宋体" w:eastAsia="宋体"/>
          <w:b/>
          <w:sz w:val="28"/>
          <w:lang w:val="en-US" w:eastAsia="en-US" w:bidi="ar-SA"/>
        </w:rPr>
        <w:t>二、工程实现</w:t>
      </w:r>
    </w:p>
    <w:p w14:paraId="7792582F">
      <w:pPr>
        <w:spacing w:line="300" w:lineRule="auto"/>
        <w:ind w:firstLine="420"/>
      </w:pPr>
      <w:r>
        <w:rPr>
          <w:rFonts w:ascii="Times New Roman" w:hAnsi="Times New Roman" w:eastAsia="宋体"/>
        </w:rPr>
        <w:t>本周新增和修改的代码主要服务于三类目标：构建可控的小型高冲突样本，建立 seed-only 批量实验入口，并修正 FeedbackSolver 的候选接受准则。相关文件及其作用如下表所示。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82"/>
        <w:gridCol w:w="2400"/>
        <w:gridCol w:w="2400"/>
      </w:tblGrid>
      <w:tr w14:paraId="59BC8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82" w:type="dxa"/>
          </w:tcPr>
          <w:p w14:paraId="5453AC2B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文件</w:t>
            </w:r>
          </w:p>
        </w:tc>
        <w:tc>
          <w:tcPr>
            <w:tcW w:w="2400" w:type="dxa"/>
          </w:tcPr>
          <w:p w14:paraId="0FBD491C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主要变化</w:t>
            </w:r>
          </w:p>
        </w:tc>
        <w:tc>
          <w:tcPr>
            <w:tcW w:w="2400" w:type="dxa"/>
          </w:tcPr>
          <w:p w14:paraId="0C066AE3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研究作用</w:t>
            </w:r>
          </w:p>
        </w:tc>
      </w:tr>
      <w:tr w14:paraId="44AF5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782" w:type="dxa"/>
          </w:tcPr>
          <w:p w14:paraId="5514EEF9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benchmark/phase1_dummy_corridor_test.py</w:t>
            </w:r>
          </w:p>
        </w:tc>
        <w:tc>
          <w:tcPr>
            <w:tcW w:w="2400" w:type="dxa"/>
          </w:tcPr>
          <w:p w14:paraId="408228A5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增加 seed 与 corridor 的正交开关，并补充 endpoint 和 crossbar 几何模式</w:t>
            </w:r>
          </w:p>
        </w:tc>
        <w:tc>
          <w:tcPr>
            <w:tcW w:w="2400" w:type="dxa"/>
          </w:tcPr>
          <w:p w14:paraId="747E422B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用于区分 routing seed 与 dummy corridor 的作用机制</w:t>
            </w:r>
          </w:p>
        </w:tc>
      </w:tr>
      <w:tr w14:paraId="18A71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782" w:type="dxa"/>
          </w:tcPr>
          <w:p w14:paraId="1CF9A664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benchmark/phase1_high_conflict_pcb.py</w:t>
            </w:r>
          </w:p>
        </w:tc>
        <w:tc>
          <w:tcPr>
            <w:tcW w:w="2400" w:type="dxa"/>
          </w:tcPr>
          <w:p w14:paraId="1FB67906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新增可控 high-conflict PCB 生成器，支持 SMD pad、随机 permutation、bus/net 数参数</w:t>
            </w:r>
          </w:p>
        </w:tc>
        <w:tc>
          <w:tcPr>
            <w:tcW w:w="2400" w:type="dxa"/>
          </w:tcPr>
          <w:p w14:paraId="4DDE0F94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用于构造可复现实验样本</w:t>
            </w:r>
          </w:p>
        </w:tc>
      </w:tr>
      <w:tr w14:paraId="16A00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782" w:type="dxa"/>
          </w:tcPr>
          <w:p w14:paraId="38066036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benchmark/phase1_seed_sweep.py</w:t>
            </w:r>
          </w:p>
        </w:tc>
        <w:tc>
          <w:tcPr>
            <w:tcW w:w="2400" w:type="dxa"/>
          </w:tcPr>
          <w:p w14:paraId="27D7B2B7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新增 seed-only 批量实验脚本</w:t>
            </w:r>
          </w:p>
        </w:tc>
        <w:tc>
          <w:tcPr>
            <w:tcW w:w="2400" w:type="dxa"/>
          </w:tcPr>
          <w:p w14:paraId="35BFA0E5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用于统一运行 baseline、solver 与 Freerouting 验证</w:t>
            </w:r>
          </w:p>
        </w:tc>
      </w:tr>
      <w:tr w14:paraId="79E75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782" w:type="dxa"/>
          </w:tcPr>
          <w:p w14:paraId="46762AB2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benchmark/feedback_solver.py</w:t>
            </w:r>
          </w:p>
        </w:tc>
        <w:tc>
          <w:tcPr>
            <w:tcW w:w="2400" w:type="dxa"/>
          </w:tcPr>
          <w:p w14:paraId="2270B16F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引入 seed_via_weight、seed via 估计和内部 optimization cost</w:t>
            </w:r>
          </w:p>
        </w:tc>
        <w:tc>
          <w:tcPr>
            <w:tcW w:w="2400" w:type="dxa"/>
          </w:tcPr>
          <w:p w14:paraId="6104CD4F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降低 feedback 接受高 seed 风险动作的概率</w:t>
            </w:r>
          </w:p>
        </w:tc>
      </w:tr>
    </w:tbl>
    <w:p w14:paraId="433F6D39">
      <w:pPr>
        <w:pStyle w:val="2"/>
        <w:widowControl/>
        <w:spacing w:line="276" w:lineRule="auto"/>
        <w:jc w:val="left"/>
        <w:rPr>
          <w:rFonts w:ascii="宋体" w:hAnsi="宋体" w:eastAsia="宋体"/>
          <w:b/>
          <w:sz w:val="28"/>
          <w:lang w:val="en-US" w:eastAsia="en-US" w:bidi="ar-SA"/>
        </w:rPr>
      </w:pPr>
      <w:bookmarkStart w:id="0" w:name="_GoBack"/>
      <w:bookmarkEnd w:id="0"/>
      <w:r>
        <w:rPr>
          <w:rFonts w:ascii="宋体" w:hAnsi="宋体" w:eastAsia="宋体"/>
          <w:b/>
          <w:sz w:val="28"/>
          <w:lang w:val="en-US" w:eastAsia="en-US" w:bidi="ar-SA"/>
        </w:rPr>
        <w:t>三、实验结果与分析</w:t>
      </w:r>
    </w:p>
    <w:p w14:paraId="5AA6D369">
      <w:pPr>
        <w:spacing w:line="300" w:lineRule="auto"/>
      </w:pPr>
      <w:r>
        <w:rPr>
          <w:rFonts w:ascii="Times New Roman" w:hAnsi="Times New Roman" w:eastAsia="宋体"/>
          <w:b/>
          <w:sz w:val="24"/>
          <w:szCs w:val="24"/>
        </w:rPr>
        <w:t>3.1 Dummy corridor 路线的验证结果</w:t>
      </w:r>
    </w:p>
    <w:p w14:paraId="411B0B8A">
      <w:pPr>
        <w:spacing w:line="300" w:lineRule="auto"/>
        <w:ind w:firstLine="420"/>
      </w:pPr>
      <w:r>
        <w:rPr>
          <w:rFonts w:ascii="Times New Roman" w:hAnsi="Times New Roman" w:eastAsia="宋体"/>
        </w:rPr>
        <w:t>本周系统测试了 through-hole endpoint、SMD endpoint、segment-only endpoint、bus-center corridor、crossbar corridor 以及增强宽度和长度的 strong crossbar 设置。结果显示，dummy-net corridor 虽然能够被写入 KiCad PCB 和 SPECCTRA DSN，并被 Freerouting 正常解析，但在 corridor-only 口径下，bad assignment 与 good assignment 的 detailed-routing 指标始终未出现稳定差异。</w:t>
      </w:r>
    </w:p>
    <w:p w14:paraId="0E930A7C">
      <w:pPr>
        <w:spacing w:line="300" w:lineRule="auto"/>
        <w:ind w:firstLine="420"/>
      </w:pPr>
      <w:r>
        <w:rPr>
          <w:rFonts w:ascii="Times New Roman" w:hAnsi="Times New Roman" w:eastAsia="宋体"/>
        </w:rPr>
        <w:t>这一结果具有明确的方法学含义：dummy wiring 不能作为本文验证层分配优劣的核心接口。后续论文中应将其作为工程探索中的负面结果或边界分析，而不宜将其作为主要贡献或主要实验口径。</w:t>
      </w:r>
    </w:p>
    <w:p w14:paraId="46175D97">
      <w:pPr>
        <w:spacing w:line="300" w:lineRule="auto"/>
      </w:pPr>
      <w:r>
        <w:rPr>
          <w:rFonts w:ascii="Times New Roman" w:hAnsi="Times New Roman" w:eastAsia="宋体"/>
          <w:b/>
          <w:sz w:val="24"/>
          <w:szCs w:val="24"/>
        </w:rPr>
        <w:t>3.2 SMD high-conflict seed-only 机制验证</w:t>
      </w:r>
    </w:p>
    <w:p w14:paraId="6170BD7D">
      <w:pPr>
        <w:spacing w:line="300" w:lineRule="auto"/>
        <w:ind w:firstLine="420"/>
      </w:pPr>
      <w:r>
        <w:rPr>
          <w:rFonts w:ascii="Times New Roman" w:hAnsi="Times New Roman" w:eastAsia="宋体"/>
        </w:rPr>
        <w:t>为避免 through-hole pad 天然跨所有铜层导致层差异被削弱，本周构建了 SMD-pad high-conflict 样本。该样本包含 24 个真实信号网络、6 条 bus、4 个铜层和 48 个 SMD pad。右侧 pad 顺序被重新排列，以形成较强的 crossing 结构。seed-only 口径下，人工构造的较优层分配相对 all-L0 分配表现出更好的详细布线指标。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9"/>
        <w:gridCol w:w="1364"/>
        <w:gridCol w:w="1364"/>
        <w:gridCol w:w="1590"/>
        <w:gridCol w:w="1414"/>
        <w:gridCol w:w="1365"/>
      </w:tblGrid>
      <w:tr w14:paraId="7DC8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36145CD9">
            <w:pPr>
              <w:spacing w:line="260" w:lineRule="auto"/>
              <w:jc w:val="center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  <w:szCs w:val="21"/>
              </w:rPr>
              <w:t>方案</w:t>
            </w:r>
          </w:p>
        </w:tc>
        <w:tc>
          <w:tcPr>
            <w:tcW w:w="2400" w:type="dxa"/>
          </w:tcPr>
          <w:p w14:paraId="392FD370">
            <w:pPr>
              <w:spacing w:line="260" w:lineRule="auto"/>
              <w:jc w:val="center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  <w:szCs w:val="21"/>
              </w:rPr>
              <w:t>布通网络</w:t>
            </w:r>
          </w:p>
        </w:tc>
        <w:tc>
          <w:tcPr>
            <w:tcW w:w="2400" w:type="dxa"/>
          </w:tcPr>
          <w:p w14:paraId="5D1D64DF">
            <w:pPr>
              <w:spacing w:line="260" w:lineRule="auto"/>
              <w:jc w:val="center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  <w:szCs w:val="21"/>
              </w:rPr>
              <w:t>未布通网络</w:t>
            </w:r>
          </w:p>
        </w:tc>
        <w:tc>
          <w:tcPr>
            <w:tcW w:w="2400" w:type="dxa"/>
          </w:tcPr>
          <w:p w14:paraId="000F78EF">
            <w:pPr>
              <w:spacing w:line="260" w:lineRule="auto"/>
              <w:jc w:val="center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  <w:szCs w:val="21"/>
              </w:rPr>
              <w:t>线长</w:t>
            </w:r>
          </w:p>
        </w:tc>
        <w:tc>
          <w:tcPr>
            <w:tcW w:w="2400" w:type="dxa"/>
          </w:tcPr>
          <w:p w14:paraId="2CA8CE5F">
            <w:pPr>
              <w:spacing w:line="260" w:lineRule="auto"/>
              <w:jc w:val="center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  <w:szCs w:val="21"/>
              </w:rPr>
              <w:t>线段数</w:t>
            </w:r>
          </w:p>
        </w:tc>
        <w:tc>
          <w:tcPr>
            <w:tcW w:w="2400" w:type="dxa"/>
          </w:tcPr>
          <w:p w14:paraId="3A2FBBA9">
            <w:pPr>
              <w:spacing w:line="260" w:lineRule="auto"/>
              <w:jc w:val="center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  <w:szCs w:val="21"/>
              </w:rPr>
              <w:t>过孔数</w:t>
            </w:r>
          </w:p>
        </w:tc>
      </w:tr>
      <w:tr w14:paraId="45035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00" w:type="dxa"/>
          </w:tcPr>
          <w:p w14:paraId="305D118D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clean</w:t>
            </w:r>
          </w:p>
        </w:tc>
        <w:tc>
          <w:tcPr>
            <w:tcW w:w="2400" w:type="dxa"/>
          </w:tcPr>
          <w:p w14:paraId="0CEA7507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24</w:t>
            </w:r>
          </w:p>
        </w:tc>
        <w:tc>
          <w:tcPr>
            <w:tcW w:w="2400" w:type="dxa"/>
          </w:tcPr>
          <w:p w14:paraId="27024E7D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  <w:tc>
          <w:tcPr>
            <w:tcW w:w="2400" w:type="dxa"/>
          </w:tcPr>
          <w:p w14:paraId="17089478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1638.37 mm</w:t>
            </w:r>
          </w:p>
        </w:tc>
        <w:tc>
          <w:tcPr>
            <w:tcW w:w="2400" w:type="dxa"/>
          </w:tcPr>
          <w:p w14:paraId="4C8BA5C9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167</w:t>
            </w:r>
          </w:p>
        </w:tc>
        <w:tc>
          <w:tcPr>
            <w:tcW w:w="2400" w:type="dxa"/>
          </w:tcPr>
          <w:p w14:paraId="440385C5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44</w:t>
            </w:r>
          </w:p>
        </w:tc>
      </w:tr>
      <w:tr w14:paraId="350A5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3BE18E18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bad_all_L0</w:t>
            </w:r>
          </w:p>
        </w:tc>
        <w:tc>
          <w:tcPr>
            <w:tcW w:w="2400" w:type="dxa"/>
          </w:tcPr>
          <w:p w14:paraId="0C4924F6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24</w:t>
            </w:r>
          </w:p>
        </w:tc>
        <w:tc>
          <w:tcPr>
            <w:tcW w:w="2400" w:type="dxa"/>
          </w:tcPr>
          <w:p w14:paraId="256C1DAD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  <w:tc>
          <w:tcPr>
            <w:tcW w:w="2400" w:type="dxa"/>
          </w:tcPr>
          <w:p w14:paraId="0F339B4C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1638.37 mm</w:t>
            </w:r>
          </w:p>
        </w:tc>
        <w:tc>
          <w:tcPr>
            <w:tcW w:w="2400" w:type="dxa"/>
          </w:tcPr>
          <w:p w14:paraId="7118BA13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167</w:t>
            </w:r>
          </w:p>
        </w:tc>
        <w:tc>
          <w:tcPr>
            <w:tcW w:w="2400" w:type="dxa"/>
          </w:tcPr>
          <w:p w14:paraId="6EF72B25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44</w:t>
            </w:r>
          </w:p>
        </w:tc>
      </w:tr>
      <w:tr w14:paraId="1C84A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72440D8C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split_outer_inner</w:t>
            </w:r>
          </w:p>
        </w:tc>
        <w:tc>
          <w:tcPr>
            <w:tcW w:w="2400" w:type="dxa"/>
          </w:tcPr>
          <w:p w14:paraId="1F500370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24</w:t>
            </w:r>
          </w:p>
        </w:tc>
        <w:tc>
          <w:tcPr>
            <w:tcW w:w="2400" w:type="dxa"/>
          </w:tcPr>
          <w:p w14:paraId="4340E8D8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  <w:tc>
          <w:tcPr>
            <w:tcW w:w="2400" w:type="dxa"/>
          </w:tcPr>
          <w:p w14:paraId="53C36358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1573.38 mm</w:t>
            </w:r>
          </w:p>
        </w:tc>
        <w:tc>
          <w:tcPr>
            <w:tcW w:w="2400" w:type="dxa"/>
          </w:tcPr>
          <w:p w14:paraId="6021105C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160</w:t>
            </w:r>
          </w:p>
        </w:tc>
        <w:tc>
          <w:tcPr>
            <w:tcW w:w="2400" w:type="dxa"/>
          </w:tcPr>
          <w:p w14:paraId="7C5F05F8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40</w:t>
            </w:r>
          </w:p>
        </w:tc>
      </w:tr>
    </w:tbl>
    <w:p w14:paraId="4127A69D">
      <w:pPr>
        <w:spacing w:line="300" w:lineRule="auto"/>
        <w:ind w:firstLine="420"/>
      </w:pPr>
      <w:r>
        <w:rPr>
          <w:rFonts w:ascii="Times New Roman" w:hAnsi="Times New Roman" w:eastAsia="宋体"/>
        </w:rPr>
        <w:t>从该结果看，split_outer_inner 相对 bad_all_L0 的线长下降约 3.97%，线段数下降约 4.19%，过孔数下降约 9.09%。这说明在 SMD seed-only 口径下，层分配结果能够以可观测方式影响 Freerouting 的详细布线结果。</w:t>
      </w:r>
    </w:p>
    <w:p w14:paraId="3DE37BD3">
      <w:pPr>
        <w:spacing w:line="300" w:lineRule="auto"/>
      </w:pPr>
      <w:r>
        <w:rPr>
          <w:rFonts w:ascii="Times New Roman" w:hAnsi="Times New Roman" w:eastAsia="宋体"/>
          <w:b/>
          <w:sz w:val="24"/>
          <w:szCs w:val="24"/>
        </w:rPr>
        <w:t>3.3 Reverse 样本批量实验</w:t>
      </w:r>
    </w:p>
    <w:p w14:paraId="03C2C3F9">
      <w:pPr>
        <w:spacing w:line="300" w:lineRule="auto"/>
        <w:ind w:firstLine="420"/>
      </w:pPr>
      <w:r>
        <w:rPr>
          <w:rFonts w:ascii="Times New Roman" w:hAnsi="Times New Roman" w:eastAsia="宋体"/>
        </w:rPr>
        <w:t>随后，本周运行了 reverse permutation 下的 16x4、24x6 和 32x8 三类样本。实验表明 all-L0 分配在 proxy cost、conflict、crossing 和 Freerouting 指标上均明显较差，而分散层分配的详细布线指标更优。不过，reverse 样本过于规则，stripe、greedy、feedback 和 split_outer_inner 往往退化为相同或等价解，尚不能用于证明 FeedbackSolver 相对 baseline 的优势。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2"/>
        <w:gridCol w:w="1633"/>
        <w:gridCol w:w="1547"/>
        <w:gridCol w:w="1597"/>
        <w:gridCol w:w="1423"/>
        <w:gridCol w:w="1374"/>
      </w:tblGrid>
      <w:tr w14:paraId="18E5E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6C949F7D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样本</w:t>
            </w:r>
          </w:p>
        </w:tc>
        <w:tc>
          <w:tcPr>
            <w:tcW w:w="2400" w:type="dxa"/>
          </w:tcPr>
          <w:p w14:paraId="0C680C9F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方法</w:t>
            </w:r>
          </w:p>
        </w:tc>
        <w:tc>
          <w:tcPr>
            <w:tcW w:w="2400" w:type="dxa"/>
          </w:tcPr>
          <w:p w14:paraId="32E660AC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Proxy cost</w:t>
            </w:r>
          </w:p>
        </w:tc>
        <w:tc>
          <w:tcPr>
            <w:tcW w:w="2400" w:type="dxa"/>
          </w:tcPr>
          <w:p w14:paraId="1DBC9E3B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线长</w:t>
            </w:r>
          </w:p>
        </w:tc>
        <w:tc>
          <w:tcPr>
            <w:tcW w:w="2400" w:type="dxa"/>
          </w:tcPr>
          <w:p w14:paraId="5FE33F1F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线段数</w:t>
            </w:r>
          </w:p>
        </w:tc>
        <w:tc>
          <w:tcPr>
            <w:tcW w:w="2400" w:type="dxa"/>
          </w:tcPr>
          <w:p w14:paraId="280E0C2C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过孔数</w:t>
            </w:r>
          </w:p>
        </w:tc>
      </w:tr>
      <w:tr w14:paraId="04B07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44EB2EE9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24x6</w:t>
            </w:r>
          </w:p>
        </w:tc>
        <w:tc>
          <w:tcPr>
            <w:tcW w:w="2400" w:type="dxa"/>
          </w:tcPr>
          <w:p w14:paraId="0A264C3B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all_L0</w:t>
            </w:r>
          </w:p>
        </w:tc>
        <w:tc>
          <w:tcPr>
            <w:tcW w:w="2400" w:type="dxa"/>
          </w:tcPr>
          <w:p w14:paraId="37A90C2A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603.50</w:t>
            </w:r>
          </w:p>
        </w:tc>
        <w:tc>
          <w:tcPr>
            <w:tcW w:w="2400" w:type="dxa"/>
          </w:tcPr>
          <w:p w14:paraId="52DDD827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1638.37 mm</w:t>
            </w:r>
          </w:p>
        </w:tc>
        <w:tc>
          <w:tcPr>
            <w:tcW w:w="2400" w:type="dxa"/>
          </w:tcPr>
          <w:p w14:paraId="4D226DFF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167</w:t>
            </w:r>
          </w:p>
        </w:tc>
        <w:tc>
          <w:tcPr>
            <w:tcW w:w="2400" w:type="dxa"/>
          </w:tcPr>
          <w:p w14:paraId="6CD91A67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44</w:t>
            </w:r>
          </w:p>
        </w:tc>
      </w:tr>
      <w:tr w14:paraId="5161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302F9850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24x6</w:t>
            </w:r>
          </w:p>
        </w:tc>
        <w:tc>
          <w:tcPr>
            <w:tcW w:w="2400" w:type="dxa"/>
          </w:tcPr>
          <w:p w14:paraId="26C5F050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greedy / feedback / split</w:t>
            </w:r>
          </w:p>
        </w:tc>
        <w:tc>
          <w:tcPr>
            <w:tcW w:w="2400" w:type="dxa"/>
          </w:tcPr>
          <w:p w14:paraId="2252C7A5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114.50</w:t>
            </w:r>
          </w:p>
        </w:tc>
        <w:tc>
          <w:tcPr>
            <w:tcW w:w="2400" w:type="dxa"/>
          </w:tcPr>
          <w:p w14:paraId="72D34D90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1573.38 mm</w:t>
            </w:r>
          </w:p>
        </w:tc>
        <w:tc>
          <w:tcPr>
            <w:tcW w:w="2400" w:type="dxa"/>
          </w:tcPr>
          <w:p w14:paraId="5DFB5525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160</w:t>
            </w:r>
          </w:p>
        </w:tc>
        <w:tc>
          <w:tcPr>
            <w:tcW w:w="2400" w:type="dxa"/>
          </w:tcPr>
          <w:p w14:paraId="7046D96E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40</w:t>
            </w:r>
          </w:p>
        </w:tc>
      </w:tr>
      <w:tr w14:paraId="5BDC9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3A3F06D5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32x8</w:t>
            </w:r>
          </w:p>
        </w:tc>
        <w:tc>
          <w:tcPr>
            <w:tcW w:w="2400" w:type="dxa"/>
          </w:tcPr>
          <w:p w14:paraId="6A98BCDF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all_L0</w:t>
            </w:r>
          </w:p>
        </w:tc>
        <w:tc>
          <w:tcPr>
            <w:tcW w:w="2400" w:type="dxa"/>
          </w:tcPr>
          <w:p w14:paraId="3A1BF684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924.56</w:t>
            </w:r>
          </w:p>
        </w:tc>
        <w:tc>
          <w:tcPr>
            <w:tcW w:w="2400" w:type="dxa"/>
          </w:tcPr>
          <w:p w14:paraId="0793620A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2460.88 mm</w:t>
            </w:r>
          </w:p>
        </w:tc>
        <w:tc>
          <w:tcPr>
            <w:tcW w:w="2400" w:type="dxa"/>
          </w:tcPr>
          <w:p w14:paraId="12EFB50C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270</w:t>
            </w:r>
          </w:p>
        </w:tc>
        <w:tc>
          <w:tcPr>
            <w:tcW w:w="2400" w:type="dxa"/>
          </w:tcPr>
          <w:p w14:paraId="4FE79AFD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70</w:t>
            </w:r>
          </w:p>
        </w:tc>
      </w:tr>
      <w:tr w14:paraId="0F348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665F1ECD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32x8</w:t>
            </w:r>
          </w:p>
        </w:tc>
        <w:tc>
          <w:tcPr>
            <w:tcW w:w="2400" w:type="dxa"/>
          </w:tcPr>
          <w:p w14:paraId="5C349473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greedy / feedback</w:t>
            </w:r>
          </w:p>
        </w:tc>
        <w:tc>
          <w:tcPr>
            <w:tcW w:w="2400" w:type="dxa"/>
          </w:tcPr>
          <w:p w14:paraId="55AB6FDC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170.56</w:t>
            </w:r>
          </w:p>
        </w:tc>
        <w:tc>
          <w:tcPr>
            <w:tcW w:w="2400" w:type="dxa"/>
          </w:tcPr>
          <w:p w14:paraId="103410A7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2342.64 mm</w:t>
            </w:r>
          </w:p>
        </w:tc>
        <w:tc>
          <w:tcPr>
            <w:tcW w:w="2400" w:type="dxa"/>
          </w:tcPr>
          <w:p w14:paraId="7B8DF507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287</w:t>
            </w:r>
          </w:p>
        </w:tc>
        <w:tc>
          <w:tcPr>
            <w:tcW w:w="2400" w:type="dxa"/>
          </w:tcPr>
          <w:p w14:paraId="3A18065E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68</w:t>
            </w:r>
          </w:p>
        </w:tc>
      </w:tr>
    </w:tbl>
    <w:p w14:paraId="5E44996C">
      <w:pPr>
        <w:spacing w:line="300" w:lineRule="auto"/>
      </w:pPr>
      <w:r>
        <w:rPr>
          <w:rFonts w:ascii="Times New Roman" w:hAnsi="Times New Roman" w:eastAsia="宋体"/>
          <w:b/>
          <w:sz w:val="24"/>
          <w:szCs w:val="24"/>
        </w:rPr>
        <w:t>3.4 Shuffle 样本与 FeedbackSolver 反例</w:t>
      </w:r>
    </w:p>
    <w:p w14:paraId="7574A820">
      <w:pPr>
        <w:spacing w:line="300" w:lineRule="auto"/>
        <w:ind w:firstLine="420"/>
      </w:pPr>
      <w:r>
        <w:rPr>
          <w:rFonts w:ascii="Times New Roman" w:hAnsi="Times New Roman" w:eastAsia="宋体"/>
        </w:rPr>
        <w:t>为提高样本非规则性，本周进一步引入 shuffle permutation。该设置使右侧 pad 的对应关系随机化，从而避免 stripe 分配天然接近最优。在 shuffle_s2 样本中，旧版 FeedbackSolver 暴露出重要反例：其 planner-side proxy cost 低于 greedy，但 Freerouting detailed routing 出现 5 条真实信号未布通。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7"/>
        <w:gridCol w:w="1319"/>
        <w:gridCol w:w="1172"/>
        <w:gridCol w:w="955"/>
        <w:gridCol w:w="955"/>
        <w:gridCol w:w="1269"/>
        <w:gridCol w:w="1024"/>
        <w:gridCol w:w="955"/>
      </w:tblGrid>
      <w:tr w14:paraId="2E1B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015FEF74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样本</w:t>
            </w:r>
          </w:p>
        </w:tc>
        <w:tc>
          <w:tcPr>
            <w:tcW w:w="2400" w:type="dxa"/>
          </w:tcPr>
          <w:p w14:paraId="2B61749D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方法</w:t>
            </w:r>
          </w:p>
        </w:tc>
        <w:tc>
          <w:tcPr>
            <w:tcW w:w="2400" w:type="dxa"/>
          </w:tcPr>
          <w:p w14:paraId="76305555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Proxy cost</w:t>
            </w:r>
          </w:p>
        </w:tc>
        <w:tc>
          <w:tcPr>
            <w:tcW w:w="2400" w:type="dxa"/>
          </w:tcPr>
          <w:p w14:paraId="6B63A8A3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布通网络</w:t>
            </w:r>
          </w:p>
        </w:tc>
        <w:tc>
          <w:tcPr>
            <w:tcW w:w="2400" w:type="dxa"/>
          </w:tcPr>
          <w:p w14:paraId="2C7661A8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未布通网络</w:t>
            </w:r>
          </w:p>
        </w:tc>
        <w:tc>
          <w:tcPr>
            <w:tcW w:w="2400" w:type="dxa"/>
          </w:tcPr>
          <w:p w14:paraId="0E9DCB95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线长</w:t>
            </w:r>
          </w:p>
        </w:tc>
        <w:tc>
          <w:tcPr>
            <w:tcW w:w="2400" w:type="dxa"/>
          </w:tcPr>
          <w:p w14:paraId="1E78C32F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线段数</w:t>
            </w:r>
          </w:p>
        </w:tc>
        <w:tc>
          <w:tcPr>
            <w:tcW w:w="2400" w:type="dxa"/>
          </w:tcPr>
          <w:p w14:paraId="4E99B64B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过孔数</w:t>
            </w:r>
          </w:p>
        </w:tc>
      </w:tr>
      <w:tr w14:paraId="6298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03CCB061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shuffle_s2</w:t>
            </w:r>
          </w:p>
        </w:tc>
        <w:tc>
          <w:tcPr>
            <w:tcW w:w="2400" w:type="dxa"/>
          </w:tcPr>
          <w:p w14:paraId="61E8C30F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greedy</w:t>
            </w:r>
          </w:p>
        </w:tc>
        <w:tc>
          <w:tcPr>
            <w:tcW w:w="2400" w:type="dxa"/>
          </w:tcPr>
          <w:p w14:paraId="6AFB38B0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99.08</w:t>
            </w:r>
          </w:p>
        </w:tc>
        <w:tc>
          <w:tcPr>
            <w:tcW w:w="2400" w:type="dxa"/>
          </w:tcPr>
          <w:p w14:paraId="37AF344D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24</w:t>
            </w:r>
          </w:p>
        </w:tc>
        <w:tc>
          <w:tcPr>
            <w:tcW w:w="2400" w:type="dxa"/>
          </w:tcPr>
          <w:p w14:paraId="30E8C034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  <w:tc>
          <w:tcPr>
            <w:tcW w:w="2400" w:type="dxa"/>
          </w:tcPr>
          <w:p w14:paraId="5F2AD92E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1486.46 mm</w:t>
            </w:r>
          </w:p>
        </w:tc>
        <w:tc>
          <w:tcPr>
            <w:tcW w:w="2400" w:type="dxa"/>
          </w:tcPr>
          <w:p w14:paraId="3AD3E584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136</w:t>
            </w:r>
          </w:p>
        </w:tc>
        <w:tc>
          <w:tcPr>
            <w:tcW w:w="2400" w:type="dxa"/>
          </w:tcPr>
          <w:p w14:paraId="3CD64800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28</w:t>
            </w:r>
          </w:p>
        </w:tc>
      </w:tr>
      <w:tr w14:paraId="14D7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64FB47B4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shuffle_s2</w:t>
            </w:r>
          </w:p>
        </w:tc>
        <w:tc>
          <w:tcPr>
            <w:tcW w:w="2400" w:type="dxa"/>
          </w:tcPr>
          <w:p w14:paraId="7111991A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旧版 feedback</w:t>
            </w:r>
          </w:p>
        </w:tc>
        <w:tc>
          <w:tcPr>
            <w:tcW w:w="2400" w:type="dxa"/>
          </w:tcPr>
          <w:p w14:paraId="5B432974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94.08</w:t>
            </w:r>
          </w:p>
        </w:tc>
        <w:tc>
          <w:tcPr>
            <w:tcW w:w="2400" w:type="dxa"/>
          </w:tcPr>
          <w:p w14:paraId="2A43ED2B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19</w:t>
            </w:r>
          </w:p>
        </w:tc>
        <w:tc>
          <w:tcPr>
            <w:tcW w:w="2400" w:type="dxa"/>
          </w:tcPr>
          <w:p w14:paraId="7BC084A9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5</w:t>
            </w:r>
          </w:p>
        </w:tc>
        <w:tc>
          <w:tcPr>
            <w:tcW w:w="2400" w:type="dxa"/>
          </w:tcPr>
          <w:p w14:paraId="073FF0B1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1073.23 mm</w:t>
            </w:r>
          </w:p>
        </w:tc>
        <w:tc>
          <w:tcPr>
            <w:tcW w:w="2400" w:type="dxa"/>
          </w:tcPr>
          <w:p w14:paraId="3BDBC639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94</w:t>
            </w:r>
          </w:p>
        </w:tc>
        <w:tc>
          <w:tcPr>
            <w:tcW w:w="2400" w:type="dxa"/>
          </w:tcPr>
          <w:p w14:paraId="33F496CE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29</w:t>
            </w:r>
          </w:p>
        </w:tc>
      </w:tr>
    </w:tbl>
    <w:p w14:paraId="05FED1AE">
      <w:pPr>
        <w:spacing w:line="300" w:lineRule="auto"/>
        <w:ind w:firstLine="420"/>
      </w:pPr>
      <w:r>
        <w:rPr>
          <w:rFonts w:ascii="Times New Roman" w:hAnsi="Times New Roman" w:eastAsia="宋体"/>
        </w:rPr>
        <w:t>该反例说明，单纯降低 conflict 或 crossing 并不必然改善 detailed routability。由于未布通网络会使线长和线段统计失去可比性，后续评价中必须将 unrouted count 作为首要指标，只有在未布通数量相同的情况下才比较线长、线段数和过孔数。</w:t>
      </w:r>
    </w:p>
    <w:p w14:paraId="0C2F2432">
      <w:pPr>
        <w:spacing w:line="300" w:lineRule="auto"/>
      </w:pPr>
      <w:r>
        <w:rPr>
          <w:rFonts w:ascii="Times New Roman" w:hAnsi="Times New Roman" w:eastAsia="宋体"/>
          <w:b/>
          <w:sz w:val="24"/>
          <w:szCs w:val="24"/>
        </w:rPr>
        <w:t>3.5 FeedbackSolver 的 seed-risk 修正</w:t>
      </w:r>
    </w:p>
    <w:p w14:paraId="15F6B3E3">
      <w:pPr>
        <w:spacing w:line="300" w:lineRule="auto"/>
        <w:ind w:firstLine="420"/>
      </w:pPr>
      <w:r>
        <w:rPr>
          <w:rFonts w:ascii="Times New Roman" w:hAnsi="Times New Roman" w:eastAsia="宋体"/>
        </w:rPr>
        <w:t>针对上述反例，本周在 FeedbackSolver 内部加入 seed-risk 项。修正后的优化目标不再仅使用 Evaluator.cost，而是叠加 same-net seed 在非顶层分配下引入的 escape via 风险。该修正的目的是防止算法为小幅降低 planner proxy 而接受详细布线风险较高的层分配动作。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7"/>
        <w:gridCol w:w="1326"/>
        <w:gridCol w:w="1108"/>
        <w:gridCol w:w="1108"/>
        <w:gridCol w:w="1389"/>
        <w:gridCol w:w="1170"/>
        <w:gridCol w:w="1108"/>
      </w:tblGrid>
      <w:tr w14:paraId="1DE34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7BE8FC2C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方法</w:t>
            </w:r>
          </w:p>
        </w:tc>
        <w:tc>
          <w:tcPr>
            <w:tcW w:w="2400" w:type="dxa"/>
          </w:tcPr>
          <w:p w14:paraId="2DC3249A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Proxy cost</w:t>
            </w:r>
          </w:p>
        </w:tc>
        <w:tc>
          <w:tcPr>
            <w:tcW w:w="2400" w:type="dxa"/>
          </w:tcPr>
          <w:p w14:paraId="6F75A918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布通网络</w:t>
            </w:r>
          </w:p>
        </w:tc>
        <w:tc>
          <w:tcPr>
            <w:tcW w:w="2400" w:type="dxa"/>
          </w:tcPr>
          <w:p w14:paraId="35B43F6B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未布通网络</w:t>
            </w:r>
          </w:p>
        </w:tc>
        <w:tc>
          <w:tcPr>
            <w:tcW w:w="2400" w:type="dxa"/>
          </w:tcPr>
          <w:p w14:paraId="7291D2C0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线长</w:t>
            </w:r>
          </w:p>
        </w:tc>
        <w:tc>
          <w:tcPr>
            <w:tcW w:w="2400" w:type="dxa"/>
          </w:tcPr>
          <w:p w14:paraId="1234E03D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线段数</w:t>
            </w:r>
          </w:p>
        </w:tc>
        <w:tc>
          <w:tcPr>
            <w:tcW w:w="2400" w:type="dxa"/>
          </w:tcPr>
          <w:p w14:paraId="52D575F5">
            <w:pPr>
              <w:spacing w:line="2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过孔数</w:t>
            </w:r>
          </w:p>
        </w:tc>
      </w:tr>
      <w:tr w14:paraId="0DF5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6C4B1AEC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all_L0</w:t>
            </w:r>
          </w:p>
        </w:tc>
        <w:tc>
          <w:tcPr>
            <w:tcW w:w="2400" w:type="dxa"/>
          </w:tcPr>
          <w:p w14:paraId="7523C2AC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488.08</w:t>
            </w:r>
          </w:p>
        </w:tc>
        <w:tc>
          <w:tcPr>
            <w:tcW w:w="2400" w:type="dxa"/>
          </w:tcPr>
          <w:p w14:paraId="3E10669B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24</w:t>
            </w:r>
          </w:p>
        </w:tc>
        <w:tc>
          <w:tcPr>
            <w:tcW w:w="2400" w:type="dxa"/>
          </w:tcPr>
          <w:p w14:paraId="50767F28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  <w:tc>
          <w:tcPr>
            <w:tcW w:w="2400" w:type="dxa"/>
          </w:tcPr>
          <w:p w14:paraId="45003BBE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1487.67 mm</w:t>
            </w:r>
          </w:p>
        </w:tc>
        <w:tc>
          <w:tcPr>
            <w:tcW w:w="2400" w:type="dxa"/>
          </w:tcPr>
          <w:p w14:paraId="3EB741DB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133</w:t>
            </w:r>
          </w:p>
        </w:tc>
        <w:tc>
          <w:tcPr>
            <w:tcW w:w="2400" w:type="dxa"/>
          </w:tcPr>
          <w:p w14:paraId="371DBFBD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40</w:t>
            </w:r>
          </w:p>
        </w:tc>
      </w:tr>
      <w:tr w14:paraId="1D4CC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3221C805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greedy</w:t>
            </w:r>
          </w:p>
        </w:tc>
        <w:tc>
          <w:tcPr>
            <w:tcW w:w="2400" w:type="dxa"/>
          </w:tcPr>
          <w:p w14:paraId="726BF859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99.08</w:t>
            </w:r>
          </w:p>
        </w:tc>
        <w:tc>
          <w:tcPr>
            <w:tcW w:w="2400" w:type="dxa"/>
          </w:tcPr>
          <w:p w14:paraId="5AEB890E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24</w:t>
            </w:r>
          </w:p>
        </w:tc>
        <w:tc>
          <w:tcPr>
            <w:tcW w:w="2400" w:type="dxa"/>
          </w:tcPr>
          <w:p w14:paraId="403CCABE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  <w:tc>
          <w:tcPr>
            <w:tcW w:w="2400" w:type="dxa"/>
          </w:tcPr>
          <w:p w14:paraId="5BFA8397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1486.46 mm</w:t>
            </w:r>
          </w:p>
        </w:tc>
        <w:tc>
          <w:tcPr>
            <w:tcW w:w="2400" w:type="dxa"/>
          </w:tcPr>
          <w:p w14:paraId="74DA2D05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136</w:t>
            </w:r>
          </w:p>
        </w:tc>
        <w:tc>
          <w:tcPr>
            <w:tcW w:w="2400" w:type="dxa"/>
          </w:tcPr>
          <w:p w14:paraId="05A23DE6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28</w:t>
            </w:r>
          </w:p>
        </w:tc>
      </w:tr>
      <w:tr w14:paraId="2A0F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5220D8F1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修正后 feedback</w:t>
            </w:r>
          </w:p>
        </w:tc>
        <w:tc>
          <w:tcPr>
            <w:tcW w:w="2400" w:type="dxa"/>
          </w:tcPr>
          <w:p w14:paraId="3EF803A4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99.08</w:t>
            </w:r>
          </w:p>
        </w:tc>
        <w:tc>
          <w:tcPr>
            <w:tcW w:w="2400" w:type="dxa"/>
          </w:tcPr>
          <w:p w14:paraId="7773B9CD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24</w:t>
            </w:r>
          </w:p>
        </w:tc>
        <w:tc>
          <w:tcPr>
            <w:tcW w:w="2400" w:type="dxa"/>
          </w:tcPr>
          <w:p w14:paraId="1C88DC84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  <w:tc>
          <w:tcPr>
            <w:tcW w:w="2400" w:type="dxa"/>
          </w:tcPr>
          <w:p w14:paraId="4F6BE45F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1486.46 mm</w:t>
            </w:r>
          </w:p>
        </w:tc>
        <w:tc>
          <w:tcPr>
            <w:tcW w:w="2400" w:type="dxa"/>
          </w:tcPr>
          <w:p w14:paraId="1BE9F6C9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136</w:t>
            </w:r>
          </w:p>
        </w:tc>
        <w:tc>
          <w:tcPr>
            <w:tcW w:w="2400" w:type="dxa"/>
          </w:tcPr>
          <w:p w14:paraId="6C086334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28</w:t>
            </w:r>
          </w:p>
        </w:tc>
      </w:tr>
      <w:tr w14:paraId="2C2A8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64FCF79F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split_outer_inner</w:t>
            </w:r>
          </w:p>
        </w:tc>
        <w:tc>
          <w:tcPr>
            <w:tcW w:w="2400" w:type="dxa"/>
          </w:tcPr>
          <w:p w14:paraId="4A8CF067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99.08</w:t>
            </w:r>
          </w:p>
        </w:tc>
        <w:tc>
          <w:tcPr>
            <w:tcW w:w="2400" w:type="dxa"/>
          </w:tcPr>
          <w:p w14:paraId="478968E4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24</w:t>
            </w:r>
          </w:p>
        </w:tc>
        <w:tc>
          <w:tcPr>
            <w:tcW w:w="2400" w:type="dxa"/>
          </w:tcPr>
          <w:p w14:paraId="40F97194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  <w:tc>
          <w:tcPr>
            <w:tcW w:w="2400" w:type="dxa"/>
          </w:tcPr>
          <w:p w14:paraId="10F66C5E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1486.46 mm</w:t>
            </w:r>
          </w:p>
        </w:tc>
        <w:tc>
          <w:tcPr>
            <w:tcW w:w="2400" w:type="dxa"/>
          </w:tcPr>
          <w:p w14:paraId="1F902E7C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136</w:t>
            </w:r>
          </w:p>
        </w:tc>
        <w:tc>
          <w:tcPr>
            <w:tcW w:w="2400" w:type="dxa"/>
          </w:tcPr>
          <w:p w14:paraId="6F572BCC">
            <w:pPr>
              <w:spacing w:line="26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28</w:t>
            </w:r>
          </w:p>
        </w:tc>
      </w:tr>
    </w:tbl>
    <w:p w14:paraId="729FD6F5">
      <w:pPr>
        <w:spacing w:line="300" w:lineRule="auto"/>
        <w:ind w:firstLine="420"/>
      </w:pPr>
      <w:r>
        <w:rPr>
          <w:rFonts w:ascii="Times New Roman" w:hAnsi="Times New Roman" w:eastAsia="宋体"/>
        </w:rPr>
        <w:t>复测结果表明，修正后的 FeedbackSolver 不再接受旧版导致 5 条真实信号未布通的风险动作。需要强调的是，该修正目前主要体现为稳定性提升，而非性能优势证明。后续仍需在更多 shuffle 样本上验证其稳健性。</w:t>
      </w:r>
    </w:p>
    <w:p w14:paraId="4C7671DA">
      <w:pPr>
        <w:pStyle w:val="2"/>
        <w:widowControl/>
        <w:spacing w:line="276" w:lineRule="auto"/>
        <w:jc w:val="left"/>
        <w:rPr>
          <w:rFonts w:ascii="宋体" w:hAnsi="宋体" w:eastAsia="宋体"/>
          <w:b/>
          <w:sz w:val="28"/>
          <w:lang w:val="en-US" w:eastAsia="en-US" w:bidi="ar-SA"/>
        </w:rPr>
      </w:pPr>
      <w:r>
        <w:rPr>
          <w:rFonts w:ascii="宋体" w:hAnsi="宋体" w:eastAsia="宋体"/>
          <w:b/>
          <w:sz w:val="28"/>
          <w:lang w:val="en-US" w:eastAsia="en-US" w:bidi="ar-SA"/>
        </w:rPr>
        <w:t>四、论文合理性判断</w:t>
      </w:r>
    </w:p>
    <w:p w14:paraId="246229EA">
      <w:pPr>
        <w:spacing w:line="300" w:lineRule="auto"/>
        <w:ind w:firstLine="420"/>
      </w:pPr>
      <w:r>
        <w:rPr>
          <w:rFonts w:ascii="Times New Roman" w:hAnsi="Times New Roman" w:eastAsia="宋体"/>
        </w:rPr>
        <w:t>当前阶段尚不能严谨地宣称 FeedbackSolver 已显著优于 greedy 或其他 baseline。更合理的论文表述应聚焦于问题定义、评价链路和反馈优化框架的建立。具体而言，bus layer assignment 是已有研究问题；本工作将其与 KiCad benchmark、same-net seed 表达和 Freerouting detailed-routing 指标相连接，形成了可复现实验闭环。shuffle 反例进一步说明，仅依赖 planner-side conflict 和 crossing 不足以保证详细布线质量，因此需要 routing-feedback-aware 或 seed-risk-aware 的优化准则。</w:t>
      </w:r>
    </w:p>
    <w:p w14:paraId="2223D8BE">
      <w:pPr>
        <w:spacing w:line="300" w:lineRule="auto"/>
        <w:ind w:firstLine="420"/>
      </w:pPr>
      <w:r>
        <w:rPr>
          <w:rFonts w:ascii="Times New Roman" w:hAnsi="Times New Roman" w:eastAsia="宋体"/>
        </w:rPr>
        <w:t>基于现有结果，论文主线宜表述为“面向详细布线反馈的 PCB 总线层分配与 seed-guided routing evaluation”，而不宜表述为“通过 dummy corridor 严格约束 Freerouting”。这一表述更符合当前实验事实，也更便于后续扩展到真实 KiCad 样本。</w:t>
      </w:r>
    </w:p>
    <w:p w14:paraId="65B13B10">
      <w:pPr>
        <w:pStyle w:val="2"/>
        <w:widowControl/>
        <w:spacing w:line="276" w:lineRule="auto"/>
        <w:jc w:val="left"/>
        <w:rPr>
          <w:rFonts w:ascii="宋体" w:hAnsi="宋体" w:eastAsia="宋体"/>
          <w:b/>
          <w:sz w:val="28"/>
          <w:lang w:val="en-US" w:eastAsia="en-US" w:bidi="ar-SA"/>
        </w:rPr>
      </w:pPr>
      <w:r>
        <w:rPr>
          <w:rFonts w:hint="eastAsia" w:ascii="宋体" w:hAnsi="宋体" w:eastAsia="宋体"/>
          <w:b/>
          <w:sz w:val="28"/>
          <w:lang w:val="en-US" w:eastAsia="zh-CN" w:bidi="ar-SA"/>
        </w:rPr>
        <w:t>五</w:t>
      </w:r>
      <w:r>
        <w:rPr>
          <w:rFonts w:ascii="宋体" w:hAnsi="宋体" w:eastAsia="宋体"/>
          <w:b/>
          <w:sz w:val="28"/>
          <w:lang w:val="en-US" w:eastAsia="en-US" w:bidi="ar-SA"/>
        </w:rPr>
        <w:t>、下周工作计划</w:t>
      </w:r>
    </w:p>
    <w:p w14:paraId="5510BE4E">
      <w:pPr>
        <w:spacing w:line="300" w:lineRule="auto"/>
        <w:ind w:firstLine="420"/>
      </w:pPr>
      <w:r>
        <w:rPr>
          <w:rFonts w:ascii="Times New Roman" w:hAnsi="Times New Roman" w:eastAsia="宋体"/>
        </w:rPr>
        <w:t>下周工作围绕三个方向展开。第一，扩展 shuffle SMD benchmark 至 20 至 50 个随机样本，统计 seed-risk 修正是否系统性消除 unrouted 反例。第二，开展 seed_via_weight 消融实验，比较权重为 0、1、2、4 时的布通率、线长、线段数和过孔数。第三，继续增强样本生成器，使其支持不同 bus net 数、不同线宽和非均匀 pad 间距，从而给 greedy、feedback 和后续改进算法提供更充分的比较空间。</w:t>
      </w:r>
    </w:p>
    <w:p w14:paraId="5C63C56C">
      <w:pPr>
        <w:pStyle w:val="2"/>
        <w:widowControl/>
        <w:spacing w:line="276" w:lineRule="auto"/>
        <w:jc w:val="left"/>
        <w:rPr>
          <w:rFonts w:ascii="宋体" w:hAnsi="宋体" w:eastAsia="宋体"/>
          <w:b/>
          <w:sz w:val="28"/>
          <w:lang w:val="en-US" w:eastAsia="en-US" w:bidi="ar-SA"/>
        </w:rPr>
      </w:pPr>
      <w:r>
        <w:rPr>
          <w:rFonts w:hint="eastAsia" w:ascii="宋体" w:hAnsi="宋体" w:eastAsia="宋体"/>
          <w:b/>
          <w:sz w:val="28"/>
          <w:lang w:val="en-US" w:eastAsia="zh-CN" w:bidi="ar-SA"/>
        </w:rPr>
        <w:t>六</w:t>
      </w:r>
      <w:r>
        <w:rPr>
          <w:rFonts w:ascii="宋体" w:hAnsi="宋体" w:eastAsia="宋体"/>
          <w:b/>
          <w:sz w:val="28"/>
          <w:lang w:val="en-US" w:eastAsia="en-US" w:bidi="ar-SA"/>
        </w:rPr>
        <w:t>、阶段性结论</w:t>
      </w:r>
    </w:p>
    <w:p w14:paraId="32CB947A">
      <w:pPr>
        <w:spacing w:line="300" w:lineRule="auto"/>
        <w:ind w:firstLine="420"/>
      </w:pPr>
      <w:r>
        <w:rPr>
          <w:rFonts w:ascii="Times New Roman" w:hAnsi="Times New Roman" w:eastAsia="宋体"/>
        </w:rPr>
        <w:t>本周工作的主要价值在于完成了验证路线的收敛。实验表明，dummy corridor 不适合作为 Freerouting 层约束表达，而 same-net seed 能够形成稳定的 detailed-routing 验证口径。基于该口径，本周建立了 SMD high-conflict 批量实验链路，并通过 shuffle 反例发现并修正了 FeedbackSolver 的 seed-risk 问题。这为后续开展更大规模的 baseline 对比和反馈优化算法改进奠定了基础。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7D20FA6"/>
    <w:rsid w:val="435F71B7"/>
    <w:rsid w:val="4D7629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2098</Words>
  <Characters>3980</Characters>
  <TotalTime>4</TotalTime>
  <ScaleCrop>false</ScaleCrop>
  <LinksUpToDate>false</LinksUpToDate>
  <CharactersWithSpaces>4309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2026-06-08T09:45:00Z</dcterms:created>
  <dc:creator>zhao2</dc:creator>
  <cp:lastModifiedBy>赵佳骏</cp:lastModifiedBy>
  <dcterms:modified xsi:type="dcterms:W3CDTF">2026-06-08T09:54:59Z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eyJoZGlkIjoiMjMxNWFjNTgyZWJjNTM4ZGEwOTJkYTUyYTk1NTVlYTAiLCJ1c2VySWQiOiIxNjkwNDQ3MjI4In0=</vt:lpwstr>
  </property>
  <property fmtid="{D5CDD505-2E9C-101B-9397-08002B2CF9AE}" pid="3" name="KSOProductBuildVer">
    <vt:lpwstr>2052-12.1.0.26375</vt:lpwstr>
  </property>
  <property fmtid="{D5CDD505-2E9C-101B-9397-08002B2CF9AE}" pid="4" name="ICV">
    <vt:lpwstr>FAFC788376004C3CBDA29581900C48C6_12</vt:lpwstr>
  </property>
</Properties>
</file>