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31AA73">
      <w:pPr>
        <w:adjustRightInd w:val="0"/>
        <w:snapToGrid w:val="0"/>
        <w:spacing w:before="93" w:beforeLines="30" w:after="93" w:afterLines="30" w:line="360" w:lineRule="auto"/>
        <w:ind w:firstLine="422" w:firstLineChars="200"/>
        <w:rPr>
          <w:rFonts w:asciiTheme="minorEastAsia" w:hAnsiTheme="minorEastAsia" w:eastAsiaTheme="minorEastAsia"/>
          <w:color w:val="auto"/>
          <w:szCs w:val="21"/>
          <w:highlight w:val="none"/>
        </w:rPr>
      </w:pPr>
      <w:bookmarkStart w:id="86" w:name="_GoBack"/>
      <w:bookmarkEnd w:id="86"/>
      <w:r>
        <w:rPr>
          <w:rFonts w:asciiTheme="minorEastAsia" w:hAnsiTheme="minorEastAsia" w:eastAsiaTheme="minorEastAsia"/>
          <w:b/>
          <w:color w:val="auto"/>
          <w:szCs w:val="21"/>
          <w:highlight w:val="none"/>
        </w:rPr>
        <mc:AlternateContent>
          <mc:Choice Requires="wps">
            <w:drawing>
              <wp:anchor distT="0" distB="0" distL="114300" distR="114300" simplePos="0" relativeHeight="251659264" behindDoc="0" locked="0" layoutInCell="1" allowOverlap="1">
                <wp:simplePos x="0" y="0"/>
                <wp:positionH relativeFrom="column">
                  <wp:posOffset>2628900</wp:posOffset>
                </wp:positionH>
                <wp:positionV relativeFrom="paragraph">
                  <wp:posOffset>0</wp:posOffset>
                </wp:positionV>
                <wp:extent cx="2666365" cy="320040"/>
                <wp:effectExtent l="0" t="0" r="0" b="0"/>
                <wp:wrapNone/>
                <wp:docPr id="1" name="Text Box 2"/>
                <wp:cNvGraphicFramePr/>
                <a:graphic xmlns:a="http://schemas.openxmlformats.org/drawingml/2006/main">
                  <a:graphicData uri="http://schemas.microsoft.com/office/word/2010/wordprocessingShape">
                    <wps:wsp>
                      <wps:cNvSpPr txBox="1"/>
                      <wps:spPr>
                        <a:xfrm>
                          <a:off x="0" y="0"/>
                          <a:ext cx="2666365" cy="320040"/>
                        </a:xfrm>
                        <a:prstGeom prst="rect">
                          <a:avLst/>
                        </a:prstGeom>
                        <a:noFill/>
                        <a:ln>
                          <a:noFill/>
                        </a:ln>
                      </wps:spPr>
                      <wps:txbx>
                        <w:txbxContent>
                          <w:p w14:paraId="77169133">
                            <w:pPr>
                              <w:ind w:firstLine="420" w:firstLineChars="200"/>
                              <w:rPr>
                                <w:szCs w:val="21"/>
                                <w:u w:val="single"/>
                              </w:rPr>
                            </w:pPr>
                            <w:r>
                              <w:rPr>
                                <w:rFonts w:hint="eastAsia"/>
                                <w:szCs w:val="21"/>
                              </w:rPr>
                              <w:t>合同编号：</w:t>
                            </w:r>
                            <w:r>
                              <w:rPr>
                                <w:rFonts w:hint="eastAsia"/>
                                <w:szCs w:val="21"/>
                                <w:u w:val="single"/>
                              </w:rPr>
                              <w:t xml:space="preserve">                        </w:t>
                            </w:r>
                          </w:p>
                        </w:txbxContent>
                      </wps:txbx>
                      <wps:bodyPr upright="1"/>
                    </wps:wsp>
                  </a:graphicData>
                </a:graphic>
              </wp:anchor>
            </w:drawing>
          </mc:Choice>
          <mc:Fallback>
            <w:pict>
              <v:shape id="Text Box 2" o:spid="_x0000_s1026" o:spt="202" type="#_x0000_t202" style="position:absolute;left:0pt;margin-left:207pt;margin-top:0pt;height:25.2pt;width:209.95pt;z-index:251659264;mso-width-relative:page;mso-height-relative:page;" filled="f" stroked="f" coordsize="21600,21600" o:gfxdata="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">
                <v:fill on="f" focussize="0,0"/>
                <v:stroke on="f"/>
                <v:imagedata o:title=""/>
                <o:lock v:ext="edit" aspectratio="f"/>
                <v:textbox>
                  <w:txbxContent>
                    <w:p w14:paraId="77169133">
                      <w:pPr>
                        <w:ind w:firstLine="420" w:firstLineChars="200"/>
                        <w:rPr>
                          <w:szCs w:val="21"/>
                          <w:u w:val="single"/>
                        </w:rPr>
                      </w:pPr>
                      <w:r>
                        <w:rPr>
                          <w:rFonts w:hint="eastAsia"/>
                          <w:szCs w:val="21"/>
                        </w:rPr>
                        <w:t>合同编号：</w:t>
                      </w:r>
                      <w:r>
                        <w:rPr>
                          <w:rFonts w:hint="eastAsia"/>
                          <w:szCs w:val="21"/>
                          <w:u w:val="single"/>
                        </w:rPr>
                        <w:t xml:space="preserve">                        </w:t>
                      </w:r>
                    </w:p>
                  </w:txbxContent>
                </v:textbox>
              </v:shape>
            </w:pict>
          </mc:Fallback>
        </mc:AlternateContent>
      </w:r>
    </w:p>
    <w:p w14:paraId="529216E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77F3823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2056472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6806DD8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07CDFA4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7984531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340F78F3">
      <w:pPr>
        <w:adjustRightInd w:val="0"/>
        <w:snapToGrid w:val="0"/>
        <w:spacing w:before="312" w:beforeLines="100" w:after="312" w:afterLines="100" w:line="360" w:lineRule="auto"/>
        <w:jc w:val="center"/>
        <w:rPr>
          <w:rFonts w:asciiTheme="minorEastAsia" w:hAnsiTheme="minorEastAsia" w:eastAsiaTheme="minorEastAsia"/>
          <w:b/>
          <w:color w:val="auto"/>
          <w:sz w:val="28"/>
          <w:szCs w:val="28"/>
          <w:highlight w:val="none"/>
        </w:rPr>
      </w:pPr>
      <w:r>
        <w:rPr>
          <w:rFonts w:hint="eastAsia" w:asciiTheme="minorEastAsia" w:hAnsiTheme="minorEastAsia" w:eastAsiaTheme="minorEastAsia"/>
          <w:b/>
          <w:color w:val="auto"/>
          <w:sz w:val="28"/>
          <w:szCs w:val="28"/>
          <w:highlight w:val="none"/>
          <w:lang w:val="en-US" w:eastAsia="zh-CN"/>
        </w:rPr>
        <w:t>石云中证1000</w:t>
      </w:r>
      <w:r>
        <w:rPr>
          <w:rFonts w:hint="eastAsia" w:asciiTheme="minorEastAsia" w:hAnsiTheme="minorEastAsia" w:eastAsiaTheme="minorEastAsia"/>
          <w:b/>
          <w:color w:val="auto"/>
          <w:sz w:val="28"/>
          <w:szCs w:val="28"/>
          <w:highlight w:val="none"/>
        </w:rPr>
        <w:t>资产进取</w:t>
      </w:r>
      <w:r>
        <w:rPr>
          <w:rFonts w:hint="eastAsia" w:asciiTheme="minorEastAsia" w:hAnsiTheme="minorEastAsia" w:eastAsiaTheme="minorEastAsia"/>
          <w:b/>
          <w:color w:val="auto"/>
          <w:sz w:val="28"/>
          <w:szCs w:val="28"/>
          <w:highlight w:val="none"/>
          <w:lang w:val="en-US" w:eastAsia="zh-CN"/>
        </w:rPr>
        <w:t>一</w:t>
      </w:r>
      <w:r>
        <w:rPr>
          <w:rFonts w:hint="eastAsia" w:asciiTheme="minorEastAsia" w:hAnsiTheme="minorEastAsia" w:eastAsiaTheme="minorEastAsia"/>
          <w:b/>
          <w:color w:val="auto"/>
          <w:sz w:val="28"/>
          <w:szCs w:val="28"/>
          <w:highlight w:val="none"/>
        </w:rPr>
        <w:t>号私募证券投资基金</w:t>
      </w:r>
    </w:p>
    <w:p w14:paraId="411C5855">
      <w:pPr>
        <w:adjustRightInd w:val="0"/>
        <w:snapToGrid w:val="0"/>
        <w:spacing w:before="312" w:beforeLines="100" w:after="312" w:afterLines="100" w:line="360" w:lineRule="auto"/>
        <w:jc w:val="center"/>
        <w:rPr>
          <w:rFonts w:asciiTheme="minorEastAsia" w:hAnsiTheme="minorEastAsia" w:eastAsiaTheme="minorEastAsia"/>
          <w:b/>
          <w:color w:val="auto"/>
          <w:sz w:val="28"/>
          <w:szCs w:val="28"/>
          <w:highlight w:val="none"/>
        </w:rPr>
      </w:pPr>
      <w:r>
        <w:rPr>
          <w:rFonts w:hint="eastAsia" w:asciiTheme="minorEastAsia" w:hAnsiTheme="minorEastAsia" w:eastAsiaTheme="minorEastAsia"/>
          <w:b/>
          <w:color w:val="auto"/>
          <w:sz w:val="28"/>
          <w:szCs w:val="28"/>
          <w:highlight w:val="none"/>
        </w:rPr>
        <w:t>基金合同</w:t>
      </w:r>
    </w:p>
    <w:p w14:paraId="393D0EA3">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652AAB2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1B1AD06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07C247D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6CCCF6A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73244AC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6B8C41B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26B8546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5B9AD9F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76EB0D0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2CA70474">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5A90CB11">
      <w:pPr>
        <w:adjustRightInd w:val="0"/>
        <w:snapToGrid w:val="0"/>
        <w:spacing w:before="93" w:beforeLines="30" w:after="93" w:afterLines="30" w:line="360" w:lineRule="auto"/>
        <w:ind w:firstLine="2125" w:firstLineChars="1008"/>
        <w:rPr>
          <w:rFonts w:hint="eastAsia" w:asciiTheme="minorEastAsia" w:hAnsiTheme="minorEastAsia" w:eastAsiaTheme="minorEastAsia"/>
          <w:b/>
          <w:color w:val="auto"/>
          <w:szCs w:val="21"/>
          <w:highlight w:val="none"/>
          <w:lang w:val="en-US" w:eastAsia="zh-CN"/>
        </w:rPr>
      </w:pPr>
      <w:r>
        <w:rPr>
          <w:rFonts w:hint="eastAsia" w:asciiTheme="minorEastAsia" w:hAnsiTheme="minorEastAsia" w:eastAsiaTheme="minorEastAsia"/>
          <w:b/>
          <w:color w:val="auto"/>
          <w:szCs w:val="21"/>
          <w:highlight w:val="none"/>
        </w:rPr>
        <w:t xml:space="preserve">基金管理人： </w:t>
      </w:r>
      <w:r>
        <w:rPr>
          <w:rFonts w:hint="eastAsia" w:asciiTheme="minorEastAsia" w:hAnsiTheme="minorEastAsia" w:eastAsiaTheme="minorEastAsia"/>
          <w:b/>
          <w:color w:val="auto"/>
          <w:szCs w:val="21"/>
          <w:highlight w:val="none"/>
          <w:lang w:val="en-US" w:eastAsia="zh-CN"/>
        </w:rPr>
        <w:t>北京石云科技有限公司</w:t>
      </w:r>
    </w:p>
    <w:p w14:paraId="7BD28014">
      <w:pPr>
        <w:adjustRightInd w:val="0"/>
        <w:snapToGrid w:val="0"/>
        <w:spacing w:before="93" w:beforeLines="30" w:after="93" w:afterLines="30" w:line="360" w:lineRule="auto"/>
        <w:ind w:firstLine="2125" w:firstLineChars="1008"/>
        <w:rPr>
          <w:rFonts w:asciiTheme="minorEastAsia" w:hAnsiTheme="minorEastAsia" w:eastAsiaTheme="minorEastAsia"/>
          <w:color w:val="auto"/>
          <w:szCs w:val="21"/>
          <w:highlight w:val="none"/>
        </w:rPr>
        <w:sectPr>
          <w:headerReference r:id="rId3" w:type="first"/>
          <w:footerReference r:id="rId4" w:type="default"/>
          <w:pgSz w:w="11906" w:h="16838"/>
          <w:pgMar w:top="1440" w:right="1800" w:bottom="1440" w:left="1800" w:header="851" w:footer="992" w:gutter="0"/>
          <w:pgNumType w:start="1"/>
          <w:cols w:space="425" w:num="1"/>
          <w:docGrid w:type="lines" w:linePitch="312" w:charSpace="0"/>
        </w:sectPr>
      </w:pPr>
      <w:r>
        <w:rPr>
          <w:rFonts w:hint="eastAsia" w:asciiTheme="minorEastAsia" w:hAnsiTheme="minorEastAsia" w:eastAsiaTheme="minorEastAsia"/>
          <w:b/>
          <w:color w:val="auto"/>
          <w:szCs w:val="21"/>
          <w:highlight w:val="none"/>
        </w:rPr>
        <w:t>基金托管人： 华</w:t>
      </w:r>
      <w:r>
        <w:rPr>
          <w:rFonts w:hint="eastAsia" w:asciiTheme="minorEastAsia" w:hAnsiTheme="minorEastAsia" w:eastAsiaTheme="minorEastAsia"/>
          <w:b/>
          <w:color w:val="auto"/>
          <w:szCs w:val="21"/>
          <w:highlight w:val="none"/>
          <w:lang w:val="en-US" w:eastAsia="zh-CN"/>
        </w:rPr>
        <w:t>泰</w:t>
      </w:r>
      <w:r>
        <w:rPr>
          <w:rFonts w:hint="eastAsia" w:asciiTheme="minorEastAsia" w:hAnsiTheme="minorEastAsia" w:eastAsiaTheme="minorEastAsia"/>
          <w:b/>
          <w:color w:val="auto"/>
          <w:szCs w:val="21"/>
          <w:highlight w:val="none"/>
        </w:rPr>
        <w:t>证券股份有限公司</w:t>
      </w:r>
    </w:p>
    <w:p w14:paraId="2509B4DA">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0" w:name="_Toc441138001"/>
      <w:bookmarkStart w:id="1" w:name="_Toc9577"/>
      <w:bookmarkStart w:id="2" w:name="_Toc414995183"/>
      <w:bookmarkStart w:id="3" w:name="_Toc69895137"/>
      <w:r>
        <w:rPr>
          <w:rFonts w:hint="eastAsia" w:asciiTheme="minorEastAsia" w:hAnsiTheme="minorEastAsia" w:eastAsiaTheme="minorEastAsia"/>
          <w:color w:val="auto"/>
          <w:sz w:val="28"/>
          <w:szCs w:val="28"/>
          <w:highlight w:val="none"/>
        </w:rPr>
        <w:t>风险揭示书</w:t>
      </w:r>
      <w:bookmarkEnd w:id="0"/>
      <w:bookmarkEnd w:id="1"/>
      <w:bookmarkEnd w:id="2"/>
      <w:bookmarkEnd w:id="3"/>
    </w:p>
    <w:p w14:paraId="7FE4BC28">
      <w:pPr>
        <w:adjustRightInd w:val="0"/>
        <w:snapToGrid w:val="0"/>
        <w:spacing w:before="30" w:after="30" w:line="360" w:lineRule="auto"/>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尊敬的投资者：</w:t>
      </w:r>
    </w:p>
    <w:p w14:paraId="110ED4E5">
      <w:pPr>
        <w:pStyle w:val="12"/>
        <w:widowControl w:val="0"/>
        <w:adjustRightInd w:val="0"/>
        <w:snapToGrid w:val="0"/>
        <w:spacing w:before="30" w:after="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投资有风险，当您/贵</w:t>
      </w:r>
      <w:r>
        <w:rPr>
          <w:rFonts w:asciiTheme="minorEastAsia" w:hAnsiTheme="minorEastAsia" w:eastAsiaTheme="minorEastAsia"/>
          <w:color w:val="auto"/>
          <w:highlight w:val="none"/>
        </w:rPr>
        <w:t>机构</w:t>
      </w:r>
      <w:r>
        <w:rPr>
          <w:rFonts w:hint="eastAsia" w:asciiTheme="minorEastAsia" w:hAnsiTheme="minorEastAsia" w:eastAsiaTheme="minorEastAsia"/>
          <w:color w:val="auto"/>
          <w:highlight w:val="none"/>
        </w:rPr>
        <w:t>认购或申购私募</w:t>
      </w:r>
      <w:r>
        <w:rPr>
          <w:rFonts w:asciiTheme="minorEastAsia" w:hAnsiTheme="minorEastAsia" w:eastAsiaTheme="minorEastAsia"/>
          <w:color w:val="auto"/>
          <w:highlight w:val="none"/>
        </w:rPr>
        <w:t>基金</w:t>
      </w:r>
      <w:r>
        <w:rPr>
          <w:rFonts w:hint="eastAsia" w:asciiTheme="minorEastAsia" w:hAnsiTheme="minorEastAsia" w:eastAsiaTheme="minorEastAsia"/>
          <w:color w:val="auto"/>
          <w:highlight w:val="none"/>
        </w:rPr>
        <w:t>时，可能获得投资收益，但同时也面临着投资风险。您/贵</w:t>
      </w:r>
      <w:r>
        <w:rPr>
          <w:rFonts w:asciiTheme="minorEastAsia" w:hAnsiTheme="minorEastAsia" w:eastAsiaTheme="minorEastAsia"/>
          <w:color w:val="auto"/>
          <w:highlight w:val="none"/>
        </w:rPr>
        <w:t>机构</w:t>
      </w:r>
      <w:r>
        <w:rPr>
          <w:rFonts w:hint="eastAsia" w:asciiTheme="minorEastAsia" w:hAnsiTheme="minorEastAsia" w:eastAsiaTheme="minorEastAsia"/>
          <w:color w:val="auto"/>
          <w:highlight w:val="none"/>
        </w:rPr>
        <w:t>在作出投资决策之前，请仔细阅读本风险揭示书和【</w:t>
      </w:r>
      <w:r>
        <w:rPr>
          <w:rFonts w:hint="eastAsia" w:asciiTheme="minorEastAsia" w:hAnsiTheme="minorEastAsia" w:eastAsiaTheme="minorEastAsia"/>
          <w:b/>
          <w:bCs/>
          <w:color w:val="auto"/>
          <w:highlight w:val="none"/>
          <w:lang w:eastAsia="zh-CN"/>
        </w:rPr>
        <w:t>石云中证1000资产进取一号私募证券投资基金</w:t>
      </w:r>
      <w:r>
        <w:rPr>
          <w:rFonts w:hint="eastAsia" w:asciiTheme="minorEastAsia" w:hAnsiTheme="minorEastAsia" w:eastAsiaTheme="minorEastAsia"/>
          <w:color w:val="auto"/>
          <w:highlight w:val="none"/>
        </w:rPr>
        <w:t>】基金合同，全面认识本基金的风险收益特征和产品特性，认真考虑基金存在的各项风险因素，并充分考虑自身的风险承受能力，理性判断市场，谨慎做出投资决策。</w:t>
      </w:r>
    </w:p>
    <w:p w14:paraId="021DBCBB">
      <w:pPr>
        <w:pStyle w:val="12"/>
        <w:widowControl w:val="0"/>
        <w:adjustRightInd w:val="0"/>
        <w:snapToGrid w:val="0"/>
        <w:spacing w:before="30" w:after="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根据有关法律法规，基金管理人【</w:t>
      </w:r>
      <w:r>
        <w:rPr>
          <w:rFonts w:hint="eastAsia" w:asciiTheme="minorEastAsia" w:hAnsiTheme="minorEastAsia" w:eastAsiaTheme="minorEastAsia"/>
          <w:b/>
          <w:color w:val="auto"/>
          <w:highlight w:val="none"/>
          <w:lang w:eastAsia="zh-CN"/>
        </w:rPr>
        <w:t>北京石云科技有限公司</w:t>
      </w:r>
      <w:r>
        <w:rPr>
          <w:rFonts w:hint="eastAsia" w:asciiTheme="minorEastAsia" w:hAnsiTheme="minorEastAsia" w:eastAsiaTheme="minorEastAsia"/>
          <w:color w:val="auto"/>
          <w:highlight w:val="none"/>
        </w:rPr>
        <w:t>】及投资</w:t>
      </w:r>
      <w:r>
        <w:rPr>
          <w:rFonts w:asciiTheme="minorEastAsia" w:hAnsiTheme="minorEastAsia" w:eastAsiaTheme="minorEastAsia"/>
          <w:color w:val="auto"/>
          <w:highlight w:val="none"/>
        </w:rPr>
        <w:t>者分别</w:t>
      </w:r>
      <w:r>
        <w:rPr>
          <w:rFonts w:hint="eastAsia" w:asciiTheme="minorEastAsia" w:hAnsiTheme="minorEastAsia" w:eastAsiaTheme="minorEastAsia"/>
          <w:color w:val="auto"/>
          <w:highlight w:val="none"/>
        </w:rPr>
        <w:t>作出如下承诺</w:t>
      </w:r>
      <w:r>
        <w:rPr>
          <w:rFonts w:asciiTheme="minorEastAsia" w:hAnsiTheme="minorEastAsia" w:eastAsiaTheme="minorEastAsia"/>
          <w:color w:val="auto"/>
          <w:highlight w:val="none"/>
        </w:rPr>
        <w:t>、</w:t>
      </w:r>
      <w:r>
        <w:rPr>
          <w:rFonts w:hint="eastAsia" w:asciiTheme="minorEastAsia" w:hAnsiTheme="minorEastAsia" w:eastAsiaTheme="minorEastAsia"/>
          <w:color w:val="auto"/>
          <w:highlight w:val="none"/>
        </w:rPr>
        <w:t>风险提示及声明：</w:t>
      </w:r>
    </w:p>
    <w:p w14:paraId="2157FB48">
      <w:pPr>
        <w:pStyle w:val="12"/>
        <w:widowControl w:val="0"/>
        <w:adjustRightInd w:val="0"/>
        <w:snapToGrid w:val="0"/>
        <w:spacing w:before="30" w:after="30" w:line="360" w:lineRule="auto"/>
        <w:ind w:firstLine="422" w:firstLineChars="200"/>
        <w:rPr>
          <w:rFonts w:asciiTheme="minorEastAsia" w:hAnsiTheme="minorEastAsia" w:eastAsiaTheme="minorEastAsia"/>
          <w:b/>
          <w:color w:val="auto"/>
          <w:highlight w:val="none"/>
        </w:rPr>
      </w:pPr>
      <w:r>
        <w:rPr>
          <w:rFonts w:hint="eastAsia" w:asciiTheme="minorEastAsia" w:hAnsiTheme="minorEastAsia" w:eastAsiaTheme="minorEastAsia"/>
          <w:b/>
          <w:color w:val="auto"/>
          <w:highlight w:val="none"/>
        </w:rPr>
        <w:t>一、基金</w:t>
      </w:r>
      <w:r>
        <w:rPr>
          <w:rFonts w:asciiTheme="minorEastAsia" w:hAnsiTheme="minorEastAsia" w:eastAsiaTheme="minorEastAsia"/>
          <w:b/>
          <w:color w:val="auto"/>
          <w:highlight w:val="none"/>
        </w:rPr>
        <w:t>管理人承诺</w:t>
      </w:r>
    </w:p>
    <w:p w14:paraId="5F68AA04">
      <w:pPr>
        <w:adjustRightInd w:val="0"/>
        <w:snapToGrid w:val="0"/>
        <w:spacing w:before="30" w:after="30" w:line="360" w:lineRule="auto"/>
        <w:ind w:firstLine="420"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color w:val="auto"/>
          <w:kern w:val="0"/>
          <w:szCs w:val="21"/>
          <w:highlight w:val="none"/>
        </w:rPr>
        <w:t>（一）私募基金管理人保证在募集资金前已在中国证券投资基金业协会（以下简称中国基金业协会）登记为私募基金管理人,并取得管理人登记编码。</w:t>
      </w:r>
    </w:p>
    <w:p w14:paraId="51A711BB">
      <w:pPr>
        <w:adjustRightInd w:val="0"/>
        <w:snapToGrid w:val="0"/>
        <w:spacing w:before="30" w:after="30" w:line="360" w:lineRule="auto"/>
        <w:ind w:firstLine="420"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color w:val="auto"/>
          <w:kern w:val="0"/>
          <w:szCs w:val="21"/>
          <w:highlight w:val="none"/>
        </w:rPr>
        <w:t>（二）私募基金管理人向投资者声明，中国基金业协会为私募基金管理人和私募基金办理登记备案不构成对私募基金管理人投资能力、持续合规情况的认可；不作为对基金财产安全的保证，投资者应当自行识别基金投资风险并承担投资行为可能出现的损失。</w:t>
      </w:r>
    </w:p>
    <w:p w14:paraId="31C3B04B">
      <w:pPr>
        <w:adjustRightInd w:val="0"/>
        <w:snapToGrid w:val="0"/>
        <w:spacing w:before="30" w:after="30" w:line="360" w:lineRule="auto"/>
        <w:ind w:firstLine="420"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color w:val="auto"/>
          <w:kern w:val="0"/>
          <w:szCs w:val="21"/>
          <w:highlight w:val="none"/>
        </w:rPr>
        <w:t>（三）私募基金管理人保证在投资者签署基金合同前已（或已委托基金销售机构）向投资者揭示了相关风险；已经了解私募基金投资者的风险偏好、风险认知能力和承受能力；已向私募基金投资者说明有关法律法规，说明投资冷静期、回访确认的制度安排以及投资者的权利。</w:t>
      </w:r>
    </w:p>
    <w:p w14:paraId="66E3B018">
      <w:pPr>
        <w:adjustRightInd w:val="0"/>
        <w:snapToGrid w:val="0"/>
        <w:spacing w:before="30" w:after="30" w:line="360" w:lineRule="auto"/>
        <w:ind w:firstLine="420"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color w:val="auto"/>
          <w:kern w:val="0"/>
          <w:szCs w:val="21"/>
          <w:highlight w:val="none"/>
        </w:rPr>
        <w:t>（四）私募基金管理人承诺按照恪尽职守、诚实信用、谨慎勤勉的原则履行受托管理职责，合理运用和管理基金财产，不保证基金财产一定盈利，也不保证最低收益。</w:t>
      </w:r>
    </w:p>
    <w:p w14:paraId="40512AD9">
      <w:pPr>
        <w:adjustRightInd w:val="0"/>
        <w:snapToGrid w:val="0"/>
        <w:spacing w:before="30" w:after="30" w:line="360" w:lineRule="auto"/>
        <w:ind w:firstLine="420"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color w:val="auto"/>
          <w:kern w:val="0"/>
          <w:szCs w:val="21"/>
          <w:highlight w:val="none"/>
        </w:rPr>
        <w:t>（五）私募基金管理人承诺遵循专业化运营的原则，在未经监管部门同意的情况下，不会从事私募投资基金以外的业务。</w:t>
      </w:r>
    </w:p>
    <w:p w14:paraId="4E73A22E">
      <w:pPr>
        <w:adjustRightInd w:val="0"/>
        <w:snapToGrid w:val="0"/>
        <w:spacing w:before="30" w:after="30" w:line="360" w:lineRule="auto"/>
        <w:ind w:firstLine="420"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color w:val="auto"/>
          <w:kern w:val="0"/>
          <w:szCs w:val="21"/>
          <w:highlight w:val="none"/>
        </w:rPr>
        <w:t>（六）私募基金管理人承诺已和相关当事人在基金合同中约定私募基金管理人客观上丧失继续管理私募基金能力的情形下的基金财产安全保障、维持基金运营或清算的应急处置预案和纠纷解决机制，保证即使因违反法律法规或自律规则而被执行注销程序的私募基金管理人和相关当事人，能够根据《基金法》、协会相关自律规则和基金合同的约定，妥善处置基金财产，依法保障投资者的合法权益。</w:t>
      </w:r>
    </w:p>
    <w:p w14:paraId="70D25E11">
      <w:pPr>
        <w:adjustRightInd w:val="0"/>
        <w:snapToGrid w:val="0"/>
        <w:spacing w:before="30" w:after="30" w:line="360" w:lineRule="auto"/>
        <w:ind w:firstLine="420"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color w:val="auto"/>
          <w:kern w:val="0"/>
          <w:szCs w:val="21"/>
          <w:highlight w:val="none"/>
        </w:rPr>
        <w:t>（七）私募基金管理人承诺将按照《私募投资基金信息披露管理办法》及“私募基金信息披露内容与格式指引”在私募基金信息披露备份系统（https://pfid.amac.org.cn）披露私募基金信息披露报告，并承诺信息披露报告内容的真实性和准确性。私募基金管理人承诺负责信披备份系统投资者查询账号的维护和管理工作，并按照从投资者或代销机构（如有）获取的开通投资者查询账号必备信息，及时办理账号的开立、启用、修改和关闭。</w:t>
      </w:r>
    </w:p>
    <w:p w14:paraId="1377658A">
      <w:pPr>
        <w:adjustRightInd w:val="0"/>
        <w:snapToGrid w:val="0"/>
        <w:spacing w:before="30" w:after="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二、风险揭示</w:t>
      </w:r>
    </w:p>
    <w:p w14:paraId="6B76B6B7">
      <w:pPr>
        <w:pStyle w:val="12"/>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（一</w:t>
      </w:r>
      <w:r>
        <w:rPr>
          <w:rFonts w:asciiTheme="minorEastAsia" w:hAnsiTheme="minorEastAsia" w:eastAsiaTheme="minorEastAsia"/>
          <w:b/>
          <w:bCs/>
          <w:color w:val="auto"/>
          <w:highlight w:val="none"/>
        </w:rPr>
        <w:t>）</w:t>
      </w:r>
      <w:r>
        <w:rPr>
          <w:rFonts w:hint="eastAsia" w:asciiTheme="minorEastAsia" w:hAnsiTheme="minorEastAsia" w:eastAsiaTheme="minorEastAsia"/>
          <w:b/>
          <w:bCs/>
          <w:color w:val="auto"/>
          <w:highlight w:val="none"/>
        </w:rPr>
        <w:t>特殊风险揭示</w:t>
      </w:r>
    </w:p>
    <w:p w14:paraId="4632ABC6">
      <w:pPr>
        <w:pStyle w:val="12"/>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1、本合同部分内容与中国基金业协会合同指引不一致所涉风险</w:t>
      </w:r>
    </w:p>
    <w:p w14:paraId="395E3748">
      <w:pPr>
        <w:pStyle w:val="12"/>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本合同是基于中国基金业协会发布的《私募投资基金合同指引1号》（契约型私募基金合同内容与格式指引）而制定的，管理人对合同指引相关内容做出了合理的调整以及增加了其他内容，导致本合同与中国基金业协会合同指引不一致的风险。</w:t>
      </w:r>
    </w:p>
    <w:p w14:paraId="4E496D17">
      <w:pPr>
        <w:pStyle w:val="12"/>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2、基金委托募集所涉风险（如有）</w:t>
      </w:r>
    </w:p>
    <w:p w14:paraId="24767FDA">
      <w:pPr>
        <w:pStyle w:val="12"/>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可以委托在中国证监会注册取得基金销售业务资格并已成为中国基金业协会会员的机构（以下简称代销机构）募集本基金，代销机构可能存在违法违规地公开宣传基金产品、虚假宣传基金产品、以保本保收益引诱投资者购买基金产品、未能履行投资者适当性审查工作等行为导致基金投资者合法权益受损的风险。</w:t>
      </w:r>
    </w:p>
    <w:p w14:paraId="2A83284B">
      <w:pPr>
        <w:pStyle w:val="12"/>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3、基金服务事项所涉风险</w:t>
      </w:r>
    </w:p>
    <w:p w14:paraId="7FC9640C">
      <w:pPr>
        <w:pStyle w:val="12"/>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委托具备相应资质的国泰海通证券股份有限公司提供本基金份额登记、估值核算等运营服务事项，因服务机构经营风险、技术系统故障、操作失误等，可能使得基金服务事项发生差错，给本基金运营带来风险。</w:t>
      </w:r>
    </w:p>
    <w:p w14:paraId="2A16F6DA">
      <w:pPr>
        <w:pStyle w:val="12"/>
        <w:adjustRightInd w:val="0"/>
        <w:snapToGrid w:val="0"/>
        <w:spacing w:before="93" w:beforeLines="30" w:after="93" w:afterLines="30" w:line="360" w:lineRule="auto"/>
        <w:ind w:firstLine="422" w:firstLineChars="200"/>
        <w:rPr>
          <w:rFonts w:asciiTheme="minorEastAsia" w:hAnsiTheme="minorEastAsia" w:eastAsiaTheme="minorEastAsia"/>
          <w:color w:val="auto"/>
          <w:highlight w:val="none"/>
        </w:rPr>
      </w:pPr>
      <w:r>
        <w:rPr>
          <w:rFonts w:hint="eastAsia" w:asciiTheme="minorEastAsia" w:hAnsiTheme="minorEastAsia" w:eastAsiaTheme="minorEastAsia"/>
          <w:b/>
          <w:bCs/>
          <w:color w:val="auto"/>
          <w:highlight w:val="none"/>
        </w:rPr>
        <w:t>4、基金聘请投资顾问所涉风险（如有）</w:t>
      </w:r>
      <w:r>
        <w:rPr>
          <w:rFonts w:hint="eastAsia" w:asciiTheme="minorEastAsia" w:hAnsiTheme="minorEastAsia" w:eastAsiaTheme="minorEastAsia"/>
          <w:color w:val="auto"/>
          <w:highlight w:val="none"/>
        </w:rPr>
        <w:t>若根据基金合同约定，基金管理人有权代表本基金聘请投资顾问，本基金将由基金管理人参考投资顾问的“投资建议”自主进行投资决策交易。投资顾问和基金管理人的投资服务能力、服务水平将直接影响本基金的收益水平。此外，由于投资顾问或基金管理人原因（包括但不限于投资顾问的知识、经验等）影响其对相关信息、经济形势和证券价格走势的判断，可能影响本基金的收益水平。</w:t>
      </w:r>
    </w:p>
    <w:p w14:paraId="60DAE402">
      <w:pPr>
        <w:pStyle w:val="12"/>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投资顾问依据与基金管理人签署的投资顾问协议（以实际签署的协议名称为准）为本基金提供投资顾问服务，因为相关协议的约定不明或者投资顾问与基金管理人存在法律或经济纠纷时，会对本基金的收益造成影响。投资顾问如存在泄露客户投资决策计划、传播虚假信息、进行关联交易等违法违规行为或利益冲突等违法违规情形时，将对本基金的收益造成不利影响。</w:t>
      </w:r>
    </w:p>
    <w:p w14:paraId="094CC3ED">
      <w:pPr>
        <w:pStyle w:val="12"/>
        <w:adjustRightInd w:val="0"/>
        <w:snapToGrid w:val="0"/>
        <w:spacing w:before="93" w:beforeLines="30" w:after="93" w:afterLines="30" w:line="360" w:lineRule="auto"/>
        <w:ind w:firstLine="422" w:firstLineChars="200"/>
        <w:rPr>
          <w:rFonts w:asciiTheme="minorEastAsia" w:hAnsiTheme="minorEastAsia" w:eastAsiaTheme="minorEastAsia"/>
          <w:color w:val="auto"/>
          <w:highlight w:val="none"/>
        </w:rPr>
      </w:pPr>
      <w:r>
        <w:rPr>
          <w:rFonts w:hint="eastAsia" w:asciiTheme="minorEastAsia" w:hAnsiTheme="minorEastAsia" w:eastAsiaTheme="minorEastAsia"/>
          <w:b/>
          <w:bCs/>
          <w:color w:val="auto"/>
          <w:highlight w:val="none"/>
        </w:rPr>
        <w:t>5、未在中国基金业协会登记备案的风险</w:t>
      </w:r>
    </w:p>
    <w:p w14:paraId="4010395C">
      <w:pPr>
        <w:pStyle w:val="12"/>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基金管理人在基金募集完毕后20个工作日内向中国基金业协会办理基金备案手续。基金面临因未能在中国基金业协会履行备案手续导致基金财产不能进行投资运作的风险。</w:t>
      </w:r>
    </w:p>
    <w:p w14:paraId="67213237">
      <w:pPr>
        <w:pStyle w:val="13"/>
        <w:numPr>
          <w:ilvl w:val="255"/>
          <w:numId w:val="0"/>
        </w:numPr>
        <w:adjustRightInd w:val="0"/>
        <w:snapToGrid w:val="0"/>
        <w:spacing w:line="360" w:lineRule="auto"/>
        <w:ind w:left="420" w:leftChars="200"/>
        <w:rPr>
          <w:rFonts w:asciiTheme="minorEastAsia" w:hAnsiTheme="minorEastAsia" w:eastAsiaTheme="minorEastAsia"/>
          <w:b/>
          <w:color w:val="auto"/>
          <w:szCs w:val="21"/>
          <w:highlight w:val="none"/>
        </w:rPr>
      </w:pPr>
      <w:r>
        <w:rPr>
          <w:rFonts w:hint="eastAsia" w:asciiTheme="minorEastAsia" w:hAnsiTheme="minorEastAsia" w:eastAsiaTheme="minorEastAsia"/>
          <w:b/>
          <w:bCs/>
          <w:color w:val="auto"/>
          <w:highlight w:val="none"/>
        </w:rPr>
        <w:t>6、</w:t>
      </w:r>
      <w:r>
        <w:rPr>
          <w:rFonts w:hint="eastAsia" w:asciiTheme="minorEastAsia" w:hAnsiTheme="minorEastAsia" w:eastAsiaTheme="minorEastAsia"/>
          <w:b/>
          <w:color w:val="auto"/>
          <w:szCs w:val="21"/>
          <w:highlight w:val="none"/>
        </w:rPr>
        <w:t>私募基金开放安排所涉风险</w:t>
      </w:r>
    </w:p>
    <w:p w14:paraId="5D979844">
      <w:pPr>
        <w:adjustRightInd w:val="0"/>
        <w:snapToGrid w:val="0"/>
        <w:spacing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若根据基金合同约定，基金存续期间可设置</w:t>
      </w:r>
      <w:r>
        <w:rPr>
          <w:rFonts w:hint="eastAsia" w:asciiTheme="minorEastAsia" w:hAnsiTheme="minorEastAsia" w:eastAsiaTheme="minorEastAsia"/>
          <w:b/>
          <w:color w:val="auto"/>
          <w:szCs w:val="21"/>
          <w:highlight w:val="none"/>
        </w:rPr>
        <w:t>临时开放日。</w:t>
      </w:r>
      <w:r>
        <w:rPr>
          <w:rFonts w:hint="eastAsia" w:asciiTheme="minorEastAsia" w:hAnsiTheme="minorEastAsia" w:eastAsiaTheme="minorEastAsia"/>
          <w:color w:val="auto"/>
          <w:kern w:val="0"/>
          <w:szCs w:val="21"/>
          <w:highlight w:val="none"/>
        </w:rPr>
        <w:t>基金管理人如未按照合同约定执行临时开放安排，并履行信息披露义务，可能给投资者利益带来不利影响。</w:t>
      </w:r>
      <w:r>
        <w:rPr>
          <w:rFonts w:hint="eastAsia" w:asciiTheme="minorEastAsia" w:hAnsiTheme="minorEastAsia" w:eastAsiaTheme="minorEastAsia"/>
          <w:b/>
          <w:color w:val="auto"/>
          <w:kern w:val="0"/>
          <w:szCs w:val="21"/>
          <w:highlight w:val="none"/>
        </w:rPr>
        <w:t>提示投资者特别关注因合同变更设置的临时开放日，如投资者不同意合同变更又不申请赎回所持有的全部基金份额的，基金管理人有权对其持有的全部基金份额作强制赎回处理。</w:t>
      </w:r>
    </w:p>
    <w:p w14:paraId="370E58D5">
      <w:pPr>
        <w:adjustRightInd w:val="0"/>
        <w:snapToGrid w:val="0"/>
        <w:spacing w:line="360" w:lineRule="auto"/>
        <w:ind w:firstLine="422"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
          <w:color w:val="auto"/>
          <w:szCs w:val="21"/>
          <w:highlight w:val="none"/>
        </w:rPr>
        <w:t>若根据基金合同约定，基金存续期间对开放日申购、赎回作出差异化开放日安排。</w:t>
      </w:r>
      <w:r>
        <w:rPr>
          <w:rFonts w:asciiTheme="minorEastAsia" w:hAnsiTheme="minorEastAsia" w:eastAsiaTheme="minorEastAsia"/>
          <w:color w:val="auto"/>
          <w:szCs w:val="21"/>
          <w:highlight w:val="none"/>
        </w:rPr>
        <w:t>上述安排可能导致投资者无法按照</w:t>
      </w:r>
      <w:r>
        <w:rPr>
          <w:rFonts w:hint="eastAsia" w:asciiTheme="minorEastAsia" w:hAnsiTheme="minorEastAsia" w:eastAsiaTheme="minorEastAsia"/>
          <w:color w:val="auto"/>
          <w:szCs w:val="21"/>
          <w:highlight w:val="none"/>
        </w:rPr>
        <w:t>自身</w:t>
      </w:r>
      <w:r>
        <w:rPr>
          <w:rFonts w:asciiTheme="minorEastAsia" w:hAnsiTheme="minorEastAsia" w:eastAsiaTheme="minorEastAsia"/>
          <w:color w:val="auto"/>
          <w:szCs w:val="21"/>
          <w:highlight w:val="none"/>
        </w:rPr>
        <w:t>意愿安排基金申购</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赎回的风险，提示</w:t>
      </w:r>
      <w:r>
        <w:rPr>
          <w:rFonts w:hint="eastAsia" w:asciiTheme="minorEastAsia" w:hAnsiTheme="minorEastAsia" w:eastAsiaTheme="minorEastAsia"/>
          <w:color w:val="auto"/>
          <w:szCs w:val="21"/>
          <w:highlight w:val="none"/>
        </w:rPr>
        <w:t>投资者</w:t>
      </w:r>
      <w:r>
        <w:rPr>
          <w:rFonts w:asciiTheme="minorEastAsia" w:hAnsiTheme="minorEastAsia" w:eastAsiaTheme="minorEastAsia"/>
          <w:color w:val="auto"/>
          <w:szCs w:val="21"/>
          <w:highlight w:val="none"/>
        </w:rPr>
        <w:t>特别关注基金</w:t>
      </w:r>
      <w:r>
        <w:rPr>
          <w:rFonts w:hint="eastAsia" w:asciiTheme="minorEastAsia" w:hAnsiTheme="minorEastAsia" w:eastAsiaTheme="minorEastAsia"/>
          <w:color w:val="auto"/>
          <w:szCs w:val="21"/>
          <w:highlight w:val="none"/>
        </w:rPr>
        <w:t>申购、赎回</w:t>
      </w:r>
      <w:r>
        <w:rPr>
          <w:rFonts w:asciiTheme="minorEastAsia" w:hAnsiTheme="minorEastAsia" w:eastAsiaTheme="minorEastAsia"/>
          <w:color w:val="auto"/>
          <w:szCs w:val="21"/>
          <w:highlight w:val="none"/>
        </w:rPr>
        <w:t>开放日的特殊安排事项。</w:t>
      </w:r>
    </w:p>
    <w:p w14:paraId="01712BBB">
      <w:pPr>
        <w:adjustRightInd w:val="0"/>
        <w:snapToGrid w:val="0"/>
        <w:spacing w:line="360" w:lineRule="auto"/>
        <w:ind w:firstLine="422"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b/>
          <w:color w:val="auto"/>
          <w:szCs w:val="21"/>
          <w:highlight w:val="none"/>
        </w:rPr>
        <w:t>若根据基金合同约定，基金存续期间可设置申购、赎回预约期。</w:t>
      </w:r>
      <w:r>
        <w:rPr>
          <w:rFonts w:hint="eastAsia" w:asciiTheme="minorEastAsia" w:hAnsiTheme="minorEastAsia" w:eastAsiaTheme="minorEastAsia"/>
          <w:color w:val="auto"/>
          <w:kern w:val="0"/>
          <w:szCs w:val="21"/>
          <w:highlight w:val="none"/>
        </w:rPr>
        <w:t>基金管理人不接受投资者在预约期以外的时间提出的申购、赎回申请。</w:t>
      </w:r>
      <w:r>
        <w:rPr>
          <w:rFonts w:asciiTheme="minorEastAsia" w:hAnsiTheme="minorEastAsia" w:eastAsiaTheme="minorEastAsia"/>
          <w:color w:val="auto"/>
          <w:szCs w:val="21"/>
          <w:highlight w:val="none"/>
        </w:rPr>
        <w:t>上述安排可能导致投资者</w:t>
      </w:r>
      <w:r>
        <w:rPr>
          <w:rFonts w:hint="eastAsia" w:asciiTheme="minorEastAsia" w:hAnsiTheme="minorEastAsia" w:eastAsiaTheme="minorEastAsia"/>
          <w:color w:val="auto"/>
          <w:szCs w:val="21"/>
          <w:highlight w:val="none"/>
        </w:rPr>
        <w:t>面临</w:t>
      </w:r>
      <w:r>
        <w:rPr>
          <w:rFonts w:hint="eastAsia" w:asciiTheme="minorEastAsia" w:hAnsiTheme="minorEastAsia" w:eastAsiaTheme="minorEastAsia"/>
          <w:color w:val="auto"/>
          <w:kern w:val="0"/>
          <w:szCs w:val="21"/>
          <w:highlight w:val="none"/>
        </w:rPr>
        <w:t>因错过预约期导致的流动性风险。</w:t>
      </w:r>
    </w:p>
    <w:p w14:paraId="74A82673">
      <w:pPr>
        <w:adjustRightInd w:val="0"/>
        <w:snapToGrid w:val="0"/>
        <w:spacing w:line="360" w:lineRule="auto"/>
        <w:ind w:firstLine="422"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b/>
          <w:color w:val="auto"/>
          <w:kern w:val="0"/>
          <w:szCs w:val="21"/>
          <w:highlight w:val="none"/>
        </w:rPr>
        <w:t>若根据基金合同约定，基金存续期间可设置锁定期。</w:t>
      </w:r>
      <w:r>
        <w:rPr>
          <w:rFonts w:hint="eastAsia" w:asciiTheme="minorEastAsia" w:hAnsiTheme="minorEastAsia" w:eastAsiaTheme="minorEastAsia"/>
          <w:color w:val="auto"/>
          <w:szCs w:val="21"/>
          <w:highlight w:val="none"/>
        </w:rPr>
        <w:t>投资者</w:t>
      </w:r>
      <w:r>
        <w:rPr>
          <w:rFonts w:asciiTheme="minorEastAsia" w:hAnsiTheme="minorEastAsia" w:eastAsiaTheme="minorEastAsia"/>
          <w:color w:val="auto"/>
          <w:szCs w:val="21"/>
          <w:highlight w:val="none"/>
        </w:rPr>
        <w:t>仅可对锁定期届满的基金份额进行赎回。上述安排可能导致</w:t>
      </w:r>
      <w:r>
        <w:rPr>
          <w:rFonts w:hint="eastAsia" w:asciiTheme="minorEastAsia" w:hAnsiTheme="minorEastAsia" w:eastAsiaTheme="minorEastAsia"/>
          <w:color w:val="auto"/>
          <w:szCs w:val="21"/>
          <w:highlight w:val="none"/>
        </w:rPr>
        <w:t>投资者持有的</w:t>
      </w:r>
      <w:r>
        <w:rPr>
          <w:rFonts w:hint="eastAsia" w:asciiTheme="minorEastAsia" w:hAnsiTheme="minorEastAsia" w:eastAsiaTheme="minorEastAsia"/>
          <w:color w:val="auto"/>
          <w:kern w:val="0"/>
          <w:szCs w:val="21"/>
          <w:highlight w:val="none"/>
        </w:rPr>
        <w:t>在锁定期内的份额可能面临资金不能赎回带来的流动性风险。</w:t>
      </w:r>
    </w:p>
    <w:p w14:paraId="0674F1A5">
      <w:pPr>
        <w:adjustRightInd w:val="0"/>
        <w:snapToGrid w:val="0"/>
        <w:spacing w:line="360" w:lineRule="auto"/>
        <w:ind w:firstLine="422" w:firstLineChars="200"/>
        <w:rPr>
          <w:rFonts w:asciiTheme="minorEastAsia" w:hAnsiTheme="minorEastAsia" w:eastAsiaTheme="minorEastAsia"/>
          <w:color w:val="auto"/>
          <w:kern w:val="0"/>
          <w:szCs w:val="21"/>
          <w:highlight w:val="none"/>
        </w:rPr>
      </w:pPr>
      <w:r>
        <w:rPr>
          <w:rFonts w:asciiTheme="minorEastAsia" w:hAnsiTheme="minorEastAsia" w:eastAsiaTheme="minorEastAsia"/>
          <w:b/>
          <w:color w:val="auto"/>
          <w:kern w:val="0"/>
          <w:szCs w:val="21"/>
          <w:highlight w:val="none"/>
        </w:rPr>
        <w:t>若根据基金合同约定，基金存续期间可对投资者赎回申请采取份额限制。</w:t>
      </w:r>
      <w:r>
        <w:rPr>
          <w:rFonts w:asciiTheme="minorEastAsia" w:hAnsiTheme="minorEastAsia" w:eastAsiaTheme="minorEastAsia"/>
          <w:color w:val="auto"/>
          <w:kern w:val="0"/>
          <w:szCs w:val="21"/>
          <w:highlight w:val="none"/>
        </w:rPr>
        <w:t>如经测算，投资者部分赎回基金份额将导致其持有的剩余基金资产净值低于100万元人民币的，基金管理人可按照合同约定，在接受投资者赎回申请后，对其所持剩余基金份额按照强制赎回处理或者对投资者赎回申请进行调整，调降其申请赎回的基金份额。上述安排可能给投资者利益带来不利影响。</w:t>
      </w:r>
    </w:p>
    <w:p w14:paraId="3C1B419F">
      <w:pPr>
        <w:adjustRightInd w:val="0"/>
        <w:snapToGrid w:val="0"/>
        <w:spacing w:before="93" w:beforeLines="30" w:after="93" w:afterLines="30" w:line="360" w:lineRule="auto"/>
        <w:ind w:firstLine="422" w:firstLineChars="200"/>
        <w:rPr>
          <w:rFonts w:asciiTheme="minorEastAsia" w:hAnsiTheme="minorEastAsia" w:eastAsiaTheme="minorEastAsia"/>
          <w:color w:val="auto"/>
          <w:highlight w:val="none"/>
        </w:rPr>
      </w:pPr>
      <w:r>
        <w:rPr>
          <w:rFonts w:hint="eastAsia" w:asciiTheme="minorEastAsia" w:hAnsiTheme="minorEastAsia" w:eastAsiaTheme="minorEastAsia"/>
          <w:b/>
          <w:color w:val="auto"/>
          <w:kern w:val="0"/>
          <w:szCs w:val="21"/>
          <w:highlight w:val="none"/>
        </w:rPr>
        <w:t>基金管理人负责按照基金合同约定的开放安排，为投资者办理基金份额的申购</w:t>
      </w:r>
      <w:r>
        <w:rPr>
          <w:rFonts w:asciiTheme="minorEastAsia" w:hAnsiTheme="minorEastAsia" w:eastAsiaTheme="minorEastAsia"/>
          <w:b/>
          <w:color w:val="auto"/>
          <w:kern w:val="0"/>
          <w:szCs w:val="21"/>
          <w:highlight w:val="none"/>
        </w:rPr>
        <w:t>/赎回业务，并履行信息披露义务。</w:t>
      </w:r>
      <w:r>
        <w:rPr>
          <w:rFonts w:hint="eastAsia" w:asciiTheme="minorEastAsia" w:hAnsiTheme="minorEastAsia" w:eastAsiaTheme="minorEastAsia"/>
          <w:b/>
          <w:color w:val="auto"/>
          <w:kern w:val="0"/>
          <w:szCs w:val="21"/>
          <w:highlight w:val="none"/>
        </w:rPr>
        <w:t>提示投资者应当及时关注基金合同约定及基金管理人信息披露内容。基金托管人及服务机构不承担任何因基金管理人未按照合同约定执行基金开放安排或信息披露义务导致的损失。</w:t>
      </w:r>
    </w:p>
    <w:p w14:paraId="4422B0BA">
      <w:pPr>
        <w:pStyle w:val="12"/>
        <w:adjustRightInd w:val="0"/>
        <w:snapToGrid w:val="0"/>
        <w:spacing w:before="93" w:beforeLines="30" w:after="93" w:afterLines="30" w:line="360" w:lineRule="auto"/>
        <w:ind w:firstLine="422" w:firstLineChars="200"/>
        <w:rPr>
          <w:rFonts w:asciiTheme="minorEastAsia" w:hAnsiTheme="minorEastAsia" w:eastAsiaTheme="minorEastAsia"/>
          <w:color w:val="auto"/>
          <w:highlight w:val="none"/>
        </w:rPr>
      </w:pPr>
      <w:r>
        <w:rPr>
          <w:rFonts w:hint="eastAsia" w:asciiTheme="minorEastAsia" w:hAnsiTheme="minorEastAsia" w:eastAsiaTheme="minorEastAsia"/>
          <w:b/>
          <w:bCs/>
          <w:color w:val="auto"/>
          <w:highlight w:val="none"/>
        </w:rPr>
        <w:t>7、募集机构与管理人存在关联关系的风险（如有）</w:t>
      </w:r>
    </w:p>
    <w:p w14:paraId="2A4783C1">
      <w:pPr>
        <w:pStyle w:val="12"/>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可委托销售机构销售本基金，受托销售机构可能与基金管理人存在关联关系。基金管理人与其受托关联销售机构之间的交易及其他业务安排应当遵循基金份额持有人利益优先的原则、防范利益冲突，但仍可能存在未能完全遵循以基金份额持有人利益优先、未能完全杜绝关联方之间的利益输送、未能完全避免关联方与基金委托人之间的利益冲突、未能充分履行相关信息披露义务等相关风险。</w:t>
      </w:r>
    </w:p>
    <w:p w14:paraId="56B7473D">
      <w:pPr>
        <w:pStyle w:val="12"/>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8、关联交易风险（如有）</w:t>
      </w:r>
    </w:p>
    <w:p w14:paraId="2DB61280">
      <w:pPr>
        <w:pStyle w:val="12"/>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可运用基金财产买卖基金管理人、基金托管人及其控股股东、实际控制人或者与其有其他重大利害关系的公司发行的证券或承销期内承销的证券；或上述主体直接或间接管理或代理销售的、或提供客户服务的、或者该等主体持有的符合本基金合同投资范围规定的投资产品。基金管理人亦可与基金管理人、基金托管人及其关联方或者与上述主体有其他重大利害关系的主体进行融资融券（如有）、收益互换（如有）、场外期权（如有）等交易。基金托管人不对上述关联交易有关限制的执行承担投资监督职责，不对上述关联交易是否存在利益输送、不公平交易等情形承担监督职责，投资者签署本基金合同即表明其已经知晓并同意本基金可能进行上述关联交易。</w:t>
      </w:r>
    </w:p>
    <w:p w14:paraId="15BB09CC">
      <w:pPr>
        <w:pStyle w:val="12"/>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投资者不得因本基金进行上述关联交易或投资收益劣于基金管理人、基金托管人及其关联方管理的其他类似投资产品，而向基金管理人或基金托管人提出任何损失或损害补偿的要求。</w:t>
      </w:r>
    </w:p>
    <w:p w14:paraId="00E7CAB6">
      <w:pPr>
        <w:pStyle w:val="12"/>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9、单一标的的投资风险（如有）</w:t>
      </w:r>
    </w:p>
    <w:p w14:paraId="2BE03BEE">
      <w:pPr>
        <w:pStyle w:val="12"/>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本基金存续期内，如基金管理人将本基金财产全部投资于单一标的、未进行组合投资的，因投资风险高度集中，基金财产盈亏情况受单一标的影响严重，极端情形下存在投资本金全部亏损的风险。基金管理人应当按照法律法规规定和基金合同约定的方式向投资者书面揭示投资标的的基本情况、投资架构、因未进行组合投资而可能受到的损失、纠纷解决机制等内容，并由投资者签署确认。</w:t>
      </w:r>
    </w:p>
    <w:p w14:paraId="40525A94">
      <w:pPr>
        <w:pStyle w:val="12"/>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10、特殊目的载体投向标的的风险（如有）</w:t>
      </w:r>
    </w:p>
    <w:p w14:paraId="77FA5C55">
      <w:pPr>
        <w:pStyle w:val="12"/>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本基金通过特殊目的载体进行投资，投资标的最终的权利登记在特殊目的载体名下，本基金管理人面临无法直接向底层投资标的的交易对手主张权利的风险。本基金管理人如需实现底层投资标的的债权、股权、担保权利等需要底层投资标的的交易对手的相关人员进行配合，如相关人员不进行配合可能对基金财产变现和处置存在一定的影响。</w:t>
      </w:r>
    </w:p>
    <w:p w14:paraId="24BB23F5">
      <w:pPr>
        <w:pStyle w:val="12"/>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11、契约型私募投资基金管理人股权代持的风险（如有）</w:t>
      </w:r>
    </w:p>
    <w:p w14:paraId="551166AD">
      <w:pPr>
        <w:pStyle w:val="12"/>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本基金存在契约型私募投资基金管理人股权代持的风险。私募基金管理人代表私募基金持有投资标的股权，与其他第三方签署相关协议文件、行使股东权利或者实施其他法律行为，基金财产的收益可能受到基金管理人的管理能力、管理水平的影响，契约型私募投资基金及投资者无法直接行使股东权利或实施其他法律行为。</w:t>
      </w:r>
    </w:p>
    <w:p w14:paraId="2B5B5F0D">
      <w:pPr>
        <w:numPr>
          <w:ilvl w:val="255"/>
          <w:numId w:val="0"/>
        </w:numPr>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12、</w:t>
      </w:r>
      <w:r>
        <w:rPr>
          <w:rFonts w:asciiTheme="minorEastAsia" w:hAnsiTheme="minorEastAsia" w:eastAsiaTheme="minorEastAsia"/>
          <w:b/>
          <w:bCs/>
          <w:color w:val="auto"/>
          <w:szCs w:val="21"/>
          <w:highlight w:val="none"/>
        </w:rPr>
        <w:t>基金管理人发生重大登记信息变更所涉风险（如有）</w:t>
      </w:r>
    </w:p>
    <w:p w14:paraId="769250E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kern w:val="0"/>
          <w:szCs w:val="21"/>
          <w:highlight w:val="none"/>
        </w:rPr>
        <w:t>基金管理人的控股股东、实际控制人、普通合伙人</w:t>
      </w:r>
      <w:r>
        <w:rPr>
          <w:rFonts w:hint="eastAsia" w:asciiTheme="minorEastAsia" w:hAnsiTheme="minorEastAsia" w:eastAsiaTheme="minorEastAsia"/>
          <w:color w:val="auto"/>
          <w:szCs w:val="21"/>
          <w:highlight w:val="none"/>
        </w:rPr>
        <w:t>（当基金管理人为合伙企业时）</w:t>
      </w:r>
      <w:r>
        <w:rPr>
          <w:rFonts w:hint="eastAsia" w:asciiTheme="minorEastAsia" w:hAnsiTheme="minorEastAsia" w:eastAsiaTheme="minorEastAsia"/>
          <w:color w:val="auto"/>
          <w:kern w:val="0"/>
          <w:szCs w:val="21"/>
          <w:highlight w:val="none"/>
        </w:rPr>
        <w:t>等发生变更的，基金管理人应当按照基金业协会有关规定提交材料并履行变更手续。基金管理人发生上述重大登记信息变更期间募集资金的，基金管理人应当按照基金合同约定的方式向投资者揭示变更情况，以及可能存在无法完成变更登记和基金备案手续的合规风险。</w:t>
      </w:r>
    </w:p>
    <w:p w14:paraId="254AEC11">
      <w:pPr>
        <w:pStyle w:val="12"/>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13、产品架构所涉风险</w:t>
      </w:r>
    </w:p>
    <w:p w14:paraId="14B94A47">
      <w:pPr>
        <w:pStyle w:val="12"/>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根据本合同的份额分类安排，本基金按募集对象身份不同将基金份额分成</w:t>
      </w:r>
      <w:r>
        <w:rPr>
          <w:rFonts w:asciiTheme="minorEastAsia" w:hAnsiTheme="minorEastAsia" w:eastAsiaTheme="minorEastAsia"/>
          <w:color w:val="auto"/>
          <w:highlight w:val="none"/>
        </w:rPr>
        <w:t>A类份额</w:t>
      </w:r>
      <w:r>
        <w:rPr>
          <w:rFonts w:hint="eastAsia" w:asciiTheme="minorEastAsia" w:hAnsiTheme="minorEastAsia" w:eastAsiaTheme="minorEastAsia"/>
          <w:color w:val="auto"/>
          <w:highlight w:val="none"/>
        </w:rPr>
        <w:t>、B类份额、C类份额</w:t>
      </w:r>
      <w:r>
        <w:rPr>
          <w:rFonts w:asciiTheme="minorEastAsia" w:hAnsiTheme="minorEastAsia" w:eastAsiaTheme="minorEastAsia"/>
          <w:color w:val="auto"/>
          <w:highlight w:val="none"/>
        </w:rPr>
        <w:t>和</w:t>
      </w:r>
      <w:r>
        <w:rPr>
          <w:rFonts w:hint="eastAsia" w:asciiTheme="minorEastAsia" w:hAnsiTheme="minorEastAsia" w:eastAsiaTheme="minorEastAsia"/>
          <w:color w:val="auto"/>
          <w:highlight w:val="none"/>
        </w:rPr>
        <w:t>D</w:t>
      </w:r>
      <w:r>
        <w:rPr>
          <w:rFonts w:asciiTheme="minorEastAsia" w:hAnsiTheme="minorEastAsia" w:eastAsiaTheme="minorEastAsia"/>
          <w:color w:val="auto"/>
          <w:highlight w:val="none"/>
        </w:rPr>
        <w:t>类份额，</w:t>
      </w:r>
      <w:r>
        <w:rPr>
          <w:rFonts w:hint="eastAsia" w:asciiTheme="minorEastAsia" w:hAnsiTheme="minorEastAsia" w:eastAsiaTheme="minorEastAsia"/>
          <w:color w:val="auto"/>
          <w:highlight w:val="none"/>
        </w:rPr>
        <w:t>四</w:t>
      </w:r>
      <w:r>
        <w:rPr>
          <w:rFonts w:asciiTheme="minorEastAsia" w:hAnsiTheme="minorEastAsia" w:eastAsiaTheme="minorEastAsia"/>
          <w:color w:val="auto"/>
          <w:highlight w:val="none"/>
        </w:rPr>
        <w:t>类基金份额均存在不盈利甚至亏损的可能，投资者需了解对应份额的收费情况，因份额分类产生的相关风险以及自身认/申购的份额类别后选择参与。</w:t>
      </w:r>
    </w:p>
    <w:p w14:paraId="64F5FE04">
      <w:pPr>
        <w:pStyle w:val="12"/>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本基金的份额分类不是结构化分级，本基金管理人或托管人不对各类份额承诺最低收益、承诺本金不受损失，限定损失金额和比例。</w:t>
      </w:r>
    </w:p>
    <w:p w14:paraId="3314F9C4">
      <w:pPr>
        <w:pStyle w:val="12"/>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（二）一般风险揭示</w:t>
      </w:r>
    </w:p>
    <w:p w14:paraId="0B4B319A">
      <w:pPr>
        <w:pStyle w:val="12"/>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1、资金损失风险</w:t>
      </w:r>
    </w:p>
    <w:p w14:paraId="6B697AD2">
      <w:pPr>
        <w:pStyle w:val="12"/>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基金管理人依照恪尽职守、诚实信用、谨慎勤勉的原则管理和运用基金财产，但不保证基金财产中的认购资金本金不受损失，也不保证一定盈利及最低收益。</w:t>
      </w:r>
    </w:p>
    <w:p w14:paraId="06907A64">
      <w:pPr>
        <w:adjustRightInd w:val="0"/>
        <w:snapToGrid w:val="0"/>
        <w:spacing w:before="93" w:beforeLines="30" w:after="93" w:afterLines="30" w:line="360" w:lineRule="auto"/>
        <w:ind w:firstLine="422" w:firstLineChars="200"/>
        <w:rPr>
          <w:rFonts w:cs="宋体" w:asciiTheme="minorEastAsia" w:hAnsiTheme="minorEastAsia" w:eastAsiaTheme="minorEastAsia"/>
          <w:color w:val="auto"/>
          <w:kern w:val="0"/>
          <w:szCs w:val="21"/>
          <w:highlight w:val="none"/>
        </w:rPr>
      </w:pPr>
      <w:r>
        <w:rPr>
          <w:rFonts w:hint="eastAsia" w:cs="宋体" w:asciiTheme="minorEastAsia" w:hAnsiTheme="minorEastAsia" w:eastAsiaTheme="minorEastAsia"/>
          <w:b/>
          <w:bCs/>
          <w:color w:val="auto"/>
          <w:kern w:val="0"/>
          <w:szCs w:val="21"/>
          <w:highlight w:val="none"/>
        </w:rPr>
        <w:t>本基金风险等级为[R</w:t>
      </w:r>
      <w:r>
        <w:rPr>
          <w:rFonts w:cs="宋体" w:asciiTheme="minorEastAsia" w:hAnsiTheme="minorEastAsia" w:eastAsiaTheme="minorEastAsia"/>
          <w:b/>
          <w:bCs/>
          <w:color w:val="auto"/>
          <w:kern w:val="0"/>
          <w:szCs w:val="21"/>
          <w:highlight w:val="none"/>
        </w:rPr>
        <w:t>4</w:t>
      </w:r>
      <w:r>
        <w:rPr>
          <w:rFonts w:hint="eastAsia" w:cs="宋体" w:asciiTheme="minorEastAsia" w:hAnsiTheme="minorEastAsia" w:eastAsiaTheme="minorEastAsia"/>
          <w:b/>
          <w:bCs/>
          <w:color w:val="auto"/>
          <w:kern w:val="0"/>
          <w:szCs w:val="21"/>
          <w:highlight w:val="none"/>
        </w:rPr>
        <w:t>]，适合风险识别、评估、承受能力[C</w:t>
      </w:r>
      <w:r>
        <w:rPr>
          <w:rFonts w:cs="宋体" w:asciiTheme="minorEastAsia" w:hAnsiTheme="minorEastAsia" w:eastAsiaTheme="minorEastAsia"/>
          <w:b/>
          <w:bCs/>
          <w:color w:val="auto"/>
          <w:kern w:val="0"/>
          <w:szCs w:val="21"/>
          <w:highlight w:val="none"/>
        </w:rPr>
        <w:t>4</w:t>
      </w:r>
      <w:r>
        <w:rPr>
          <w:rFonts w:hint="eastAsia" w:cs="宋体" w:asciiTheme="minorEastAsia" w:hAnsiTheme="minorEastAsia" w:eastAsiaTheme="minorEastAsia"/>
          <w:b/>
          <w:bCs/>
          <w:color w:val="auto"/>
          <w:kern w:val="0"/>
          <w:szCs w:val="21"/>
          <w:highlight w:val="none"/>
        </w:rPr>
        <w:t>及以上]的普通投资者及专业投资者。</w:t>
      </w:r>
    </w:p>
    <w:p w14:paraId="7189A908">
      <w:pPr>
        <w:pStyle w:val="12"/>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2、基金运营风险</w:t>
      </w:r>
    </w:p>
    <w:p w14:paraId="3A732997">
      <w:pPr>
        <w:pStyle w:val="12"/>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基金管理人依据本合同约定管理和运用基金财产所产生的风险，由基金财产及投资者承担。投资者应充分知晓投资运营的相关风险，其风险应由投资者自担。</w:t>
      </w:r>
    </w:p>
    <w:p w14:paraId="547523E3">
      <w:pPr>
        <w:pStyle w:val="12"/>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3、募集失败风险</w:t>
      </w:r>
    </w:p>
    <w:p w14:paraId="2AC0C138">
      <w:pPr>
        <w:pStyle w:val="12"/>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本基金的成立需符合相关法律法规的规定，本基金可能存在不能满足成立条件从而无法成立的风险。</w:t>
      </w:r>
    </w:p>
    <w:p w14:paraId="42A73003">
      <w:pPr>
        <w:pStyle w:val="12"/>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基金管理人的责任承担方式：</w:t>
      </w:r>
    </w:p>
    <w:p w14:paraId="4163A927">
      <w:pPr>
        <w:pStyle w:val="12"/>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（1）以其固有财产承担因募集行为而产生的债务和费用；</w:t>
      </w:r>
    </w:p>
    <w:p w14:paraId="140803F1">
      <w:pPr>
        <w:pStyle w:val="12"/>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（2）在基金募集期限届满（确认基金无法成立）后三十日内返还投资人已交纳的款项，并加计银行同期存款利息。</w:t>
      </w:r>
    </w:p>
    <w:p w14:paraId="3D166CBF">
      <w:pPr>
        <w:pStyle w:val="12"/>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4、税收风险</w:t>
      </w:r>
    </w:p>
    <w:p w14:paraId="4271B53D">
      <w:pPr>
        <w:pStyle w:val="12"/>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契约型基金所适用的税收征管法律法规可能会由于国家相关税收政策调整而发生变化，投资者收益也可能因相关税收政策调整而受到影响。</w:t>
      </w:r>
    </w:p>
    <w:p w14:paraId="2A67ED56">
      <w:pPr>
        <w:pStyle w:val="12"/>
        <w:widowControl w:val="0"/>
        <w:numPr>
          <w:ilvl w:val="0"/>
          <w:numId w:val="1"/>
        </w:numPr>
        <w:adjustRightInd w:val="0"/>
        <w:snapToGrid w:val="0"/>
        <w:spacing w:before="93" w:beforeLines="30" w:after="93" w:afterLines="30" w:line="360" w:lineRule="auto"/>
        <w:ind w:firstLine="422" w:firstLineChars="200"/>
        <w:rPr>
          <w:rStyle w:val="11"/>
          <w:b/>
          <w:bCs/>
          <w:color w:val="auto"/>
          <w:highlight w:val="none"/>
        </w:rPr>
      </w:pPr>
      <w:r>
        <w:rPr>
          <w:rFonts w:hint="eastAsia" w:ascii="宋体" w:hAnsi="宋体"/>
          <w:b/>
          <w:bCs/>
          <w:color w:val="auto"/>
          <w:highlight w:val="none"/>
        </w:rPr>
        <w:t>基金产品的特定设计可能引起的特定风险</w:t>
      </w:r>
    </w:p>
    <w:p w14:paraId="33665D5A">
      <w:pPr>
        <w:spacing w:line="360" w:lineRule="auto"/>
        <w:ind w:firstLine="422" w:firstLineChars="200"/>
        <w:contextualSpacing/>
        <w:rPr>
          <w:rStyle w:val="11"/>
          <w:b/>
          <w:bCs/>
          <w:color w:val="auto"/>
          <w:highlight w:val="none"/>
        </w:rPr>
      </w:pPr>
      <w:r>
        <w:rPr>
          <w:rStyle w:val="11"/>
          <w:rFonts w:hint="eastAsia"/>
          <w:b/>
          <w:bCs/>
          <w:color w:val="auto"/>
          <w:highlight w:val="none"/>
        </w:rPr>
        <w:t>5.1使用虚拟净值进行估值的风险（如有）</w:t>
      </w:r>
    </w:p>
    <w:p w14:paraId="6D5807A8">
      <w:pPr>
        <w:spacing w:line="360" w:lineRule="auto"/>
        <w:ind w:firstLine="422" w:firstLineChars="200"/>
        <w:contextualSpacing/>
        <w:rPr>
          <w:rStyle w:val="11"/>
          <w:b/>
          <w:bCs/>
          <w:color w:val="auto"/>
          <w:highlight w:val="none"/>
        </w:rPr>
      </w:pPr>
      <w:r>
        <w:rPr>
          <w:rStyle w:val="11"/>
          <w:rFonts w:hint="eastAsia"/>
          <w:b/>
          <w:bCs/>
          <w:color w:val="auto"/>
          <w:highlight w:val="none"/>
        </w:rPr>
        <w:t>当本基金投资场外</w:t>
      </w:r>
      <w:r>
        <w:rPr>
          <w:rFonts w:hint="eastAsia" w:ascii="宋体" w:hAnsi="宋体"/>
          <w:b/>
          <w:bCs/>
          <w:color w:val="auto"/>
          <w:szCs w:val="21"/>
          <w:highlight w:val="none"/>
        </w:rPr>
        <w:t>资产管理产品</w:t>
      </w:r>
      <w:r>
        <w:rPr>
          <w:rStyle w:val="11"/>
          <w:rFonts w:hint="eastAsia"/>
          <w:b/>
          <w:bCs/>
          <w:color w:val="auto"/>
          <w:highlight w:val="none"/>
        </w:rPr>
        <w:t>时，由于场外</w:t>
      </w:r>
      <w:r>
        <w:rPr>
          <w:rFonts w:hint="eastAsia" w:ascii="宋体" w:hAnsi="宋体"/>
          <w:b/>
          <w:bCs/>
          <w:color w:val="auto"/>
          <w:szCs w:val="21"/>
          <w:highlight w:val="none"/>
        </w:rPr>
        <w:t>资产管理产品</w:t>
      </w:r>
      <w:r>
        <w:rPr>
          <w:rStyle w:val="11"/>
          <w:rFonts w:hint="eastAsia"/>
          <w:b/>
          <w:bCs/>
          <w:color w:val="auto"/>
          <w:highlight w:val="none"/>
        </w:rPr>
        <w:t>份额净值中包含了应当计提但是未支付的业绩报酬，采用份额净值对本基金资产进行估值可能无法准确地反映本基金的真实资产价值，因此，私募基金管理人可视基金实际运作情况，使用虚拟单位净值对该等场外资产管理产品进行估值。</w:t>
      </w:r>
    </w:p>
    <w:p w14:paraId="2F0A50F0">
      <w:pPr>
        <w:spacing w:line="360" w:lineRule="auto"/>
        <w:ind w:firstLine="422" w:firstLineChars="200"/>
        <w:contextualSpacing/>
        <w:rPr>
          <w:rStyle w:val="11"/>
          <w:b/>
          <w:bCs/>
          <w:color w:val="auto"/>
          <w:highlight w:val="none"/>
        </w:rPr>
      </w:pPr>
      <w:r>
        <w:rPr>
          <w:rStyle w:val="11"/>
          <w:rFonts w:hint="eastAsia"/>
          <w:b/>
          <w:bCs/>
          <w:color w:val="auto"/>
          <w:highlight w:val="none"/>
        </w:rPr>
        <w:t>由于虚拟单位净值的真实性、准确性、完整性依赖于场外</w:t>
      </w:r>
      <w:r>
        <w:rPr>
          <w:rFonts w:hint="eastAsia" w:ascii="宋体" w:hAnsi="宋体"/>
          <w:b/>
          <w:bCs/>
          <w:color w:val="auto"/>
          <w:szCs w:val="21"/>
          <w:highlight w:val="none"/>
        </w:rPr>
        <w:t>资产管理产品</w:t>
      </w:r>
      <w:r>
        <w:rPr>
          <w:rStyle w:val="11"/>
          <w:rFonts w:hint="eastAsia"/>
          <w:b/>
          <w:bCs/>
          <w:color w:val="auto"/>
          <w:highlight w:val="none"/>
        </w:rPr>
        <w:t>相关基础数据的真实性、准确性、完整性，若场外资产管理产品之托管人、服务机构、管理人以及本基金之管理人未及时提供真实、准确、完整的虚拟单位净值或估值材料，可能发生该等虚拟单位净值存在错误或延迟，从而影响本基金的单位净值。</w:t>
      </w:r>
    </w:p>
    <w:p w14:paraId="048C3DD6">
      <w:pPr>
        <w:pStyle w:val="12"/>
        <w:widowControl w:val="0"/>
        <w:numPr>
          <w:ilvl w:val="255"/>
          <w:numId w:val="0"/>
        </w:numPr>
        <w:adjustRightInd w:val="0"/>
        <w:snapToGrid w:val="0"/>
        <w:spacing w:before="93" w:beforeLines="30" w:after="93" w:afterLines="30" w:line="360" w:lineRule="auto"/>
        <w:ind w:firstLine="422" w:firstLineChars="200"/>
        <w:rPr>
          <w:rStyle w:val="11"/>
          <w:color w:val="auto"/>
          <w:kern w:val="2"/>
          <w:highlight w:val="none"/>
        </w:rPr>
      </w:pPr>
      <w:r>
        <w:rPr>
          <w:rStyle w:val="11"/>
          <w:rFonts w:hint="eastAsia"/>
          <w:b/>
          <w:bCs/>
          <w:color w:val="auto"/>
          <w:highlight w:val="none"/>
        </w:rPr>
        <w:t>由于虚拟单位净值需要将场外</w:t>
      </w:r>
      <w:r>
        <w:rPr>
          <w:rFonts w:hint="eastAsia" w:ascii="宋体" w:hAnsi="宋体"/>
          <w:b/>
          <w:bCs/>
          <w:color w:val="auto"/>
          <w:highlight w:val="none"/>
        </w:rPr>
        <w:t>资产管理产品</w:t>
      </w:r>
      <w:r>
        <w:rPr>
          <w:rStyle w:val="11"/>
          <w:rFonts w:hint="eastAsia"/>
          <w:b/>
          <w:bCs/>
          <w:color w:val="auto"/>
          <w:highlight w:val="none"/>
        </w:rPr>
        <w:t>份额净值扣除估值当日预计内含的业绩报酬（如有），因此采用虚拟单位净值估值后的单位净值将低于之前按照基金份额净值估值的单位净值。</w:t>
      </w:r>
    </w:p>
    <w:p w14:paraId="1101A281">
      <w:pPr>
        <w:pStyle w:val="12"/>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asciiTheme="minorEastAsia" w:hAnsiTheme="minorEastAsia" w:eastAsiaTheme="minorEastAsia"/>
          <w:b/>
          <w:bCs/>
          <w:color w:val="auto"/>
          <w:highlight w:val="none"/>
        </w:rPr>
        <w:t>6</w:t>
      </w:r>
      <w:r>
        <w:rPr>
          <w:rFonts w:hint="eastAsia" w:asciiTheme="minorEastAsia" w:hAnsiTheme="minorEastAsia" w:eastAsiaTheme="minorEastAsia"/>
          <w:b/>
          <w:bCs/>
          <w:color w:val="auto"/>
          <w:highlight w:val="none"/>
        </w:rPr>
        <w:t>、其他风险</w:t>
      </w:r>
    </w:p>
    <w:p w14:paraId="6380E9F5">
      <w:pPr>
        <w:pStyle w:val="12"/>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包括但不限于法律与政策风险、发生不可抗力事件的风险、技术风险和操作风险等。</w:t>
      </w:r>
    </w:p>
    <w:p w14:paraId="67FB8C9A">
      <w:pPr>
        <w:pStyle w:val="12"/>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kern w:val="2"/>
          <w:highlight w:val="none"/>
        </w:rPr>
      </w:pPr>
      <w:r>
        <w:rPr>
          <w:rFonts w:hint="eastAsia" w:asciiTheme="minorEastAsia" w:hAnsiTheme="minorEastAsia" w:eastAsiaTheme="minorEastAsia"/>
          <w:b/>
          <w:bCs/>
          <w:color w:val="auto"/>
          <w:kern w:val="2"/>
          <w:highlight w:val="none"/>
        </w:rPr>
        <w:t>（三）基金投资风险揭示</w:t>
      </w:r>
    </w:p>
    <w:p w14:paraId="1E1A7031">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1、市场风险</w:t>
      </w:r>
    </w:p>
    <w:p w14:paraId="0741005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证券市场价格因受各种因素的影响而引起的波动，将使基金资产面临潜在的风险。市场风险包括但不限于股票投资风险、债券投资风险、新三板市场投资风险等。</w:t>
      </w:r>
    </w:p>
    <w:p w14:paraId="150B1820">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（1）股票投资风险主要包括：</w:t>
      </w:r>
    </w:p>
    <w:p w14:paraId="43078E9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1）国家货币政策、财政政策、产业政策等的变化对证券市场产生一定的影响，导致市场价格水平波动的风险；</w:t>
      </w:r>
    </w:p>
    <w:p w14:paraId="7CF3236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2）宏观经济运行周期性波动，对股票市场的收益水平产生影响的风险；</w:t>
      </w:r>
    </w:p>
    <w:p w14:paraId="5ADB300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3）上市公司的经营状况受多种因素影响，如市场、技术、竞争、管理、财务等都会导致公司盈利发生变化，从而导致股票价格变动的风险；</w:t>
      </w:r>
    </w:p>
    <w:p w14:paraId="365A084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4）全面实行股票发行注册制后，主板股票发行、上市、交易、持续监管等相关制度安排发生一定变化，投资者应当充分知悉并关注相关规则及风险。</w:t>
      </w:r>
    </w:p>
    <w:p w14:paraId="02F8802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全面注册制下，科创板、创业板、北交所股票发行在上市门槛、公司盈利能力、发行价格、减持制度、交易机制、涨跌幅限制以及退市制度等方面与其他A股板块的股票不同，可能导致本基金净值波动更大，投资者应当充分知悉并关注各板块相关规则及风险。</w:t>
      </w:r>
    </w:p>
    <w:p w14:paraId="15285937">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（2）债券投资风险主要包括：</w:t>
      </w:r>
    </w:p>
    <w:p w14:paraId="0328E1E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1）市场平均利率水平变化导致债券价格变化的风险；</w:t>
      </w:r>
    </w:p>
    <w:p w14:paraId="6553759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2）债券市场不同期限、不同类属债券之间的利差变动导致相应期限和类属债券价格变化的风险；</w:t>
      </w:r>
    </w:p>
    <w:p w14:paraId="7339F54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3）债券之发行人出现违约、拒绝支付到期本息，或由于债券发行人信用质量降低导致债券价格下降的风险。</w:t>
      </w:r>
    </w:p>
    <w:p w14:paraId="5E7978F7">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（3）新三板市场</w:t>
      </w:r>
      <w:r>
        <w:rPr>
          <w:rFonts w:ascii="宋体" w:hAnsi="宋体"/>
          <w:b/>
          <w:bCs/>
          <w:color w:val="auto"/>
          <w:highlight w:val="none"/>
        </w:rPr>
        <w:t>挂牌公司</w:t>
      </w:r>
      <w:r>
        <w:rPr>
          <w:rFonts w:hint="eastAsia" w:ascii="宋体" w:hAnsi="宋体"/>
          <w:b/>
          <w:bCs/>
          <w:color w:val="auto"/>
          <w:highlight w:val="none"/>
        </w:rPr>
        <w:t>股票</w:t>
      </w:r>
      <w:r>
        <w:rPr>
          <w:rFonts w:hint="eastAsia" w:asciiTheme="minorEastAsia" w:hAnsiTheme="minorEastAsia" w:eastAsiaTheme="minorEastAsia"/>
          <w:b/>
          <w:bCs/>
          <w:color w:val="auto"/>
          <w:szCs w:val="21"/>
          <w:highlight w:val="none"/>
        </w:rPr>
        <w:t>投资风险（如有）主要包括：</w:t>
      </w:r>
    </w:p>
    <w:p w14:paraId="48A2191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本基金如可参与新三板市场挂牌公司股票投资，除面临股票的共有投资风险外，还存在包括但不限于如下特定风险：</w:t>
      </w:r>
    </w:p>
    <w:p w14:paraId="55926F8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流动性不足的风险。就目前情况而言，新三板市场交易量较小，流动性较差，可能存在建仓时间较长的情况，同时，由于挂牌公司股票变现过程中可能无法找到合适的交易对手，新三板公司股票卖出价格可能较低或无法及时卖出，导致本基金投资本金遭受较大幅度的损失，进而导致投资者面临投资本金遭受较大亏损的风险。</w:t>
      </w:r>
    </w:p>
    <w:p w14:paraId="12838E9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2）净值波幅较大的风险。因目前新三板交易量较小，主要以协议转让和做市转让为主，且无涨跌幅限制，估值数据可能出现较大波幅。</w:t>
      </w:r>
    </w:p>
    <w:p w14:paraId="39E1750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公司风险。部分挂牌公司具有规模较小，对单一技术依赖度较高，受技术更新换代影响较大；对核心技术人员依赖度较高；客户集中度高，议价能力不强等特点。部分公司抗市场风险和行业风险的能力较弱，业务收入可能波动较大。</w:t>
      </w:r>
    </w:p>
    <w:p w14:paraId="2A20C35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4）信息风险。挂牌公司信息披露要求和标准与上市公司存在差异，除挂牌公司所披露的信息外，投资者还需认真获取和研判其他信息，审慎做出投资决策。</w:t>
      </w:r>
    </w:p>
    <w:p w14:paraId="34CE78C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两网公司及退市公司股票投资的风险。本基金如参与两网公司及退市公司股票投资，将面临包括但不限于宏观风险、政策风险、经营风险、技术风险、不可抗力因素风险、退市公司风险等特殊风险，可能导致本基金投资本金面临巨大损失。</w:t>
      </w:r>
    </w:p>
    <w:p w14:paraId="5FF4400A">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2、基金管理人管理风险</w:t>
      </w:r>
    </w:p>
    <w:p w14:paraId="3B82011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在实际操作过程中，基金管理人可能限于知识、技术、经验等因素而影响其对相关信息、经济形势和证券价格走势的判断，其精选出的投资品种的业绩表现不一定持续优于其他投资品种。</w:t>
      </w:r>
    </w:p>
    <w:p w14:paraId="2CDC7390">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3、流动性风险</w:t>
      </w:r>
    </w:p>
    <w:p w14:paraId="2671679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在市场或个股流动性不足的情况下，基金管理人可能无法迅速、低成本地调整投资计划，从而对基金收益造成不利影响。</w:t>
      </w:r>
    </w:p>
    <w:p w14:paraId="696F06E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在基金份额持有人提出追加或减少基金财产时，可能存在现金不足的风险和现金过多带来的收益下降风险。</w:t>
      </w:r>
    </w:p>
    <w:p w14:paraId="42C3A1C2">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4、信用风险</w:t>
      </w:r>
    </w:p>
    <w:p w14:paraId="6A7B287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本基金交易对手方发生交易违约或者基金持仓债券的发行人拒绝支付债券本息，导致基金财产损失。</w:t>
      </w:r>
    </w:p>
    <w:p w14:paraId="602F8D04">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5、金融衍生品及资产管理产品投资风险（如有）</w:t>
      </w:r>
    </w:p>
    <w:p w14:paraId="29BF7FCB">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w:t>
      </w:r>
      <w:r>
        <w:rPr>
          <w:rFonts w:asciiTheme="minorEastAsia" w:hAnsiTheme="minorEastAsia" w:eastAsiaTheme="minorEastAsia"/>
          <w:b/>
          <w:bCs/>
          <w:color w:val="auto"/>
          <w:szCs w:val="21"/>
          <w:highlight w:val="none"/>
        </w:rPr>
        <w:t>期货投资风险</w:t>
      </w:r>
    </w:p>
    <w:p w14:paraId="0CE2531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1）流动性风险</w:t>
      </w:r>
    </w:p>
    <w:p w14:paraId="5B7B6AD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在期货市场成交不活跃时，可能在建仓和平仓期货时面临交易价格或者交易数量上的风险。</w:t>
      </w:r>
    </w:p>
    <w:p w14:paraId="7029DDC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2）基差风险</w:t>
      </w:r>
    </w:p>
    <w:p w14:paraId="0CB045E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基差是指现货价格与期货价格之间的差额。若产品运作中出现基差波动不确定性加大、基差向不利方向变动等情况，则可能对本基金投资产生影响。</w:t>
      </w:r>
    </w:p>
    <w:p w14:paraId="362CA97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3）合约展期风险</w:t>
      </w:r>
    </w:p>
    <w:p w14:paraId="15961E4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期货合约主要包括期货当月和近月合约。当基金所持有的合约临近交割期限，即需要向较远月份的合约进行展期，展期过程中可能发生价差损失以及交易成本损失，将对投资收益产生影响。</w:t>
      </w:r>
    </w:p>
    <w:p w14:paraId="0ECE135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4）期货保证金不足风险</w:t>
      </w:r>
    </w:p>
    <w:p w14:paraId="2E9607C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由于期货价格朝不利方向变动，导致期货账户的资金低于期货交易所或者期货经纪商的最低保证金要求，如果不能及时补充保证金，期货头寸将被强行平仓，导致无法规避对冲系统性风险，直接影响本基金收益水平，从而产生风险。</w:t>
      </w:r>
    </w:p>
    <w:p w14:paraId="5B0E9EE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5）杠杆风险</w:t>
      </w:r>
    </w:p>
    <w:p w14:paraId="201D110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期货作为金融衍生品，其投资收益与风险具有杠杆效应。若行情向不利方向剧烈变动，本基金可能承受超出保证金甚至基金资产本金的损失。</w:t>
      </w:r>
    </w:p>
    <w:p w14:paraId="043FDD4B">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（2）利率互换风险（如有）</w:t>
      </w:r>
    </w:p>
    <w:p w14:paraId="6204496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利率互换交易的风险主要来自于两个方面，一是内部风险，二是外部风险。内部风险</w:t>
      </w:r>
      <w:r>
        <w:rPr>
          <w:rFonts w:hint="eastAsia" w:asciiTheme="minorEastAsia" w:hAnsiTheme="minorEastAsia" w:eastAsiaTheme="minorEastAsia"/>
          <w:color w:val="auto"/>
          <w:szCs w:val="21"/>
          <w:highlight w:val="none"/>
        </w:rPr>
        <w:t>主要是由于基金管理人</w:t>
      </w:r>
      <w:r>
        <w:rPr>
          <w:rFonts w:asciiTheme="minorEastAsia" w:hAnsiTheme="minorEastAsia" w:eastAsiaTheme="minorEastAsia"/>
          <w:color w:val="auto"/>
          <w:szCs w:val="21"/>
          <w:highlight w:val="none"/>
        </w:rPr>
        <w:t>对市场预测不当，导致</w:t>
      </w:r>
      <w:r>
        <w:rPr>
          <w:rFonts w:hint="eastAsia" w:asciiTheme="minorEastAsia" w:hAnsiTheme="minorEastAsia" w:eastAsiaTheme="minorEastAsia"/>
          <w:color w:val="auto"/>
          <w:szCs w:val="21"/>
          <w:highlight w:val="none"/>
        </w:rPr>
        <w:t>的投资决策</w:t>
      </w:r>
      <w:r>
        <w:rPr>
          <w:rFonts w:asciiTheme="minorEastAsia" w:hAnsiTheme="minorEastAsia" w:eastAsiaTheme="minorEastAsia"/>
          <w:color w:val="auto"/>
          <w:szCs w:val="21"/>
          <w:highlight w:val="none"/>
        </w:rPr>
        <w:t>风险</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外部风险包括</w:t>
      </w:r>
      <w:r>
        <w:rPr>
          <w:rFonts w:hint="eastAsia" w:asciiTheme="minorEastAsia" w:hAnsiTheme="minorEastAsia" w:eastAsiaTheme="minorEastAsia"/>
          <w:color w:val="auto"/>
          <w:szCs w:val="21"/>
          <w:highlight w:val="none"/>
        </w:rPr>
        <w:t>交易对手无法履行利率互换协议，引发</w:t>
      </w:r>
      <w:r>
        <w:rPr>
          <w:rFonts w:asciiTheme="minorEastAsia" w:hAnsiTheme="minorEastAsia" w:eastAsiaTheme="minorEastAsia"/>
          <w:color w:val="auto"/>
          <w:szCs w:val="21"/>
          <w:highlight w:val="none"/>
        </w:rPr>
        <w:t>交易违约的信用风险，金融标的价格不利变动</w:t>
      </w:r>
      <w:r>
        <w:rPr>
          <w:rFonts w:hint="eastAsia" w:asciiTheme="minorEastAsia" w:hAnsiTheme="minorEastAsia" w:eastAsiaTheme="minorEastAsia"/>
          <w:color w:val="auto"/>
          <w:szCs w:val="21"/>
          <w:highlight w:val="none"/>
        </w:rPr>
        <w:t>导致</w:t>
      </w:r>
      <w:r>
        <w:rPr>
          <w:rFonts w:asciiTheme="minorEastAsia" w:hAnsiTheme="minorEastAsia" w:eastAsiaTheme="minorEastAsia"/>
          <w:color w:val="auto"/>
          <w:szCs w:val="21"/>
          <w:highlight w:val="none"/>
        </w:rPr>
        <w:t>的价格风险，市场供求失衡、交易不畅导致的流动性风险等。</w:t>
      </w:r>
    </w:p>
    <w:p w14:paraId="631A4C23">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（3）场外衍生品风险（如有）</w:t>
      </w:r>
    </w:p>
    <w:p w14:paraId="4C5C679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1）政策风险</w:t>
      </w:r>
    </w:p>
    <w:p w14:paraId="1857259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场外衍生品（包括互换、场外期权）属于创新业务，监管部门可视业务的开展情况对相关政策和规定进行调整，引起场外衍生品（包括互换、场外期权）业务相关规定、运作方式变化或者证券市场波动，从而给投资者带来损失的风险。</w:t>
      </w:r>
    </w:p>
    <w:p w14:paraId="2E7204D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2）市场风险</w:t>
      </w:r>
    </w:p>
    <w:p w14:paraId="0ED5E73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市场风险是指由于场外衍生品（包括互换、场外期权）中挂钩标的的市场价格、市场利率、波动率或相关性等因素的变化，导致投资者收益不确定的风险。</w:t>
      </w:r>
    </w:p>
    <w:p w14:paraId="5FCF8B0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3）交易对手不能履约的风险</w:t>
      </w:r>
    </w:p>
    <w:p w14:paraId="7EB98A6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交易对手因停业、解散、撤销、破产，或者被有权机构撤销相关业务许可、责令停业整顿等原因不能履行场外衍生品（包括互换、场外期权）中约定的义务，可能给投资者带来损失的风险。</w:t>
      </w:r>
    </w:p>
    <w:p w14:paraId="09A507E1">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（4）投资资产管理产品风险（如有）</w:t>
      </w:r>
    </w:p>
    <w:p w14:paraId="0CA7BB9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部分资产将配置于金融监管部门批准或备案发行的国务院金融监督管理机构监管的机构发行的资产管理产品（包括投资于证券的私募基金、基金及基金子公司发行的资产管理计划、证券公司资产管理计划、保险资管计划、期货资管计划、商业银行理财产品、证券投资基金等），投资上述资产管理产品可能因下列特定风险因素给本计划造成不利影响，请投资者知悉。</w:t>
      </w:r>
    </w:p>
    <w:p w14:paraId="7A72A8D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1）资产管理产品管理人风险</w:t>
      </w:r>
    </w:p>
    <w:p w14:paraId="0E7A518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资产管理产品管理人风险包括管理人经营风险和操作风险。经营风险是指因管理能力、财务状况、行业竞争、人员素质、内控等因素导致公司经营不善，极端情况下甚至破产倒闭，可能对其管理人的产品业绩造成不利影响。另外，对于约定了止损条款的资产管理产品，可能因管理人未及时操作导致产品损失扩大的风险。</w:t>
      </w:r>
    </w:p>
    <w:p w14:paraId="011C238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2）资产管理产品投资风险</w:t>
      </w:r>
    </w:p>
    <w:p w14:paraId="03829DB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本基金所投资的资产管理产品可能由于其管理人对市场判断失误、买入标的市场表现不佳、风险控制失效等原因造成产品净值的下降，从而造成本基金净值下降，最终导致本基金投资者资产损失。</w:t>
      </w:r>
    </w:p>
    <w:p w14:paraId="1C7B82A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3）策略模型风险</w:t>
      </w:r>
    </w:p>
    <w:p w14:paraId="670820C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在实际运作中，因资产管理产品的投资经理变更导致模型无法有效运作，开发的策略或模型不再有效或者在运作过程中与产品期初投资策略和投资风格发生偏离，进而影响产品投资业绩。</w:t>
      </w:r>
    </w:p>
    <w:p w14:paraId="5077EEF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4）关联交易风险</w:t>
      </w:r>
    </w:p>
    <w:p w14:paraId="4B69433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本基金所投资的底层私募权益类标的可能会涉及全市场股票、ETF基金、可转债等。实际底层私募投资过程中，不排除涉及关联关系公司的关联交易。</w:t>
      </w:r>
    </w:p>
    <w:p w14:paraId="0FCAF97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5）赎回资产管理产品面临的流动性风险</w:t>
      </w:r>
    </w:p>
    <w:p w14:paraId="166C0FB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因本基金投资者退出或资产配置调整需要，管理人赎回所投资的资产管理产品时，可能面临资产管理产品不在开放期，也可能面临资产管理产品触发大额赎回或巨额赎回条款，从而导致赎回资金延迟到账的风险。</w:t>
      </w:r>
    </w:p>
    <w:p w14:paraId="41BE774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6）投资资产管理产品可能面临双层收费的风险</w:t>
      </w:r>
    </w:p>
    <w:p w14:paraId="7EEE1BB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投资者需要承担双层费用，即本基金费用及本基金所投资的资产管理产品自身需要承担费用。本基金所投资的资产管理产品自身需要承担费用包括资产管理产品的管理费、托管费、基金服务费、业绩报酬（如有）、认购费（如有）、赎回费（如有）等，以上费用在计提时将会扣减资产管理产品的资产净值，从而造成本基金净值下降。</w:t>
      </w:r>
    </w:p>
    <w:p w14:paraId="7EE5A42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7）底层资产管理产品提取业绩报酬对本基金净值造成下跌的风险</w:t>
      </w:r>
    </w:p>
    <w:p w14:paraId="1773FF3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如按照资产管理产品虚拟计提业绩报酬后的单位净值进行估值，若投资的资产管理产品未能提供的，可按产品的单位净值进行估值。本基金投资多个资产管理产品，每个资产管理产品在业绩报酬计提方式、业绩报酬计提时间以及产品估值时间与本基金层面可能不一致。对于按照底层资产管理产品的单位净值进行估值的，当底层资产管理产品提取业绩报酬后造成本基金净值下降、投资者持有本基金份额期间收益下降的风险。</w:t>
      </w:r>
    </w:p>
    <w:p w14:paraId="1D1557A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8）封闭运作流动受限、预约退出安排的风险</w:t>
      </w:r>
    </w:p>
    <w:p w14:paraId="36EEE4D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本基金定期开放申购和赎回，非开放日投资人不能参与、退出。若投资人未能在按照合同约定方式在该日退出，则投资人需持有至下一个退出日。</w:t>
      </w:r>
    </w:p>
    <w:p w14:paraId="5094F6D4">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6、特定的投资方法及基金财产所投资的特定投资对象可能引起的特定风险</w:t>
      </w:r>
    </w:p>
    <w:p w14:paraId="32DF749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本基金采取的投资策略可能存在使基金收益不能达到投资目标或者本金损失的风险。</w:t>
      </w:r>
    </w:p>
    <w:p w14:paraId="6937454F">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7、操作或技术风险</w:t>
      </w:r>
    </w:p>
    <w:p w14:paraId="66F961A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相关当事人在业务各环节操作过程中，因内部控制存在缺陷或者人为因素造成操作失误或违反操作规程等引致的风险，例如，越权违规交易、会计部门欺诈、交易错误、IT系统故障等风险。</w:t>
      </w:r>
    </w:p>
    <w:p w14:paraId="0D28FBA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基金的各种交易行为或者后台运作中，可能因为技术系统的故障或者差错而影响交易的正常进行或者导致基金份额持有人的利益受到影响。这种技术风险可能来自基金管理公司、基金服务机构、募集机构、证券交易所、证券注册登记机构等。</w:t>
      </w:r>
    </w:p>
    <w:p w14:paraId="42E1E2CF">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8、基金本身面临的风险</w:t>
      </w:r>
    </w:p>
    <w:p w14:paraId="07F07193">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（1）法律及违约风险</w:t>
      </w:r>
    </w:p>
    <w:p w14:paraId="688FA42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在本基金的运作过程中，因基金管理人、基金托管人、证券经纪机构等合作方违反国家法律规定或者相关合同约定而可能对基金财产带来风险。</w:t>
      </w:r>
    </w:p>
    <w:p w14:paraId="1380BE4D">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（2）购买力风险</w:t>
      </w:r>
    </w:p>
    <w:p w14:paraId="541974E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本基金的目的是基金财产的增值，如果发生通货膨胀，则投资于证券所获得的收益可能会被通货膨胀抵消，从而影响到基金财产的增值。</w:t>
      </w:r>
    </w:p>
    <w:p w14:paraId="0B499A22">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（3）管理人不能承诺基金利益的风险</w:t>
      </w:r>
    </w:p>
    <w:p w14:paraId="572A8C0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基金利益受多项因素影响，包括证券市场价格波动、投资操作水平、国家政策变化等，基金既有盈利的可能，亦存在亏损的可能。根据相关法律法规规定，管理人不对基金的投资者作出保证本金及其收益的承诺。</w:t>
      </w:r>
    </w:p>
    <w:p w14:paraId="311B0E8C">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（4）基金终止的风险</w:t>
      </w:r>
    </w:p>
    <w:p w14:paraId="1A78EC3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如果发生本合同所规定的基金终止的情形，管理人将卖出基金财产所投资之全部品种，并终止基金，由此可能导致基金财产遭受损失。</w:t>
      </w:r>
    </w:p>
    <w:p w14:paraId="607F6863">
      <w:pPr>
        <w:adjustRightInd w:val="0"/>
        <w:snapToGrid w:val="0"/>
        <w:spacing w:before="93" w:beforeLines="30" w:after="93" w:afterLines="30" w:line="360" w:lineRule="auto"/>
        <w:ind w:firstLine="422" w:firstLineChars="200"/>
        <w:rPr>
          <w:rFonts w:ascii="宋体" w:hAnsi="宋体" w:cstheme="minorBidi"/>
          <w:b/>
          <w:bCs/>
          <w:color w:val="auto"/>
          <w:szCs w:val="21"/>
          <w:highlight w:val="none"/>
        </w:rPr>
      </w:pPr>
      <w:r>
        <w:rPr>
          <w:rFonts w:hint="eastAsia" w:ascii="宋体" w:hAnsi="宋体" w:cstheme="minorBidi"/>
          <w:b/>
          <w:bCs/>
          <w:color w:val="auto"/>
          <w:szCs w:val="21"/>
          <w:highlight w:val="none"/>
        </w:rPr>
        <w:t>（5）基金未设预警止损线的风险</w:t>
      </w:r>
    </w:p>
    <w:p w14:paraId="336374A7">
      <w:pPr>
        <w:adjustRightInd w:val="0"/>
        <w:snapToGrid w:val="0"/>
        <w:spacing w:before="93" w:beforeLines="30" w:after="93" w:afterLines="30" w:line="360" w:lineRule="auto"/>
        <w:ind w:firstLine="420" w:firstLineChars="200"/>
        <w:rPr>
          <w:rFonts w:ascii="宋体" w:hAnsi="宋体" w:cstheme="minorBidi"/>
          <w:color w:val="auto"/>
          <w:szCs w:val="21"/>
          <w:highlight w:val="none"/>
        </w:rPr>
      </w:pPr>
      <w:r>
        <w:rPr>
          <w:rFonts w:hint="eastAsia" w:ascii="宋体" w:hAnsi="宋体" w:cstheme="minorBidi"/>
          <w:color w:val="auto"/>
          <w:szCs w:val="21"/>
          <w:highlight w:val="none"/>
        </w:rPr>
        <w:t>本基金未设预警止损线，在极端情况下，基金投资者投入的本金有可能出现全部损失的风险。</w:t>
      </w:r>
    </w:p>
    <w:p w14:paraId="45DD863E">
      <w:pPr>
        <w:tabs>
          <w:tab w:val="left" w:pos="3402"/>
        </w:tabs>
        <w:spacing w:line="360" w:lineRule="auto"/>
        <w:ind w:firstLine="422" w:firstLineChars="200"/>
        <w:contextualSpacing/>
        <w:rPr>
          <w:rFonts w:ascii="宋体" w:hAnsi="宋体"/>
          <w:bCs/>
          <w:color w:val="auto"/>
          <w:szCs w:val="21"/>
          <w:highlight w:val="none"/>
        </w:rPr>
      </w:pPr>
      <w:r>
        <w:rPr>
          <w:rFonts w:hint="eastAsia" w:ascii="宋体" w:hAnsi="宋体"/>
          <w:b/>
          <w:color w:val="auto"/>
          <w:szCs w:val="21"/>
          <w:highlight w:val="none"/>
        </w:rPr>
        <w:t>（6）基金份额类别设置所涉风险</w:t>
      </w:r>
    </w:p>
    <w:p w14:paraId="5921EABD">
      <w:pPr>
        <w:tabs>
          <w:tab w:val="left" w:pos="3402"/>
        </w:tabs>
        <w:spacing w:line="360" w:lineRule="auto"/>
        <w:ind w:firstLine="422" w:firstLineChars="200"/>
        <w:contextualSpacing/>
        <w:rPr>
          <w:rStyle w:val="11"/>
          <w:rFonts w:ascii="宋体" w:hAnsi="宋体"/>
          <w:b/>
          <w:color w:val="auto"/>
          <w:highlight w:val="none"/>
        </w:rPr>
      </w:pPr>
      <w:r>
        <w:rPr>
          <w:rStyle w:val="11"/>
          <w:rFonts w:hint="eastAsia" w:ascii="宋体" w:hAnsi="宋体"/>
          <w:b/>
          <w:color w:val="auto"/>
          <w:highlight w:val="none"/>
        </w:rPr>
        <w:t>本基金对基金份额进行分类，不同类别基金份额间的主要差异详见“基金的基本情况”章节之“基金的份额分类”，由此可能造成各类别基金份额净值不一样的情况。</w:t>
      </w:r>
    </w:p>
    <w:p w14:paraId="040FD00F">
      <w:pPr>
        <w:tabs>
          <w:tab w:val="left" w:pos="3402"/>
        </w:tabs>
        <w:spacing w:line="360" w:lineRule="auto"/>
        <w:ind w:firstLine="422" w:firstLineChars="200"/>
        <w:contextualSpacing/>
        <w:rPr>
          <w:rStyle w:val="11"/>
          <w:rFonts w:ascii="宋体" w:hAnsi="宋体"/>
          <w:b/>
          <w:color w:val="auto"/>
          <w:highlight w:val="none"/>
        </w:rPr>
      </w:pPr>
      <w:r>
        <w:rPr>
          <w:rStyle w:val="11"/>
          <w:rFonts w:hint="eastAsia" w:ascii="宋体" w:hAnsi="宋体"/>
          <w:b/>
          <w:color w:val="auto"/>
          <w:highlight w:val="none"/>
        </w:rPr>
        <w:t>本基金的份额分类不是结构化分级，不存在一类份额为其他类份额提供风险补偿的情形。本基金成立时或运行过程中可能有并不存在某类份额的情况。投资者应当充分了解本基金份额类别的相关设置，防止因误解各类份额的性质而影响投资决策。</w:t>
      </w:r>
    </w:p>
    <w:p w14:paraId="430E7AE8">
      <w:pPr>
        <w:adjustRightInd w:val="0"/>
        <w:snapToGrid w:val="0"/>
        <w:spacing w:before="93" w:beforeLines="30" w:after="93" w:afterLines="30" w:line="360" w:lineRule="auto"/>
        <w:ind w:firstLine="422" w:firstLineChars="200"/>
        <w:rPr>
          <w:rFonts w:ascii="宋体" w:hAnsi="宋体" w:cstheme="minorBidi"/>
          <w:b/>
          <w:bCs/>
          <w:color w:val="auto"/>
          <w:szCs w:val="21"/>
          <w:highlight w:val="none"/>
        </w:rPr>
      </w:pPr>
      <w:r>
        <w:rPr>
          <w:rFonts w:hint="eastAsia" w:ascii="宋体" w:hAnsi="宋体" w:cstheme="minorBidi"/>
          <w:b/>
          <w:bCs/>
          <w:color w:val="auto"/>
          <w:szCs w:val="21"/>
          <w:highlight w:val="none"/>
        </w:rPr>
        <w:t>（7）巨额赎回的风险</w:t>
      </w:r>
    </w:p>
    <w:p w14:paraId="14F7659D">
      <w:pPr>
        <w:adjustRightInd w:val="0"/>
        <w:snapToGrid w:val="0"/>
        <w:spacing w:before="93" w:beforeLines="30" w:after="93" w:afterLines="30" w:line="360" w:lineRule="auto"/>
        <w:ind w:firstLine="420" w:firstLineChars="200"/>
        <w:rPr>
          <w:rFonts w:ascii="宋体" w:hAnsi="宋体" w:cstheme="minorBidi"/>
          <w:color w:val="auto"/>
          <w:szCs w:val="21"/>
          <w:highlight w:val="none"/>
        </w:rPr>
      </w:pPr>
      <w:r>
        <w:rPr>
          <w:rFonts w:hint="eastAsia" w:ascii="宋体" w:hAnsi="宋体" w:cstheme="minorBidi"/>
          <w:color w:val="auto"/>
          <w:szCs w:val="21"/>
          <w:highlight w:val="none"/>
        </w:rPr>
        <w:t>在单个开放日发生巨额赎回或连续2个或2个以上开放日发生巨额赎回时，基金管理人依据基金合同的约定可能采取部分顺延赎回的操作（部分顺延赎回份额的赎回资金以下一开放日基金份额净值为基础，与申请赎回开放日基金份额净值可能存在较大差异）或暂停赎回操作或</w:t>
      </w:r>
      <w:r>
        <w:rPr>
          <w:rFonts w:hint="eastAsia" w:asciiTheme="minorEastAsia" w:hAnsiTheme="minorEastAsia" w:eastAsiaTheme="minorEastAsia"/>
          <w:color w:val="auto"/>
          <w:szCs w:val="21"/>
          <w:highlight w:val="none"/>
        </w:rPr>
        <w:t>延缓支付赎回款项</w:t>
      </w:r>
      <w:r>
        <w:rPr>
          <w:rFonts w:hint="eastAsia" w:ascii="宋体" w:hAnsi="宋体" w:cstheme="minorBidi"/>
          <w:color w:val="auto"/>
          <w:szCs w:val="21"/>
          <w:highlight w:val="none"/>
        </w:rPr>
        <w:t>，赎回申请投资者因此面临不能按时足额获得赎回款项的风险或者不能进行赎回的风险。</w:t>
      </w:r>
    </w:p>
    <w:p w14:paraId="146AC872">
      <w:pPr>
        <w:numPr>
          <w:ilvl w:val="255"/>
          <w:numId w:val="0"/>
        </w:numPr>
        <w:adjustRightInd w:val="0"/>
        <w:snapToGrid w:val="0"/>
        <w:spacing w:before="93" w:beforeLines="30" w:after="93" w:afterLines="30" w:line="360" w:lineRule="auto"/>
        <w:ind w:firstLine="422" w:firstLineChars="200"/>
        <w:rPr>
          <w:rFonts w:ascii="宋体" w:hAnsi="宋体" w:cstheme="minorBidi"/>
          <w:b/>
          <w:bCs/>
          <w:color w:val="auto"/>
          <w:szCs w:val="21"/>
          <w:highlight w:val="none"/>
        </w:rPr>
      </w:pPr>
      <w:r>
        <w:rPr>
          <w:rFonts w:hint="eastAsia" w:ascii="宋体" w:hAnsi="宋体" w:cstheme="minorBidi"/>
          <w:b/>
          <w:bCs/>
          <w:color w:val="auto"/>
          <w:szCs w:val="21"/>
          <w:highlight w:val="none"/>
        </w:rPr>
        <w:t>（8）基金停止申购或提前清算的风险</w:t>
      </w:r>
    </w:p>
    <w:p w14:paraId="347CDD52">
      <w:pPr>
        <w:numPr>
          <w:ilvl w:val="255"/>
          <w:numId w:val="0"/>
        </w:numPr>
        <w:adjustRightInd w:val="0"/>
        <w:snapToGrid w:val="0"/>
        <w:spacing w:before="93" w:beforeLines="30" w:after="93" w:afterLines="30" w:line="360" w:lineRule="auto"/>
        <w:ind w:firstLine="420" w:firstLineChars="200"/>
        <w:rPr>
          <w:rFonts w:ascii="宋体" w:hAnsi="宋体" w:cstheme="minorBidi"/>
          <w:color w:val="auto"/>
          <w:szCs w:val="21"/>
          <w:highlight w:val="none"/>
        </w:rPr>
      </w:pPr>
      <w:r>
        <w:rPr>
          <w:rFonts w:hint="eastAsia" w:ascii="宋体" w:hAnsi="宋体" w:cstheme="minorBidi"/>
          <w:color w:val="auto"/>
          <w:szCs w:val="21"/>
          <w:highlight w:val="none"/>
        </w:rPr>
        <w:t>根据《私募证券投资基金运作指引》的有关规定，</w:t>
      </w:r>
      <w:r>
        <w:rPr>
          <w:rFonts w:ascii="宋体" w:hAnsi="宋体" w:cstheme="minorBidi"/>
          <w:color w:val="auto"/>
          <w:szCs w:val="21"/>
          <w:highlight w:val="none"/>
        </w:rPr>
        <w:t>私募证券投资基金上一年度</w:t>
      </w:r>
      <w:r>
        <w:rPr>
          <w:rFonts w:hint="eastAsia" w:asciiTheme="minorEastAsia" w:hAnsiTheme="minorEastAsia" w:eastAsiaTheme="minorEastAsia"/>
          <w:color w:val="auto"/>
          <w:szCs w:val="21"/>
          <w:highlight w:val="none"/>
        </w:rPr>
        <w:t>（自2025年1月1日起，开始计算上一年度）</w:t>
      </w:r>
      <w:r>
        <w:rPr>
          <w:rFonts w:ascii="宋体" w:hAnsi="宋体" w:cstheme="minorBidi"/>
          <w:color w:val="auto"/>
          <w:szCs w:val="21"/>
          <w:highlight w:val="none"/>
        </w:rPr>
        <w:t>日均基金资产净值低于500万元，或者连续60个交易日出现基金资产净值低于500万元情形的，应当停止申购并在5个工作日内向投资者披露；停止申购后连续120个交易日基金资产净值仍低于500万元的，应当进入清算程序</w:t>
      </w:r>
      <w:r>
        <w:rPr>
          <w:rFonts w:hint="eastAsia" w:ascii="宋体" w:hAnsi="宋体" w:cstheme="minorBidi"/>
          <w:color w:val="auto"/>
          <w:szCs w:val="21"/>
          <w:highlight w:val="none"/>
        </w:rPr>
        <w:t>。当私募证券投资基金存续期未达到要求的资产净值门槛的，可能面临停止申购或提前清算的风险。</w:t>
      </w:r>
    </w:p>
    <w:p w14:paraId="0E4B4401">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9、相关机构的经营风险</w:t>
      </w:r>
    </w:p>
    <w:p w14:paraId="574ADC26">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（1）基金管理人经营风险</w:t>
      </w:r>
    </w:p>
    <w:p w14:paraId="29E2160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按照我国金融监管法律规定，虽基金管理人相信其本身将按照相关法律的规定进行营运及管理，但无法保证其本身可以永久维持符合监管部门的金融监管法律。如在基金存续期间基金管理人无法继续经营基金业务，则可能会对基金产生不利影响。在管理人客观上丧失继续管理私募投资基金的能力且管理人未按合同约定履行义务组织清算时,应参照本合同第九章“基金份额持有人大会及日常机构”约定进行召开份额持有人大会，持有人大会应针对于安全保障基金财产、维持基金运营或清算的应急处置预案和纠纷解决机制等进行约定。</w:t>
      </w:r>
    </w:p>
    <w:p w14:paraId="41DEBD93">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（2）基金托管人经营风险</w:t>
      </w:r>
    </w:p>
    <w:p w14:paraId="47A0935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按照我国金融监管法律规定，基金托管人须获得中国证监会核准的证券投资基金托管资格方可从事托管业务。虽基金托管人相信其本身将按照相关法律的规定进行营运及管理，但无法保证其本身可以永久维持符合监管部门的金融监管法律。如在基金存续期间基金托管人无法继续从事托管业务，则可能会对基金产生不利影响。</w:t>
      </w:r>
    </w:p>
    <w:p w14:paraId="630F8AF5">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（3）证券、期货经纪商经营风险</w:t>
      </w:r>
    </w:p>
    <w:p w14:paraId="2DE1298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按照我国金融监管法律规定，证券、期货公司须获得中国证监会核准的证券、期货经营资格方可从事证券、期货业务。虽证券、期货经纪商相信其本身将按照相关法律的规定进行营运及管理，但无法保证其本身可以永久维持符合监管部门的金融监管法律。如在基金存续期间证券、期货经纪商无法继续从事证券、期货业务，则可能会对基金产生不利影响。</w:t>
      </w:r>
    </w:p>
    <w:p w14:paraId="325B6D87">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10、净值波动风险</w:t>
      </w:r>
    </w:p>
    <w:p w14:paraId="41AE38D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按照本合同第十六章的估值方法，当本基金投资于基金管理公司及其子公司资产管理计划、证券公司及其子公司资产管理计划、信托计划、保险资产管理计划、期货公司资产管理计划、私募投资基金、商业银行理财产品，有如下情形之一时：</w:t>
      </w:r>
    </w:p>
    <w:p w14:paraId="016110F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（1）估值日无法及时获取上述投资品种的最新估值价格；</w:t>
      </w:r>
    </w:p>
    <w:p w14:paraId="67DABCF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（2）投资上述品种后无法及时确认，上述投资品种在投资确认前估值价格波动；</w:t>
      </w:r>
    </w:p>
    <w:p w14:paraId="2B5F515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（3）估值日取得的上述投资品种的最新估值价格没有或无法排除影响估值价格的因素（例如在估值日无法排除业绩报酬对估值价格的影响）；</w:t>
      </w:r>
    </w:p>
    <w:p w14:paraId="44F357D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（4）按照预期收益率反应的估值价格与实际兑付的收益产生差异；</w:t>
      </w:r>
    </w:p>
    <w:p w14:paraId="0149950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可能导致本基金的净值波动风险。</w:t>
      </w:r>
    </w:p>
    <w:p w14:paraId="5D761A56">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11、债券正回购风险（如有）</w:t>
      </w:r>
    </w:p>
    <w:p w14:paraId="48AFF44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kern w:val="0"/>
          <w:szCs w:val="21"/>
          <w:highlight w:val="none"/>
        </w:rPr>
        <w:t>本基金如参与债券正回购交易，主要风险包括信用风险及杠杆风险，其中，信用风险指回购交易中交易对手在回购到期时，不能偿还全部或部分证券或价款，造成本基金损失的风险；而杠杆风险是指债券正回购业务在对投资组合收益进行放大的同时，也对投资组合的波动性（标准差）进行了放大，即投资组合的风险将会加大，且回购比例越高，风险暴露程度也就越高，对本基金净值造成损失的风险也就越大。</w:t>
      </w:r>
    </w:p>
    <w:p w14:paraId="28470814">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12、融资融券交易风险（如有）</w:t>
      </w:r>
    </w:p>
    <w:p w14:paraId="32A6B45C">
      <w:pPr>
        <w:adjustRightInd w:val="0"/>
        <w:snapToGrid w:val="0"/>
        <w:spacing w:before="93" w:beforeLines="30" w:after="93" w:afterLines="30" w:line="360" w:lineRule="auto"/>
        <w:ind w:firstLine="422"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
          <w:bCs/>
          <w:color w:val="auto"/>
          <w:szCs w:val="21"/>
          <w:highlight w:val="none"/>
        </w:rPr>
        <w:t>（</w:t>
      </w:r>
      <w:r>
        <w:rPr>
          <w:rFonts w:asciiTheme="minorEastAsia" w:hAnsiTheme="minorEastAsia" w:eastAsiaTheme="minorEastAsia"/>
          <w:b/>
          <w:bCs/>
          <w:color w:val="auto"/>
          <w:szCs w:val="21"/>
          <w:highlight w:val="none"/>
        </w:rPr>
        <w:t>1）可能放大投资损失的风险</w:t>
      </w:r>
    </w:p>
    <w:p w14:paraId="7BCFCF6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融资融券业务具有杠杆效应，它在放大投资收益的同时也必然放大投资风险。将股票作为担保品进行融资融券交易时，既需要承担原有的股票价格下跌带来的风险，又得承担融资买入或融券卖出股票带来的风险，同时还须支付相应的利息和费用，由此承担的风险可能远远超过普通证券交易。</w:t>
      </w:r>
    </w:p>
    <w:p w14:paraId="7DCD5103">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asciiTheme="minorEastAsia" w:hAnsiTheme="minorEastAsia" w:eastAsiaTheme="minorEastAsia"/>
          <w:b/>
          <w:bCs/>
          <w:color w:val="auto"/>
          <w:szCs w:val="21"/>
          <w:highlight w:val="none"/>
        </w:rPr>
        <w:t>（2）特有的卖空风险</w:t>
      </w:r>
    </w:p>
    <w:p w14:paraId="66E470C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融资融券交易中的融券交易存在着与普通证券截然不同的风险——卖空风险。普通证券投资发生的损失是有限的，最多不会超过本基金投入的全部本金，但是融券交易的负债在理论上可以无限扩大，因为证券上涨的幅度是没有上限的，而证券涨得越多，融券负债的规模就越大。</w:t>
      </w:r>
    </w:p>
    <w:p w14:paraId="6E906711">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asciiTheme="minorEastAsia" w:hAnsiTheme="minorEastAsia" w:eastAsiaTheme="minorEastAsia"/>
          <w:b/>
          <w:bCs/>
          <w:color w:val="auto"/>
          <w:szCs w:val="21"/>
          <w:highlight w:val="none"/>
        </w:rPr>
        <w:t>（3）利率变动带来的成本加大风险</w:t>
      </w:r>
    </w:p>
    <w:p w14:paraId="4249593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如果在从事融资融券交易期间，中国人民银行规定的同期贷款基准利率调高，证券公司将相应调高融资利率或融券费率，投资成本也因为利率的上调而增加，将面临融资融券成本增加的风险。</w:t>
      </w:r>
    </w:p>
    <w:p w14:paraId="05C67E8B">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w:t>
      </w:r>
      <w:r>
        <w:rPr>
          <w:rFonts w:asciiTheme="minorEastAsia" w:hAnsiTheme="minorEastAsia" w:eastAsiaTheme="minorEastAsia"/>
          <w:b/>
          <w:bCs/>
          <w:color w:val="auto"/>
          <w:szCs w:val="21"/>
          <w:highlight w:val="none"/>
        </w:rPr>
        <w:t>4）通知送达风险</w:t>
      </w:r>
    </w:p>
    <w:p w14:paraId="6ED9D1F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融资融券交易过程中，相关信息的通知送达至关重要。《融资融券合同》中通常会约定通知送达的具体方式、内容和要求。当证券公司按照《融资融券合同》要求履行了通知义务后即视为送达，则若未能关注到通知内容并采取相应措施，就可能因此承担不利后果。</w:t>
      </w:r>
    </w:p>
    <w:p w14:paraId="3E7458F0">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w:t>
      </w:r>
      <w:r>
        <w:rPr>
          <w:rFonts w:asciiTheme="minorEastAsia" w:hAnsiTheme="minorEastAsia" w:eastAsiaTheme="minorEastAsia"/>
          <w:b/>
          <w:bCs/>
          <w:color w:val="auto"/>
          <w:szCs w:val="21"/>
          <w:highlight w:val="none"/>
        </w:rPr>
        <w:t>5）强制平仓风险</w:t>
      </w:r>
    </w:p>
    <w:p w14:paraId="1CD43D0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融资融券交易中，本基金与证券公司间除了普通交易的委托买卖关系外，还存在着较为复杂的债权债务关系，以及由于债权债务产生的信托关系和担保关系。证券公司为保护自身债权，对本基金信用账户的资产负债情况实时监控，在一定条件下可以对本基金担保资产执行强制平仓。</w:t>
      </w:r>
    </w:p>
    <w:p w14:paraId="6141BAF5">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w:t>
      </w:r>
      <w:r>
        <w:rPr>
          <w:rFonts w:asciiTheme="minorEastAsia" w:hAnsiTheme="minorEastAsia" w:eastAsiaTheme="minorEastAsia"/>
          <w:b/>
          <w:bCs/>
          <w:color w:val="auto"/>
          <w:szCs w:val="21"/>
          <w:highlight w:val="none"/>
        </w:rPr>
        <w:t>6）提前了结债务的风险</w:t>
      </w:r>
    </w:p>
    <w:p w14:paraId="1701386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融资融券交易中，证券公司可能在融资融券合同中与本基金约定提前了结融资融券债务的条款，本基金在从事融资融券交易期间，如果发生融资融券标的证券范围调整、标的证券暂停交易或终止上市等情况，根据本基金与证券公司签订的合同条款，本基金将可能面临被证券公司提前了结融资融券交易的风险，并可能由此给本基金造成损失。</w:t>
      </w:r>
    </w:p>
    <w:p w14:paraId="0214A977">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w:t>
      </w:r>
      <w:r>
        <w:rPr>
          <w:rFonts w:asciiTheme="minorEastAsia" w:hAnsiTheme="minorEastAsia" w:eastAsiaTheme="minorEastAsia"/>
          <w:b/>
          <w:bCs/>
          <w:color w:val="auto"/>
          <w:szCs w:val="21"/>
          <w:highlight w:val="none"/>
        </w:rPr>
        <w:t>7）监管风险</w:t>
      </w:r>
    </w:p>
    <w:p w14:paraId="2E5F5C0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融资融券交易出现异常或市场出现系统性风险时，监管部门、证券交易所和证券公司都将可能对融资融券交易采取相应措施，例如提高可充抵保证金证券的折算率、融资或融券保证金比例、维持担保比例和强制平仓的条件等，以维护市场平稳运行。这些措施将可能给本金带来杠杆效应降低、甚至提前进入追加担保物或强制平仓状态等潜在损失。</w:t>
      </w:r>
    </w:p>
    <w:p w14:paraId="05E29642">
      <w:pPr>
        <w:adjustRightInd w:val="0"/>
        <w:snapToGrid w:val="0"/>
        <w:spacing w:before="93" w:beforeLines="30" w:after="93" w:afterLines="30" w:line="360" w:lineRule="auto"/>
        <w:ind w:firstLine="422"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
          <w:bCs/>
          <w:color w:val="auto"/>
          <w:szCs w:val="21"/>
          <w:highlight w:val="none"/>
        </w:rPr>
        <w:t>13、转融通投资风险（如有）</w:t>
      </w:r>
    </w:p>
    <w:p w14:paraId="602BCEF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（1）证券出借后，存在无法在合约到期前提前收回出借证券，从而影响本基金财产的使用的风险；</w:t>
      </w:r>
    </w:p>
    <w:p w14:paraId="194F07E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（2）证券出借期间，如果发生标的证券暂停交易或者终止上市等情况，本基金可能面临合约提前了结或者延迟了结等风险；</w:t>
      </w:r>
    </w:p>
    <w:p w14:paraId="66E6D40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kern w:val="0"/>
          <w:szCs w:val="21"/>
          <w:highlight w:val="none"/>
        </w:rPr>
        <w:t>（3）本基金出借的证券，可能存在到期不能归还、相应权益补偿和借券费用不能支付等风险。</w:t>
      </w:r>
    </w:p>
    <w:p w14:paraId="6B4E736E">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14、港股通交易风险（如有）</w:t>
      </w:r>
    </w:p>
    <w:p w14:paraId="7A89B2E0">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（1）投资范围限制与调整风险</w:t>
      </w:r>
    </w:p>
    <w:p w14:paraId="041EC43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通过港股通买卖的股票存在一定的范围限制，且港股通股票名单会动态调整。投资者应当关注最新的港股通股票名单。对于被调出的港股通股票，自调整之日起，投资者将不得再行买入。</w:t>
      </w:r>
    </w:p>
    <w:p w14:paraId="69CF58AD">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（2）投资额度限制风险</w:t>
      </w:r>
    </w:p>
    <w:p w14:paraId="41E37E2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港股通业务试点期间存在每日额度。在香港联合交易所有限公司（以下简称“联交所”）开市前阶段，当日额度使用完毕的，新增的买单申报将面临失败的风险；在联交所持续交易时段，当日额度使用完毕的，当日投资者将面临不能通过港股通进行买入交易的风险。</w:t>
      </w:r>
    </w:p>
    <w:p w14:paraId="784FEF6C">
      <w:pPr>
        <w:adjustRightInd w:val="0"/>
        <w:snapToGrid w:val="0"/>
        <w:spacing w:before="93" w:beforeLines="30" w:after="93" w:afterLines="30" w:line="360" w:lineRule="auto"/>
        <w:ind w:firstLine="422"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
          <w:bCs/>
          <w:color w:val="auto"/>
          <w:szCs w:val="21"/>
          <w:highlight w:val="none"/>
        </w:rPr>
        <w:t>（3）投资交易日风险</w:t>
      </w:r>
    </w:p>
    <w:p w14:paraId="794F014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只有沪港（深港）两地均为交易日且能够满足结算安排的交易日才为港股通交易日，具体以上海（深圳）证券交易所在其指定网站公布的日期为准。圣诞前夕（12月24日）、元旦前夕（12月31日）或除夕日为港股通交易日的，港股通仅有半天交易，且当日为非交收日。</w:t>
      </w:r>
    </w:p>
    <w:p w14:paraId="07239890">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（4）停市风险</w:t>
      </w:r>
    </w:p>
    <w:p w14:paraId="45E43E2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香港出现台风、黑色暴雨或者联交所规定的其他情形时，联交所将可能停市，投资者将面临在停市期间无法进行港股通交易的风险；出现上海（深圳）证券交易所认定的交易异常情况时，上海（深圳）证券交易所将可能暂停提供部分或者全部港股通服务，投资者将面临在暂停服务期间无法进行港股通交易的风险。</w:t>
      </w:r>
    </w:p>
    <w:p w14:paraId="10D7A598">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（5）汇率风险</w:t>
      </w:r>
    </w:p>
    <w:p w14:paraId="7E3D7F9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投资者在交易时间内提交订单依据的港币买入参考汇率和卖出参考汇率，并不等于最终结算汇率。港股通交易日日终，中国证券登记结算有限责任公司（以下简称“中国结算”）进行净额换汇，将换汇成本按成交金额分摊至每笔交易，确定交易实际适用的结算汇率。</w:t>
      </w:r>
    </w:p>
    <w:p w14:paraId="100297AB">
      <w:pPr>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（6）交易与结算规则风险</w:t>
      </w:r>
    </w:p>
    <w:p w14:paraId="407F604A">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港股通股票不设置涨跌幅限制，投资者应当关注因此可能产生的风险；与内地证券市场相比，联交所在订单申报的最小交易价差、每手股数、申报最大限制等方面存在一定的差异，投资者应当关注因此可能产生的风险；通过港股通业务获得的香港证券市场免费一档行情，与付费方式获得的行情相比，在刷新频率、档位显示等方面存在差异，投资者应当关注依此进行投资决策的风险；香港证券市场与内地证券市场在证券资金的交收期安排上存在差异，港股通交易的交收期为T+2日。若投资者卖出证券，在交收完成前仍享有该证券的权益。若投资者买入证券，在交收完成后才享有该证券的权益，港股通交易的交收可能因香港出现台风或黑色暴雨等发生延迟交收；对于在联交所上市公司派发的现金红利，由于中国结算需要在收到香港中央结算有限公司（以下简称“香港结算”）派发的外币红利资金后进行换汇、清算、发放等业务处理，投资者通过港股通业务获得的现金红利将会较香港市场有所延后。对于在联交所上市公司派发的红股，中国结算在收到香港结算派发红股到账当日或次日进行业务处理，相应红股可于处理日下一港股通交易日上市交易。投资者红股可卖首日均较香港市场晚一个港股通交易日；由于香港市场的费用收取或汇率的大幅波动等原因，可能会引起投资者账户的透支，投资者应当对账户内的余额进行关注。</w:t>
      </w:r>
    </w:p>
    <w:p w14:paraId="0DDEA10B">
      <w:pPr>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（7）技术系统风险</w:t>
      </w:r>
    </w:p>
    <w:p w14:paraId="1FDC1D61">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港股通交易中若联交所与上海（深圳）证券交易所之间的报盘系统或者通信链路出现故障，可能导致15分钟以上不能申报和撤销申报，投资者应当关注因此可能产生的风险。</w:t>
      </w:r>
    </w:p>
    <w:p w14:paraId="113046F1">
      <w:pPr>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（8）费用与税收风险</w:t>
      </w:r>
    </w:p>
    <w:p w14:paraId="2A595B25">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香港市场收费标准与内地市场收费标准不同，香港地区与内地在税收安排方面也存在差异，投资者买卖港股通股票，应当按照香港市场有关规定交纳相关费用，并按照香港地区相关规定缴纳税款。</w:t>
      </w:r>
    </w:p>
    <w:p w14:paraId="7D041BA7">
      <w:pPr>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15、证券公司收益凭证风险（如有）</w:t>
      </w:r>
    </w:p>
    <w:p w14:paraId="243469DC">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（1）市场风险。收益凭证本金和收益的偿付挂钩特定标的，包括但不限于股权、债权、信用、基金、利率、汇率、指数、期货及基础商品。若挂钩的特定标的出现亏损，将可能导致本基金财产出现损失的风险。</w:t>
      </w:r>
    </w:p>
    <w:p w14:paraId="3B3C58E3">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kern w:val="0"/>
          <w:szCs w:val="21"/>
          <w:highlight w:val="none"/>
        </w:rPr>
        <w:t>（2）信用风险。收益凭证产品以证券公司的信用发行。在收益凭证存续期间，证券公司可能发生解散、破产、无力清偿到期债务、资产被查封、冻结或强制执行等情形，导致本基金财产面临损失的风险。</w:t>
      </w:r>
    </w:p>
    <w:p w14:paraId="13A45025">
      <w:pPr>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cs="宋体" w:asciiTheme="minorEastAsia" w:hAnsiTheme="minorEastAsia" w:eastAsiaTheme="minorEastAsia"/>
          <w:b/>
          <w:bCs/>
          <w:color w:val="auto"/>
          <w:szCs w:val="21"/>
          <w:highlight w:val="none"/>
        </w:rPr>
        <w:t>16、</w:t>
      </w:r>
      <w:r>
        <w:rPr>
          <w:rFonts w:hint="eastAsia" w:asciiTheme="minorEastAsia" w:hAnsiTheme="minorEastAsia" w:eastAsiaTheme="minorEastAsia"/>
          <w:b/>
          <w:bCs/>
          <w:color w:val="auto"/>
          <w:szCs w:val="21"/>
          <w:highlight w:val="none"/>
        </w:rPr>
        <w:t>其他风险</w:t>
      </w:r>
    </w:p>
    <w:p w14:paraId="2D97EABA">
      <w:pPr>
        <w:pStyle w:val="12"/>
        <w:widowControl w:val="0"/>
        <w:adjustRightInd w:val="0"/>
        <w:snapToGrid w:val="0"/>
        <w:spacing w:before="30" w:after="30" w:line="372"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战争、自然灾害等不可抗力因素的出现，将会严重影响证券市场的运行，可能导致基金资产的损失。金融市场危机、行业竞争、代理机构违约等超出基金管理人自身直接控制能力之外的风险，可能导致基金份额持有人利益受损。</w:t>
      </w:r>
    </w:p>
    <w:p w14:paraId="2D1B2A24">
      <w:pPr>
        <w:widowControl/>
        <w:spacing w:line="360" w:lineRule="auto"/>
        <w:ind w:firstLine="422" w:firstLineChars="200"/>
        <w:jc w:val="left"/>
        <w:rPr>
          <w:rFonts w:asciiTheme="minorEastAsia" w:hAnsiTheme="minorEastAsia" w:eastAsiaTheme="minorEastAsia"/>
          <w:b/>
          <w:color w:val="auto"/>
          <w:kern w:val="0"/>
          <w:szCs w:val="21"/>
          <w:highlight w:val="none"/>
        </w:rPr>
      </w:pPr>
      <w:r>
        <w:rPr>
          <w:rFonts w:asciiTheme="minorEastAsia" w:hAnsiTheme="minorEastAsia" w:eastAsiaTheme="minorEastAsia"/>
          <w:b/>
          <w:color w:val="auto"/>
          <w:kern w:val="0"/>
          <w:szCs w:val="21"/>
          <w:highlight w:val="none"/>
        </w:rPr>
        <w:t>本风险揭示书的揭示事项仅为列举性质，未能详尽列明投资者参与本</w:t>
      </w:r>
      <w:r>
        <w:rPr>
          <w:rFonts w:hint="eastAsia" w:asciiTheme="minorEastAsia" w:hAnsiTheme="minorEastAsia" w:eastAsiaTheme="minorEastAsia"/>
          <w:b/>
          <w:color w:val="auto"/>
          <w:kern w:val="0"/>
          <w:szCs w:val="21"/>
          <w:highlight w:val="none"/>
        </w:rPr>
        <w:t>私募</w:t>
      </w:r>
      <w:r>
        <w:rPr>
          <w:rFonts w:asciiTheme="minorEastAsia" w:hAnsiTheme="minorEastAsia" w:eastAsiaTheme="minorEastAsia"/>
          <w:b/>
          <w:color w:val="auto"/>
          <w:kern w:val="0"/>
          <w:szCs w:val="21"/>
          <w:highlight w:val="none"/>
        </w:rPr>
        <w:t>基金投资所面临的全部风险和可能导致投资者资产损失的所有因素，投资者对其他可能存在的风险因素也应当有所了解和掌握，并确信自己已做好足够的风险评估与财务安排，避免因参与本</w:t>
      </w:r>
      <w:r>
        <w:rPr>
          <w:rFonts w:hint="eastAsia" w:asciiTheme="minorEastAsia" w:hAnsiTheme="minorEastAsia" w:eastAsiaTheme="minorEastAsia"/>
          <w:b/>
          <w:color w:val="auto"/>
          <w:kern w:val="0"/>
          <w:szCs w:val="21"/>
          <w:highlight w:val="none"/>
        </w:rPr>
        <w:t>私募</w:t>
      </w:r>
      <w:r>
        <w:rPr>
          <w:rFonts w:asciiTheme="minorEastAsia" w:hAnsiTheme="minorEastAsia" w:eastAsiaTheme="minorEastAsia"/>
          <w:b/>
          <w:color w:val="auto"/>
          <w:kern w:val="0"/>
          <w:szCs w:val="21"/>
          <w:highlight w:val="none"/>
        </w:rPr>
        <w:t>基</w:t>
      </w:r>
      <w:r>
        <w:rPr>
          <w:rFonts w:hint="eastAsia" w:asciiTheme="minorEastAsia" w:hAnsiTheme="minorEastAsia" w:eastAsiaTheme="minorEastAsia"/>
          <w:b/>
          <w:color w:val="auto"/>
          <w:kern w:val="0"/>
          <w:szCs w:val="21"/>
          <w:highlight w:val="none"/>
        </w:rPr>
        <w:t>金</w:t>
      </w:r>
      <w:r>
        <w:rPr>
          <w:rFonts w:asciiTheme="minorEastAsia" w:hAnsiTheme="minorEastAsia" w:eastAsiaTheme="minorEastAsia"/>
          <w:b/>
          <w:color w:val="auto"/>
          <w:kern w:val="0"/>
          <w:szCs w:val="21"/>
          <w:highlight w:val="none"/>
        </w:rPr>
        <w:t>投资遭受难以承受的损失。</w:t>
      </w:r>
      <w:r>
        <w:rPr>
          <w:rFonts w:hint="eastAsia" w:asciiTheme="minorEastAsia" w:hAnsiTheme="minorEastAsia" w:eastAsiaTheme="minorEastAsia"/>
          <w:b/>
          <w:color w:val="auto"/>
          <w:kern w:val="0"/>
          <w:szCs w:val="21"/>
          <w:highlight w:val="none"/>
        </w:rPr>
        <w:t>基金</w:t>
      </w:r>
      <w:r>
        <w:rPr>
          <w:rFonts w:asciiTheme="minorEastAsia" w:hAnsiTheme="minorEastAsia" w:eastAsiaTheme="minorEastAsia"/>
          <w:b/>
          <w:color w:val="auto"/>
          <w:kern w:val="0"/>
          <w:szCs w:val="21"/>
          <w:highlight w:val="none"/>
        </w:rPr>
        <w:t>管理人不保证最低收益或</w:t>
      </w:r>
      <w:r>
        <w:rPr>
          <w:rFonts w:hint="eastAsia" w:asciiTheme="minorEastAsia" w:hAnsiTheme="minorEastAsia" w:eastAsiaTheme="minorEastAsia"/>
          <w:b/>
          <w:color w:val="auto"/>
          <w:kern w:val="0"/>
          <w:szCs w:val="21"/>
          <w:highlight w:val="none"/>
        </w:rPr>
        <w:t>私募</w:t>
      </w:r>
      <w:r>
        <w:rPr>
          <w:rFonts w:asciiTheme="minorEastAsia" w:hAnsiTheme="minorEastAsia" w:eastAsiaTheme="minorEastAsia"/>
          <w:b/>
          <w:color w:val="auto"/>
          <w:kern w:val="0"/>
          <w:szCs w:val="21"/>
          <w:highlight w:val="none"/>
        </w:rPr>
        <w:t>基金本金不受损</w:t>
      </w:r>
      <w:r>
        <w:rPr>
          <w:rFonts w:hint="eastAsia" w:asciiTheme="minorEastAsia" w:hAnsiTheme="minorEastAsia" w:eastAsiaTheme="minorEastAsia"/>
          <w:b/>
          <w:color w:val="auto"/>
          <w:kern w:val="0"/>
          <w:szCs w:val="21"/>
          <w:highlight w:val="none"/>
        </w:rPr>
        <w:t>失。</w:t>
      </w:r>
    </w:p>
    <w:p w14:paraId="61303B21">
      <w:pPr>
        <w:pStyle w:val="12"/>
        <w:widowControl w:val="0"/>
        <w:adjustRightInd w:val="0"/>
        <w:snapToGrid w:val="0"/>
        <w:spacing w:before="30" w:after="30" w:line="360" w:lineRule="auto"/>
        <w:ind w:firstLine="422" w:firstLineChars="200"/>
        <w:rPr>
          <w:rFonts w:asciiTheme="minorEastAsia" w:hAnsiTheme="minorEastAsia" w:eastAsiaTheme="minorEastAsia"/>
          <w:b/>
          <w:color w:val="auto"/>
          <w:highlight w:val="none"/>
        </w:rPr>
      </w:pPr>
      <w:r>
        <w:rPr>
          <w:rFonts w:hint="eastAsia" w:asciiTheme="minorEastAsia" w:hAnsiTheme="minorEastAsia" w:eastAsiaTheme="minorEastAsia"/>
          <w:b/>
          <w:color w:val="auto"/>
          <w:highlight w:val="none"/>
        </w:rPr>
        <w:t>三、</w:t>
      </w:r>
      <w:r>
        <w:rPr>
          <w:rFonts w:asciiTheme="minorEastAsia" w:hAnsiTheme="minorEastAsia" w:eastAsiaTheme="minorEastAsia"/>
          <w:b/>
          <w:color w:val="auto"/>
          <w:highlight w:val="none"/>
        </w:rPr>
        <w:t>投资者声明</w:t>
      </w:r>
    </w:p>
    <w:p w14:paraId="7788205A">
      <w:pPr>
        <w:pStyle w:val="12"/>
        <w:widowControl w:val="0"/>
        <w:adjustRightInd w:val="0"/>
        <w:snapToGrid w:val="0"/>
        <w:spacing w:before="30" w:after="30" w:line="360" w:lineRule="auto"/>
        <w:ind w:firstLine="422" w:firstLineChars="200"/>
        <w:rPr>
          <w:rFonts w:asciiTheme="minorEastAsia" w:hAnsiTheme="minorEastAsia" w:eastAsiaTheme="minorEastAsia"/>
          <w:b/>
          <w:color w:val="auto"/>
          <w:highlight w:val="none"/>
        </w:rPr>
      </w:pPr>
      <w:r>
        <w:rPr>
          <w:rFonts w:hint="eastAsia" w:asciiTheme="minorEastAsia" w:hAnsiTheme="minorEastAsia" w:eastAsiaTheme="minorEastAsia"/>
          <w:b/>
          <w:color w:val="auto"/>
          <w:highlight w:val="none"/>
        </w:rPr>
        <w:t>作为该私募基金的投资者，本人</w:t>
      </w:r>
      <w:r>
        <w:rPr>
          <w:rFonts w:asciiTheme="minorEastAsia" w:hAnsiTheme="minorEastAsia" w:eastAsiaTheme="minorEastAsia"/>
          <w:b/>
          <w:color w:val="auto"/>
          <w:highlight w:val="none"/>
        </w:rPr>
        <w:t>/机构已充分了解并谨慎评估自身风险承受能力，自愿自行承担投资该私募基金所面临的风险。本人/机构做出以下陈述和声明，并确认（自然人投资者在每段段尾“【________】”内签名，机构投资者在本页、</w:t>
      </w:r>
      <w:r>
        <w:rPr>
          <w:rFonts w:hint="eastAsia" w:asciiTheme="minorEastAsia" w:hAnsiTheme="minorEastAsia" w:eastAsiaTheme="minorEastAsia"/>
          <w:b/>
          <w:color w:val="auto"/>
          <w:highlight w:val="none"/>
        </w:rPr>
        <w:t>尾页盖章，加盖骑缝章）其内容的真实和正确：</w:t>
      </w:r>
    </w:p>
    <w:p w14:paraId="13372C88">
      <w:pPr>
        <w:pStyle w:val="12"/>
        <w:widowControl w:val="0"/>
        <w:adjustRightInd w:val="0"/>
        <w:snapToGrid w:val="0"/>
        <w:spacing w:before="30" w:after="30" w:line="360" w:lineRule="auto"/>
        <w:ind w:firstLine="420" w:firstLineChars="200"/>
        <w:rPr>
          <w:rFonts w:asciiTheme="minorEastAsia" w:hAnsiTheme="minorEastAsia" w:eastAsiaTheme="minorEastAsia"/>
          <w:color w:val="auto"/>
          <w:highlight w:val="none"/>
        </w:rPr>
      </w:pPr>
      <w:r>
        <w:rPr>
          <w:rFonts w:asciiTheme="minorEastAsia" w:hAnsiTheme="minorEastAsia" w:eastAsiaTheme="minorEastAsia"/>
          <w:color w:val="auto"/>
          <w:highlight w:val="none"/>
        </w:rPr>
        <w:t>1、</w:t>
      </w:r>
      <w:r>
        <w:rPr>
          <w:rFonts w:hint="eastAsia" w:asciiTheme="minorEastAsia" w:hAnsiTheme="minorEastAsia" w:eastAsiaTheme="minorEastAsia"/>
          <w:color w:val="auto"/>
          <w:highlight w:val="none"/>
        </w:rPr>
        <w:t>本人/机构已仔细阅读私募基金法律文件和其他文件，充分理解相关权利、义务、本私募基金运作方式及风险收益特征，充分认识并同意确认产品关于设置预警止损机制的风险及产品所涉其他风险等相关内容，愿意承担由上述风险引致的全部后果。【________】</w:t>
      </w:r>
    </w:p>
    <w:p w14:paraId="59587EDD">
      <w:pPr>
        <w:pStyle w:val="12"/>
        <w:widowControl w:val="0"/>
        <w:adjustRightInd w:val="0"/>
        <w:snapToGrid w:val="0"/>
        <w:spacing w:before="30" w:after="30" w:line="360" w:lineRule="auto"/>
        <w:ind w:firstLine="420" w:firstLineChars="200"/>
        <w:rPr>
          <w:rFonts w:asciiTheme="minorEastAsia" w:hAnsiTheme="minorEastAsia" w:eastAsiaTheme="minorEastAsia"/>
          <w:color w:val="auto"/>
          <w:highlight w:val="none"/>
        </w:rPr>
      </w:pPr>
      <w:r>
        <w:rPr>
          <w:rFonts w:asciiTheme="minorEastAsia" w:hAnsiTheme="minorEastAsia" w:eastAsiaTheme="minorEastAsia"/>
          <w:color w:val="auto"/>
          <w:highlight w:val="none"/>
        </w:rPr>
        <w:t>2、</w:t>
      </w:r>
      <w:r>
        <w:rPr>
          <w:rFonts w:hint="eastAsia" w:asciiTheme="minorEastAsia" w:hAnsiTheme="minorEastAsia" w:eastAsiaTheme="minorEastAsia"/>
          <w:color w:val="auto"/>
          <w:highlight w:val="none"/>
        </w:rPr>
        <w:t>本人/机构知晓，基金管理人、基金销售机构、基金托管人及相关机构不应当对基金财产的收益状况作出任何承诺或担保。【________】</w:t>
      </w:r>
    </w:p>
    <w:p w14:paraId="3C931628">
      <w:pPr>
        <w:pStyle w:val="12"/>
        <w:widowControl w:val="0"/>
        <w:adjustRightInd w:val="0"/>
        <w:snapToGrid w:val="0"/>
        <w:spacing w:before="30" w:after="30" w:line="360" w:lineRule="auto"/>
        <w:ind w:firstLine="420" w:firstLineChars="200"/>
        <w:rPr>
          <w:rFonts w:asciiTheme="minorEastAsia" w:hAnsiTheme="minorEastAsia" w:eastAsiaTheme="minorEastAsia"/>
          <w:color w:val="auto"/>
          <w:highlight w:val="none"/>
        </w:rPr>
      </w:pPr>
      <w:r>
        <w:rPr>
          <w:rFonts w:asciiTheme="minorEastAsia" w:hAnsiTheme="minorEastAsia" w:eastAsiaTheme="minorEastAsia"/>
          <w:color w:val="auto"/>
          <w:highlight w:val="none"/>
        </w:rPr>
        <w:t>3、</w:t>
      </w:r>
      <w:r>
        <w:rPr>
          <w:rFonts w:hint="eastAsia" w:asciiTheme="minorEastAsia" w:hAnsiTheme="minorEastAsia" w:eastAsiaTheme="minorEastAsia"/>
          <w:color w:val="auto"/>
          <w:highlight w:val="none"/>
        </w:rPr>
        <w:t>本人/机构已通过中国基金业协会的官方网站（www.amac.org.cn）查询了私募基金管理人的基本信息，并将于本私募基金完成备案后查实其募集结算资金专用账户的相关信息与打款账户信息的一致性。【________】</w:t>
      </w:r>
    </w:p>
    <w:p w14:paraId="37AC273D">
      <w:pPr>
        <w:pStyle w:val="12"/>
        <w:widowControl w:val="0"/>
        <w:adjustRightInd w:val="0"/>
        <w:snapToGrid w:val="0"/>
        <w:spacing w:before="30" w:after="30" w:line="360" w:lineRule="auto"/>
        <w:ind w:firstLine="420" w:firstLineChars="200"/>
        <w:rPr>
          <w:rFonts w:asciiTheme="minorEastAsia" w:hAnsiTheme="minorEastAsia" w:eastAsiaTheme="minorEastAsia"/>
          <w:color w:val="auto"/>
          <w:highlight w:val="none"/>
        </w:rPr>
      </w:pPr>
      <w:r>
        <w:rPr>
          <w:rFonts w:asciiTheme="minorEastAsia" w:hAnsiTheme="minorEastAsia" w:eastAsiaTheme="minorEastAsia"/>
          <w:color w:val="auto"/>
          <w:highlight w:val="none"/>
        </w:rPr>
        <w:t>4、</w:t>
      </w:r>
      <w:r>
        <w:rPr>
          <w:rFonts w:hint="eastAsia" w:asciiTheme="minorEastAsia" w:hAnsiTheme="minorEastAsia" w:eastAsiaTheme="minorEastAsia"/>
          <w:color w:val="auto"/>
          <w:highlight w:val="none"/>
        </w:rPr>
        <w:t>在购买本私募基金前，本人/机构已符合《私募投资基金监督管理暂行办法》有关合格投资者的要求并已按照募集机构的要求提供相关证明文件。【________】</w:t>
      </w:r>
    </w:p>
    <w:p w14:paraId="29683FFB">
      <w:pPr>
        <w:pStyle w:val="12"/>
        <w:widowControl w:val="0"/>
        <w:adjustRightInd w:val="0"/>
        <w:snapToGrid w:val="0"/>
        <w:spacing w:before="30" w:after="30" w:line="360" w:lineRule="auto"/>
        <w:ind w:firstLine="420" w:firstLineChars="200"/>
        <w:rPr>
          <w:rFonts w:asciiTheme="minorEastAsia" w:hAnsiTheme="minorEastAsia" w:eastAsiaTheme="minorEastAsia"/>
          <w:color w:val="auto"/>
          <w:highlight w:val="none"/>
        </w:rPr>
      </w:pPr>
      <w:r>
        <w:rPr>
          <w:rFonts w:asciiTheme="minorEastAsia" w:hAnsiTheme="minorEastAsia" w:eastAsiaTheme="minorEastAsia"/>
          <w:color w:val="auto"/>
          <w:highlight w:val="none"/>
        </w:rPr>
        <w:t>5、</w:t>
      </w:r>
      <w:r>
        <w:rPr>
          <w:rFonts w:hint="eastAsia" w:asciiTheme="minorEastAsia" w:hAnsiTheme="minorEastAsia" w:eastAsiaTheme="minorEastAsia"/>
          <w:color w:val="auto"/>
          <w:highlight w:val="none"/>
        </w:rPr>
        <w:t>本人/机构已认真阅读并完全理解基金合同的所有内容，并愿意自行承担购买私募基金的法律责任。【________】</w:t>
      </w:r>
    </w:p>
    <w:p w14:paraId="64397BC3">
      <w:pPr>
        <w:pStyle w:val="12"/>
        <w:widowControl w:val="0"/>
        <w:adjustRightInd w:val="0"/>
        <w:snapToGrid w:val="0"/>
        <w:spacing w:before="30" w:after="30" w:line="360" w:lineRule="auto"/>
        <w:ind w:firstLine="420" w:firstLineChars="200"/>
        <w:rPr>
          <w:rFonts w:asciiTheme="minorEastAsia" w:hAnsiTheme="minorEastAsia" w:eastAsiaTheme="minorEastAsia"/>
          <w:color w:val="auto"/>
          <w:highlight w:val="none"/>
        </w:rPr>
      </w:pPr>
      <w:r>
        <w:rPr>
          <w:rFonts w:asciiTheme="minorEastAsia" w:hAnsiTheme="minorEastAsia" w:eastAsiaTheme="minorEastAsia"/>
          <w:color w:val="auto"/>
          <w:highlight w:val="none"/>
        </w:rPr>
        <w:t>6、</w:t>
      </w:r>
      <w:r>
        <w:rPr>
          <w:rFonts w:hint="eastAsia" w:asciiTheme="minorEastAsia" w:hAnsiTheme="minorEastAsia" w:eastAsiaTheme="minorEastAsia"/>
          <w:color w:val="auto"/>
          <w:highlight w:val="none"/>
        </w:rPr>
        <w:t>本人/机构已认真阅读并完全理解基金合同“当事人及权利义务”章节中的所有内容，并愿意自行承担购买私募基金的法律责任。【________】</w:t>
      </w:r>
    </w:p>
    <w:p w14:paraId="0773170B">
      <w:pPr>
        <w:pStyle w:val="12"/>
        <w:widowControl w:val="0"/>
        <w:adjustRightInd w:val="0"/>
        <w:snapToGrid w:val="0"/>
        <w:spacing w:before="30" w:after="30" w:line="360" w:lineRule="auto"/>
        <w:ind w:firstLine="420" w:firstLineChars="200"/>
        <w:rPr>
          <w:rFonts w:asciiTheme="minorEastAsia" w:hAnsiTheme="minorEastAsia" w:eastAsiaTheme="minorEastAsia"/>
          <w:color w:val="auto"/>
          <w:highlight w:val="none"/>
        </w:rPr>
      </w:pPr>
      <w:r>
        <w:rPr>
          <w:rFonts w:asciiTheme="minorEastAsia" w:hAnsiTheme="minorEastAsia" w:eastAsiaTheme="minorEastAsia"/>
          <w:color w:val="auto"/>
          <w:highlight w:val="none"/>
        </w:rPr>
        <w:t>7、</w:t>
      </w:r>
      <w:r>
        <w:rPr>
          <w:rFonts w:hint="eastAsia" w:asciiTheme="minorEastAsia" w:hAnsiTheme="minorEastAsia" w:eastAsiaTheme="minorEastAsia"/>
          <w:color w:val="auto"/>
          <w:highlight w:val="none"/>
        </w:rPr>
        <w:t>本人/机构知晓，投资冷静期及回访确认的制度安排以及在此期间的权利。【________】</w:t>
      </w:r>
    </w:p>
    <w:p w14:paraId="3B673C13">
      <w:pPr>
        <w:pStyle w:val="12"/>
        <w:widowControl w:val="0"/>
        <w:adjustRightInd w:val="0"/>
        <w:snapToGrid w:val="0"/>
        <w:spacing w:before="30" w:after="30" w:line="360" w:lineRule="auto"/>
        <w:ind w:firstLine="420" w:firstLineChars="200"/>
        <w:rPr>
          <w:rFonts w:asciiTheme="minorEastAsia" w:hAnsiTheme="minorEastAsia" w:eastAsiaTheme="minorEastAsia"/>
          <w:color w:val="auto"/>
          <w:highlight w:val="none"/>
        </w:rPr>
      </w:pPr>
      <w:r>
        <w:rPr>
          <w:rFonts w:asciiTheme="minorEastAsia" w:hAnsiTheme="minorEastAsia" w:eastAsiaTheme="minorEastAsia"/>
          <w:color w:val="auto"/>
          <w:highlight w:val="none"/>
        </w:rPr>
        <w:t>8、</w:t>
      </w:r>
      <w:r>
        <w:rPr>
          <w:rFonts w:hint="eastAsia" w:asciiTheme="minorEastAsia" w:hAnsiTheme="minorEastAsia" w:eastAsiaTheme="minorEastAsia"/>
          <w:color w:val="auto"/>
          <w:highlight w:val="none"/>
        </w:rPr>
        <w:t>本人/机构已认真阅读并完全理解基金合同“基金的投资”章节中的所有内容，并愿意自行承担购买私募基金的法律责任。【________】</w:t>
      </w:r>
    </w:p>
    <w:p w14:paraId="235D251B">
      <w:pPr>
        <w:pStyle w:val="12"/>
        <w:widowControl w:val="0"/>
        <w:adjustRightInd w:val="0"/>
        <w:snapToGrid w:val="0"/>
        <w:spacing w:before="30" w:after="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9、本人/机构知晓本基金可参与场外衍生品（包括但不限于收益互换、收益凭证、场外期权、利率互换等）交易，知晓场外衍生品的投资风险，知悉基金托管人不负责对场外衍生品估值数据结果进行验证。场外衍生品交易情况（包括估值信息）、交易文件应当由基金管理人明确授权交易对手方、相关交易清算机构及时、准确、完整、持续向基金托管人提供。如基金托管人收到的场外衍生品交易情况（包括估值信息）存在不及时、不准确、不完整、未持续等情形的，将导致场外衍生品估值与实际价值不一致，极端情况下，可能对基金开放日净值公允性、申赎价格公允性、业绩报酬计算、基金财产计算造成严重不利影响，由此可能产生的重大损失后果由本人/机构自行承担，与基金托管人无关。【____________】</w:t>
      </w:r>
    </w:p>
    <w:p w14:paraId="6DB7804F">
      <w:pPr>
        <w:pStyle w:val="12"/>
        <w:widowControl w:val="0"/>
        <w:adjustRightInd w:val="0"/>
        <w:snapToGrid w:val="0"/>
        <w:spacing w:before="30" w:after="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10、本人/机构已认真阅读并完全理解私募基金投向单一标的、未进行组合投资的情况，知悉并认可基金管理人已就本基金单一投资标的的基本情况、投资架构、因未进行组合投资而可能受到的损失、纠纷解决机制等所有相关内容揭示了特别风险，并愿意自行承担购买私募基金的法律责任。【________】</w:t>
      </w:r>
    </w:p>
    <w:p w14:paraId="5E6722A1">
      <w:pPr>
        <w:pStyle w:val="12"/>
        <w:widowControl w:val="0"/>
        <w:adjustRightInd w:val="0"/>
        <w:snapToGrid w:val="0"/>
        <w:spacing w:before="30" w:after="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11</w:t>
      </w:r>
      <w:r>
        <w:rPr>
          <w:rFonts w:asciiTheme="minorEastAsia" w:hAnsiTheme="minorEastAsia" w:eastAsiaTheme="minorEastAsia"/>
          <w:color w:val="auto"/>
          <w:highlight w:val="none"/>
        </w:rPr>
        <w:t>、</w:t>
      </w:r>
      <w:r>
        <w:rPr>
          <w:rFonts w:hint="eastAsia" w:asciiTheme="minorEastAsia" w:hAnsiTheme="minorEastAsia" w:eastAsiaTheme="minorEastAsia"/>
          <w:color w:val="auto"/>
          <w:highlight w:val="none"/>
        </w:rPr>
        <w:t>本人/机构已认真阅读并完全理解基金合同“基金的费用与税收”章节中的所有内容。【________】</w:t>
      </w:r>
    </w:p>
    <w:p w14:paraId="696C101A">
      <w:pPr>
        <w:pStyle w:val="12"/>
        <w:widowControl w:val="0"/>
        <w:adjustRightInd w:val="0"/>
        <w:snapToGrid w:val="0"/>
        <w:spacing w:before="30" w:after="30" w:line="360" w:lineRule="auto"/>
        <w:ind w:firstLine="420" w:firstLineChars="200"/>
        <w:rPr>
          <w:rFonts w:asciiTheme="minorEastAsia" w:hAnsiTheme="minorEastAsia" w:eastAsiaTheme="minorEastAsia"/>
          <w:color w:val="auto"/>
          <w:highlight w:val="none"/>
        </w:rPr>
      </w:pPr>
      <w:r>
        <w:rPr>
          <w:rFonts w:asciiTheme="minorEastAsia" w:hAnsiTheme="minorEastAsia" w:eastAsiaTheme="minorEastAsia"/>
          <w:color w:val="auto"/>
          <w:highlight w:val="none"/>
        </w:rPr>
        <w:t>1</w:t>
      </w:r>
      <w:r>
        <w:rPr>
          <w:rFonts w:hint="eastAsia" w:asciiTheme="minorEastAsia" w:hAnsiTheme="minorEastAsia" w:eastAsiaTheme="minorEastAsia"/>
          <w:color w:val="auto"/>
          <w:highlight w:val="none"/>
        </w:rPr>
        <w:t>2</w:t>
      </w:r>
      <w:r>
        <w:rPr>
          <w:rFonts w:asciiTheme="minorEastAsia" w:hAnsiTheme="minorEastAsia" w:eastAsiaTheme="minorEastAsia"/>
          <w:color w:val="auto"/>
          <w:highlight w:val="none"/>
        </w:rPr>
        <w:t>、</w:t>
      </w:r>
      <w:r>
        <w:rPr>
          <w:rFonts w:hint="eastAsia" w:asciiTheme="minorEastAsia" w:hAnsiTheme="minorEastAsia" w:eastAsiaTheme="minorEastAsia"/>
          <w:color w:val="auto"/>
          <w:highlight w:val="none"/>
        </w:rPr>
        <w:t>本人/机构已认真阅读并完全理解基金合同“法律适用和争议的处理”章节中的所有内容（包括本合同关于管辖的约定）。【________】</w:t>
      </w:r>
    </w:p>
    <w:p w14:paraId="10FB4905">
      <w:pPr>
        <w:pStyle w:val="12"/>
        <w:widowControl w:val="0"/>
        <w:adjustRightInd w:val="0"/>
        <w:snapToGrid w:val="0"/>
        <w:spacing w:before="30" w:after="30" w:line="360" w:lineRule="auto"/>
        <w:ind w:firstLine="420" w:firstLineChars="200"/>
        <w:rPr>
          <w:rFonts w:asciiTheme="minorEastAsia" w:hAnsiTheme="minorEastAsia" w:eastAsiaTheme="minorEastAsia"/>
          <w:color w:val="auto"/>
          <w:highlight w:val="none"/>
        </w:rPr>
      </w:pPr>
      <w:r>
        <w:rPr>
          <w:rFonts w:asciiTheme="minorEastAsia" w:hAnsiTheme="minorEastAsia" w:eastAsiaTheme="minorEastAsia"/>
          <w:color w:val="auto"/>
          <w:highlight w:val="none"/>
        </w:rPr>
        <w:t>1</w:t>
      </w:r>
      <w:r>
        <w:rPr>
          <w:rFonts w:hint="eastAsia" w:asciiTheme="minorEastAsia" w:hAnsiTheme="minorEastAsia" w:eastAsiaTheme="minorEastAsia"/>
          <w:color w:val="auto"/>
          <w:highlight w:val="none"/>
        </w:rPr>
        <w:t>3</w:t>
      </w:r>
      <w:r>
        <w:rPr>
          <w:rFonts w:asciiTheme="minorEastAsia" w:hAnsiTheme="minorEastAsia" w:eastAsiaTheme="minorEastAsia"/>
          <w:color w:val="auto"/>
          <w:highlight w:val="none"/>
        </w:rPr>
        <w:t>、</w:t>
      </w:r>
      <w:r>
        <w:rPr>
          <w:rFonts w:hint="eastAsia" w:asciiTheme="minorEastAsia" w:hAnsiTheme="minorEastAsia" w:eastAsiaTheme="minorEastAsia"/>
          <w:color w:val="auto"/>
          <w:highlight w:val="none"/>
        </w:rPr>
        <w:t>本人/机构已认真阅读并完全理解基金合同中限制或免除基金托管人责任合同条款的所有内容。【________】</w:t>
      </w:r>
    </w:p>
    <w:p w14:paraId="3CF5C171">
      <w:pPr>
        <w:pStyle w:val="12"/>
        <w:widowControl w:val="0"/>
        <w:adjustRightInd w:val="0"/>
        <w:snapToGrid w:val="0"/>
        <w:spacing w:before="30" w:after="30" w:line="360" w:lineRule="auto"/>
        <w:ind w:firstLine="420" w:firstLineChars="200"/>
        <w:rPr>
          <w:rFonts w:asciiTheme="minorEastAsia" w:hAnsiTheme="minorEastAsia" w:eastAsiaTheme="minorEastAsia"/>
          <w:color w:val="auto"/>
          <w:highlight w:val="none"/>
        </w:rPr>
      </w:pPr>
      <w:r>
        <w:rPr>
          <w:rFonts w:asciiTheme="minorEastAsia" w:hAnsiTheme="minorEastAsia" w:eastAsiaTheme="minorEastAsia"/>
          <w:color w:val="auto"/>
          <w:highlight w:val="none"/>
        </w:rPr>
        <w:t>1</w:t>
      </w:r>
      <w:r>
        <w:rPr>
          <w:rFonts w:hint="eastAsia" w:asciiTheme="minorEastAsia" w:hAnsiTheme="minorEastAsia" w:eastAsiaTheme="minorEastAsia"/>
          <w:color w:val="auto"/>
          <w:highlight w:val="none"/>
        </w:rPr>
        <w:t>4</w:t>
      </w:r>
      <w:r>
        <w:rPr>
          <w:rFonts w:asciiTheme="minorEastAsia" w:hAnsiTheme="minorEastAsia" w:eastAsiaTheme="minorEastAsia"/>
          <w:color w:val="auto"/>
          <w:highlight w:val="none"/>
        </w:rPr>
        <w:t>、</w:t>
      </w:r>
      <w:r>
        <w:rPr>
          <w:rFonts w:hint="eastAsia" w:asciiTheme="minorEastAsia" w:hAnsiTheme="minorEastAsia" w:eastAsiaTheme="minorEastAsia"/>
          <w:color w:val="auto"/>
          <w:highlight w:val="none"/>
        </w:rPr>
        <w:t>本人/机构知晓，中国基金业协会为私募基金管理人和私募基金办理登记备案不构成对私募基金管理人投资能力、持续合规情况的认可；不作为对基金财产安全的保证。【________】</w:t>
      </w:r>
    </w:p>
    <w:p w14:paraId="06D7417F">
      <w:pPr>
        <w:pStyle w:val="12"/>
        <w:widowControl w:val="0"/>
        <w:adjustRightInd w:val="0"/>
        <w:snapToGrid w:val="0"/>
        <w:spacing w:before="30" w:after="30" w:line="360" w:lineRule="auto"/>
        <w:ind w:firstLine="420" w:firstLineChars="200"/>
        <w:rPr>
          <w:rFonts w:asciiTheme="minorEastAsia" w:hAnsiTheme="minorEastAsia" w:eastAsiaTheme="minorEastAsia"/>
          <w:color w:val="auto"/>
          <w:highlight w:val="none"/>
        </w:rPr>
      </w:pPr>
      <w:r>
        <w:rPr>
          <w:rFonts w:asciiTheme="minorEastAsia" w:hAnsiTheme="minorEastAsia" w:eastAsiaTheme="minorEastAsia"/>
          <w:color w:val="auto"/>
          <w:highlight w:val="none"/>
        </w:rPr>
        <w:t>1</w:t>
      </w:r>
      <w:r>
        <w:rPr>
          <w:rFonts w:hint="eastAsia" w:asciiTheme="minorEastAsia" w:hAnsiTheme="minorEastAsia" w:eastAsiaTheme="minorEastAsia"/>
          <w:color w:val="auto"/>
          <w:highlight w:val="none"/>
        </w:rPr>
        <w:t>5</w:t>
      </w:r>
      <w:r>
        <w:rPr>
          <w:rFonts w:asciiTheme="minorEastAsia" w:hAnsiTheme="minorEastAsia" w:eastAsiaTheme="minorEastAsia"/>
          <w:color w:val="auto"/>
          <w:highlight w:val="none"/>
        </w:rPr>
        <w:t>、</w:t>
      </w:r>
      <w:r>
        <w:rPr>
          <w:rFonts w:hint="eastAsia" w:asciiTheme="minorEastAsia" w:hAnsiTheme="minorEastAsia" w:eastAsiaTheme="minorEastAsia"/>
          <w:color w:val="auto"/>
          <w:highlight w:val="none"/>
        </w:rPr>
        <w:t>本人/机构承诺本次投资行为是为本人/机构购买私募投资基金。【________】</w:t>
      </w:r>
    </w:p>
    <w:p w14:paraId="6784D8DE">
      <w:pPr>
        <w:pStyle w:val="12"/>
        <w:widowControl w:val="0"/>
        <w:adjustRightInd w:val="0"/>
        <w:snapToGrid w:val="0"/>
        <w:spacing w:before="30" w:after="30" w:line="360" w:lineRule="auto"/>
        <w:ind w:firstLine="420" w:firstLineChars="200"/>
        <w:rPr>
          <w:rFonts w:asciiTheme="minorEastAsia" w:hAnsiTheme="minorEastAsia" w:eastAsiaTheme="minorEastAsia"/>
          <w:color w:val="auto"/>
          <w:highlight w:val="none"/>
        </w:rPr>
      </w:pPr>
      <w:r>
        <w:rPr>
          <w:rFonts w:asciiTheme="minorEastAsia" w:hAnsiTheme="minorEastAsia" w:eastAsiaTheme="minorEastAsia"/>
          <w:color w:val="auto"/>
          <w:highlight w:val="none"/>
        </w:rPr>
        <w:t>1</w:t>
      </w:r>
      <w:r>
        <w:rPr>
          <w:rFonts w:hint="eastAsia" w:asciiTheme="minorEastAsia" w:hAnsiTheme="minorEastAsia" w:eastAsiaTheme="minorEastAsia"/>
          <w:color w:val="auto"/>
          <w:highlight w:val="none"/>
        </w:rPr>
        <w:t>6</w:t>
      </w:r>
      <w:r>
        <w:rPr>
          <w:rFonts w:asciiTheme="minorEastAsia" w:hAnsiTheme="minorEastAsia" w:eastAsiaTheme="minorEastAsia"/>
          <w:color w:val="auto"/>
          <w:highlight w:val="none"/>
        </w:rPr>
        <w:t>、</w:t>
      </w:r>
      <w:r>
        <w:rPr>
          <w:rFonts w:hint="eastAsia" w:asciiTheme="minorEastAsia" w:hAnsiTheme="minorEastAsia" w:eastAsiaTheme="minorEastAsia"/>
          <w:color w:val="auto"/>
          <w:highlight w:val="none"/>
        </w:rPr>
        <w:t>本人/机构承诺不以非法拆分转让为目的购买私募基金，不会突破合格投资者标准，将私募基金份额或其收益权进行非法拆分转让。【________】</w:t>
      </w:r>
    </w:p>
    <w:p w14:paraId="0BBA1456">
      <w:pPr>
        <w:adjustRightInd w:val="0"/>
        <w:snapToGrid w:val="0"/>
        <w:spacing w:before="93" w:beforeLines="30" w:after="93" w:afterLines="30" w:line="360" w:lineRule="auto"/>
        <w:ind w:firstLine="420" w:firstLineChars="200"/>
        <w:rPr>
          <w:rFonts w:cs="宋体" w:asciiTheme="minorEastAsia" w:hAnsiTheme="minorEastAsia" w:eastAsiaTheme="minorEastAsia"/>
          <w:color w:val="auto"/>
          <w:kern w:val="0"/>
          <w:szCs w:val="21"/>
          <w:highlight w:val="none"/>
        </w:rPr>
      </w:pPr>
      <w:bookmarkStart w:id="4" w:name="_Hlk73372412"/>
      <w:r>
        <w:rPr>
          <w:rFonts w:hint="eastAsia" w:cs="宋体" w:asciiTheme="minorEastAsia" w:hAnsiTheme="minorEastAsia" w:eastAsiaTheme="minorEastAsia"/>
          <w:color w:val="auto"/>
          <w:kern w:val="0"/>
          <w:szCs w:val="21"/>
          <w:highlight w:val="none"/>
        </w:rPr>
        <w:t>本风险揭示书的揭示事项仅为列举性质，未能详尽列明投资本基金的所有风险。本人／本机构作为投资者已</w:t>
      </w:r>
      <w:r>
        <w:rPr>
          <w:rFonts w:hint="eastAsia" w:cs="宋体" w:asciiTheme="minorEastAsia" w:hAnsiTheme="minorEastAsia" w:eastAsiaTheme="minorEastAsia"/>
          <w:b/>
          <w:color w:val="auto"/>
          <w:kern w:val="0"/>
          <w:szCs w:val="21"/>
          <w:highlight w:val="none"/>
        </w:rPr>
        <w:t>详阅并充分理解</w:t>
      </w:r>
      <w:r>
        <w:rPr>
          <w:rFonts w:hint="eastAsia" w:cs="宋体" w:asciiTheme="minorEastAsia" w:hAnsiTheme="minorEastAsia" w:eastAsiaTheme="minorEastAsia"/>
          <w:color w:val="auto"/>
          <w:kern w:val="0"/>
          <w:szCs w:val="21"/>
          <w:highlight w:val="none"/>
        </w:rPr>
        <w:t>风险揭示书及相关基金文件所提示的风险，并</w:t>
      </w:r>
      <w:r>
        <w:rPr>
          <w:rFonts w:hint="eastAsia" w:cs="宋体" w:asciiTheme="minorEastAsia" w:hAnsiTheme="minorEastAsia" w:eastAsiaTheme="minorEastAsia"/>
          <w:b/>
          <w:color w:val="auto"/>
          <w:kern w:val="0"/>
          <w:szCs w:val="21"/>
          <w:highlight w:val="none"/>
        </w:rPr>
        <w:t>自愿承担</w:t>
      </w:r>
      <w:r>
        <w:rPr>
          <w:rFonts w:hint="eastAsia" w:cs="宋体" w:asciiTheme="minorEastAsia" w:hAnsiTheme="minorEastAsia" w:eastAsiaTheme="minorEastAsia"/>
          <w:color w:val="auto"/>
          <w:kern w:val="0"/>
          <w:szCs w:val="21"/>
          <w:highlight w:val="none"/>
        </w:rPr>
        <w:t>由上述风险引致的全部后果。</w:t>
      </w:r>
    </w:p>
    <w:bookmarkEnd w:id="4"/>
    <w:p w14:paraId="59623078">
      <w:pPr>
        <w:pStyle w:val="12"/>
        <w:widowControl w:val="0"/>
        <w:adjustRightInd w:val="0"/>
        <w:snapToGrid w:val="0"/>
        <w:spacing w:before="30" w:after="30" w:line="360" w:lineRule="auto"/>
        <w:rPr>
          <w:rFonts w:asciiTheme="minorEastAsia" w:hAnsiTheme="minorEastAsia" w:eastAsiaTheme="minorEastAsia"/>
          <w:color w:val="auto"/>
          <w:highlight w:val="none"/>
        </w:rPr>
      </w:pPr>
    </w:p>
    <w:p w14:paraId="5CC7FB1F">
      <w:pPr>
        <w:pStyle w:val="12"/>
        <w:widowControl w:val="0"/>
        <w:adjustRightInd w:val="0"/>
        <w:snapToGrid w:val="0"/>
        <w:spacing w:before="30" w:after="30" w:line="360" w:lineRule="auto"/>
        <w:ind w:firstLine="3108" w:firstLineChars="1480"/>
        <w:rPr>
          <w:rFonts w:asciiTheme="minorEastAsia" w:hAnsiTheme="minorEastAsia" w:eastAsiaTheme="minorEastAsia"/>
          <w:color w:val="auto"/>
          <w:highlight w:val="none"/>
        </w:rPr>
      </w:pPr>
    </w:p>
    <w:p w14:paraId="2DBD7186">
      <w:pPr>
        <w:pStyle w:val="12"/>
        <w:widowControl w:val="0"/>
        <w:adjustRightInd w:val="0"/>
        <w:snapToGrid w:val="0"/>
        <w:spacing w:before="30" w:after="30" w:line="360" w:lineRule="auto"/>
        <w:ind w:firstLine="3108" w:firstLineChars="148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基金投资者（自然人签字或机构盖章）：</w:t>
      </w:r>
    </w:p>
    <w:p w14:paraId="100BF391">
      <w:pPr>
        <w:pStyle w:val="12"/>
        <w:widowControl w:val="0"/>
        <w:adjustRightInd w:val="0"/>
        <w:snapToGrid w:val="0"/>
        <w:spacing w:before="30" w:after="30" w:line="360" w:lineRule="auto"/>
        <w:ind w:firstLine="3108" w:firstLineChars="148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日期：</w:t>
      </w:r>
    </w:p>
    <w:p w14:paraId="3313F0EC">
      <w:pPr>
        <w:pStyle w:val="12"/>
        <w:widowControl w:val="0"/>
        <w:adjustRightInd w:val="0"/>
        <w:snapToGrid w:val="0"/>
        <w:spacing w:before="30" w:after="30" w:line="360" w:lineRule="auto"/>
        <w:ind w:firstLine="3108" w:firstLineChars="1480"/>
        <w:rPr>
          <w:rFonts w:asciiTheme="minorEastAsia" w:hAnsiTheme="minorEastAsia" w:eastAsiaTheme="minorEastAsia"/>
          <w:color w:val="auto"/>
          <w:highlight w:val="none"/>
        </w:rPr>
      </w:pPr>
    </w:p>
    <w:p w14:paraId="308BD823">
      <w:pPr>
        <w:pStyle w:val="12"/>
        <w:widowControl w:val="0"/>
        <w:adjustRightInd w:val="0"/>
        <w:snapToGrid w:val="0"/>
        <w:spacing w:before="30" w:after="30" w:line="360" w:lineRule="auto"/>
        <w:ind w:firstLine="3108" w:firstLineChars="148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经办员（签字）：</w:t>
      </w:r>
    </w:p>
    <w:p w14:paraId="7BB39DFE">
      <w:pPr>
        <w:pStyle w:val="12"/>
        <w:widowControl w:val="0"/>
        <w:adjustRightInd w:val="0"/>
        <w:snapToGrid w:val="0"/>
        <w:spacing w:before="30" w:after="30" w:line="360" w:lineRule="auto"/>
        <w:ind w:firstLine="3108" w:firstLineChars="148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日期：</w:t>
      </w:r>
    </w:p>
    <w:p w14:paraId="0165B0B8">
      <w:pPr>
        <w:pStyle w:val="12"/>
        <w:widowControl w:val="0"/>
        <w:adjustRightInd w:val="0"/>
        <w:snapToGrid w:val="0"/>
        <w:spacing w:before="30" w:after="30" w:line="360" w:lineRule="auto"/>
        <w:ind w:firstLine="3108" w:firstLineChars="1480"/>
        <w:rPr>
          <w:rFonts w:asciiTheme="minorEastAsia" w:hAnsiTheme="minorEastAsia" w:eastAsiaTheme="minorEastAsia"/>
          <w:color w:val="auto"/>
          <w:highlight w:val="none"/>
        </w:rPr>
      </w:pPr>
    </w:p>
    <w:p w14:paraId="2FB19106">
      <w:pPr>
        <w:pStyle w:val="12"/>
        <w:widowControl w:val="0"/>
        <w:adjustRightInd w:val="0"/>
        <w:snapToGrid w:val="0"/>
        <w:spacing w:before="30" w:after="30" w:line="360" w:lineRule="auto"/>
        <w:ind w:firstLine="3108" w:firstLineChars="148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募集机构（盖章）：</w:t>
      </w:r>
    </w:p>
    <w:p w14:paraId="7949AF80">
      <w:pPr>
        <w:pStyle w:val="12"/>
        <w:widowControl w:val="0"/>
        <w:adjustRightInd w:val="0"/>
        <w:snapToGrid w:val="0"/>
        <w:spacing w:before="30" w:after="30" w:line="360" w:lineRule="auto"/>
        <w:ind w:firstLine="3108" w:firstLineChars="148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日期：</w:t>
      </w:r>
    </w:p>
    <w:p w14:paraId="496FFA73">
      <w:pPr>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r>
        <w:rPr>
          <w:rFonts w:hint="eastAsia" w:asciiTheme="minorEastAsia" w:hAnsiTheme="minorEastAsia" w:eastAsiaTheme="minorEastAsia"/>
          <w:color w:val="auto"/>
          <w:sz w:val="28"/>
          <w:szCs w:val="28"/>
          <w:highlight w:val="none"/>
        </w:rPr>
        <w:br w:type="page"/>
      </w:r>
    </w:p>
    <w:p w14:paraId="7425C4AD">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r>
        <w:rPr>
          <w:rFonts w:hint="eastAsia" w:asciiTheme="minorEastAsia" w:hAnsiTheme="minorEastAsia" w:eastAsiaTheme="minorEastAsia"/>
          <w:color w:val="auto"/>
          <w:sz w:val="28"/>
          <w:szCs w:val="28"/>
          <w:highlight w:val="none"/>
        </w:rPr>
        <w:t>投资者承诺书</w:t>
      </w:r>
    </w:p>
    <w:p w14:paraId="0D4510AA">
      <w:pPr>
        <w:adjustRightInd w:val="0"/>
        <w:snapToGrid w:val="0"/>
        <w:spacing w:before="93" w:beforeLines="30" w:after="93" w:afterLines="30" w:line="360" w:lineRule="auto"/>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lang w:eastAsia="zh-CN"/>
        </w:rPr>
        <w:t>北京石云科技有限公司</w:t>
      </w:r>
      <w:r>
        <w:rPr>
          <w:rFonts w:hint="eastAsia" w:asciiTheme="minorEastAsia" w:hAnsiTheme="minorEastAsia" w:eastAsiaTheme="minorEastAsia"/>
          <w:b/>
          <w:color w:val="auto"/>
          <w:szCs w:val="21"/>
          <w:highlight w:val="none"/>
        </w:rPr>
        <w:t>：</w:t>
      </w:r>
    </w:p>
    <w:p w14:paraId="4B44778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cs="仿宋_GB2312" w:asciiTheme="minorEastAsia" w:hAnsiTheme="minorEastAsia" w:eastAsiaTheme="minorEastAsia"/>
          <w:color w:val="auto"/>
          <w:szCs w:val="21"/>
          <w:highlight w:val="none"/>
        </w:rPr>
        <w:t>1、本人/本单位承诺符合《私募投资基金监督管理暂行办法》《证券期货投资者适当性管理办法》《基金募集机构投资者适当性管理实施指引（试行）》及其他法律法规、证监会规定的合格投资者标准，具有相应的风险识别能力和风险承受能力。本人/本单位</w:t>
      </w:r>
      <w:r>
        <w:rPr>
          <w:rFonts w:hint="eastAsia" w:asciiTheme="minorEastAsia" w:hAnsiTheme="minorEastAsia" w:eastAsiaTheme="minorEastAsia"/>
          <w:color w:val="auto"/>
          <w:szCs w:val="21"/>
          <w:highlight w:val="none"/>
        </w:rPr>
        <w:t>承诺向基金管理人提供的有关投资目的、投资偏好、投资限制和风险承受能力等情况真实合法、完整有效，不存在任何重大遗漏或误导性陈述，前述信息资料如发生任何实质性变更，</w:t>
      </w:r>
      <w:r>
        <w:rPr>
          <w:rFonts w:hint="eastAsia" w:cs="仿宋_GB2312" w:asciiTheme="minorEastAsia" w:hAnsiTheme="minorEastAsia" w:eastAsiaTheme="minorEastAsia"/>
          <w:color w:val="auto"/>
          <w:szCs w:val="21"/>
          <w:highlight w:val="none"/>
        </w:rPr>
        <w:t>本人/本单位</w:t>
      </w:r>
      <w:r>
        <w:rPr>
          <w:rFonts w:hint="eastAsia" w:asciiTheme="minorEastAsia" w:hAnsiTheme="minorEastAsia" w:eastAsiaTheme="minorEastAsia"/>
          <w:color w:val="auto"/>
          <w:szCs w:val="21"/>
          <w:highlight w:val="none"/>
        </w:rPr>
        <w:t>应当及时书面告知基金管理人或代销机构。</w:t>
      </w:r>
    </w:p>
    <w:p w14:paraId="541FB26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hint="eastAsia" w:cs="仿宋_GB2312" w:asciiTheme="minorEastAsia" w:hAnsiTheme="minorEastAsia" w:eastAsiaTheme="minorEastAsia"/>
          <w:color w:val="auto"/>
          <w:szCs w:val="21"/>
          <w:highlight w:val="none"/>
        </w:rPr>
        <w:t>本人/本单位承诺</w:t>
      </w:r>
      <w:r>
        <w:rPr>
          <w:rFonts w:hint="eastAsia" w:asciiTheme="minorEastAsia" w:hAnsiTheme="minorEastAsia" w:eastAsiaTheme="minorEastAsia"/>
          <w:color w:val="auto"/>
          <w:szCs w:val="21"/>
          <w:highlight w:val="none"/>
        </w:rPr>
        <w:t>用于认购/申购基金份额的财产为投资者拥有合法所有权或处分权的资产，保证该等财产的来源及用途符合法律法规和相关政策规定，不存在非法汇集他人资金投资的情形，不存在使用贷款、发行债券等筹集的非自有资金投资本基金的情形，不存在不合理的利益输送、关联交易及洗钱等情况，</w:t>
      </w:r>
      <w:r>
        <w:rPr>
          <w:rFonts w:hint="eastAsia" w:cs="仿宋_GB2312" w:asciiTheme="minorEastAsia" w:hAnsiTheme="minorEastAsia" w:eastAsiaTheme="minorEastAsia"/>
          <w:color w:val="auto"/>
          <w:szCs w:val="21"/>
          <w:highlight w:val="none"/>
        </w:rPr>
        <w:t>本人/本单位</w:t>
      </w:r>
      <w:r>
        <w:rPr>
          <w:rFonts w:hint="eastAsia" w:asciiTheme="minorEastAsia" w:hAnsiTheme="minorEastAsia" w:eastAsiaTheme="minorEastAsia"/>
          <w:color w:val="auto"/>
          <w:szCs w:val="21"/>
          <w:highlight w:val="none"/>
        </w:rPr>
        <w:t>保证有完全及合法的权利委托基金管理人进行基金财产的投资管理，以及委托基金托管人进行基金财产的托管业务。</w:t>
      </w:r>
    </w:p>
    <w:p w14:paraId="024B031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本人/本单位承诺已充分理解本基金合同全文，了解相关权利、义务，了解有关法律法规及所投资基金的风险收益特征，了解本基金的投资决策安排，愿意承担相应的投资风险。本人/本单位承认，基金管理人、基金托管人未对基金财产的收益状况做出任何承诺或担保。</w:t>
      </w:r>
    </w:p>
    <w:p w14:paraId="1F6016CA">
      <w:pPr>
        <w:adjustRightInd w:val="0"/>
        <w:snapToGrid w:val="0"/>
        <w:spacing w:before="93" w:beforeLines="30" w:after="93" w:afterLines="30" w:line="360" w:lineRule="auto"/>
        <w:ind w:firstLine="420" w:firstLineChars="200"/>
        <w:rPr>
          <w:rFonts w:cs="仿宋_GB2312" w:asciiTheme="minorEastAsia" w:hAnsiTheme="minorEastAsia" w:eastAsiaTheme="minorEastAsia"/>
          <w:color w:val="auto"/>
          <w:szCs w:val="21"/>
          <w:highlight w:val="none"/>
        </w:rPr>
      </w:pPr>
      <w:r>
        <w:rPr>
          <w:rFonts w:hint="eastAsia" w:cs="仿宋_GB2312" w:asciiTheme="minorEastAsia" w:hAnsiTheme="minorEastAsia" w:eastAsiaTheme="minorEastAsia"/>
          <w:color w:val="auto"/>
          <w:szCs w:val="21"/>
          <w:highlight w:val="none"/>
        </w:rPr>
        <w:t>4、本人/本单位承诺，基金管理人有权要求本人/本单位提供资产来源及用途合法性证明，对资产来源及用途及合法性进行调查，本人/本单位愿意配合。</w:t>
      </w:r>
    </w:p>
    <w:p w14:paraId="434B0288">
      <w:pPr>
        <w:adjustRightInd w:val="0"/>
        <w:snapToGrid w:val="0"/>
        <w:spacing w:before="93" w:beforeLines="30" w:after="93" w:afterLines="30" w:line="360" w:lineRule="auto"/>
        <w:ind w:firstLine="420" w:firstLineChars="200"/>
        <w:rPr>
          <w:rFonts w:cs="仿宋_GB2312" w:asciiTheme="minorEastAsia" w:hAnsiTheme="minorEastAsia" w:eastAsiaTheme="minorEastAsia"/>
          <w:color w:val="auto"/>
          <w:szCs w:val="21"/>
          <w:highlight w:val="none"/>
        </w:rPr>
      </w:pPr>
      <w:r>
        <w:rPr>
          <w:rFonts w:hint="eastAsia" w:cs="仿宋_GB2312" w:asciiTheme="minorEastAsia" w:hAnsiTheme="minorEastAsia" w:eastAsiaTheme="minorEastAsia"/>
          <w:color w:val="auto"/>
          <w:szCs w:val="21"/>
          <w:highlight w:val="none"/>
        </w:rPr>
        <w:t>5、本人/本单位承诺，本人/本单位在参与基金管理人发起设立的私募基金的投资过程中，如果因存在欺诈、隐瞒或其他不符合实际情况的陈述所产生的一切责任，由本人/本单位自行承担，与基金管理人及基金托管人无关。</w:t>
      </w:r>
    </w:p>
    <w:p w14:paraId="5076FFFB">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cs="仿宋_GB2312" w:asciiTheme="minorEastAsia" w:hAnsiTheme="minorEastAsia" w:eastAsiaTheme="minorEastAsia"/>
          <w:color w:val="auto"/>
          <w:szCs w:val="21"/>
          <w:highlight w:val="none"/>
        </w:rPr>
        <w:t>6、本人/本单位承诺已知悉并接受此安排：本基金分为A、B、C、D四类份额，</w:t>
      </w:r>
      <w:bookmarkStart w:id="5" w:name="OLE_LINK5"/>
      <w:bookmarkStart w:id="6" w:name="OLE_LINK4"/>
      <w:r>
        <w:rPr>
          <w:rFonts w:hint="eastAsia" w:cs="仿宋_GB2312" w:asciiTheme="minorEastAsia" w:hAnsiTheme="minorEastAsia" w:eastAsiaTheme="minorEastAsia"/>
          <w:color w:val="auto"/>
          <w:szCs w:val="21"/>
          <w:highlight w:val="none"/>
        </w:rPr>
        <w:t>本基金的A类基金份额是指由基金管理人委托的代销机构向自然人合格投资者进行代销募集的基金份额，其认购/申购行为须符合监管机构的规定；本基金的B类基金份额是指</w:t>
      </w:r>
      <w:r>
        <w:rPr>
          <w:rFonts w:hint="eastAsia" w:ascii="宋体" w:hAnsi="宋体"/>
          <w:color w:val="auto"/>
          <w:szCs w:val="21"/>
          <w:highlight w:val="none"/>
        </w:rPr>
        <w:t>由基金管理人委托的代销机构向除自然人合格投资者以外的其他合格投资者进行代销募集的基金份额；</w:t>
      </w:r>
    </w:p>
    <w:p w14:paraId="05FFBDF2">
      <w:pPr>
        <w:adjustRightInd w:val="0"/>
        <w:snapToGrid w:val="0"/>
        <w:spacing w:before="93" w:beforeLines="30" w:after="93" w:afterLines="30" w:line="360" w:lineRule="auto"/>
        <w:rPr>
          <w:rFonts w:cs="仿宋_GB2312" w:asciiTheme="minorEastAsia" w:hAnsiTheme="minorEastAsia" w:eastAsiaTheme="minorEastAsia"/>
          <w:color w:val="auto"/>
          <w:szCs w:val="21"/>
          <w:highlight w:val="none"/>
        </w:rPr>
      </w:pPr>
      <w:r>
        <w:rPr>
          <w:rFonts w:hint="eastAsia" w:cs="仿宋_GB2312" w:asciiTheme="minorEastAsia" w:hAnsiTheme="minorEastAsia" w:eastAsiaTheme="minorEastAsia"/>
          <w:color w:val="auto"/>
          <w:szCs w:val="21"/>
          <w:highlight w:val="none"/>
        </w:rPr>
        <w:t>本基金的C类基金份额是指向除A、B、D类份额投资者以外的其他合格投资者募集的基金份额；本基金的D类基金份额是指</w:t>
      </w:r>
      <w:r>
        <w:rPr>
          <w:rFonts w:hint="eastAsia" w:ascii="宋体" w:hAnsi="宋体"/>
          <w:color w:val="auto"/>
          <w:szCs w:val="21"/>
          <w:highlight w:val="none"/>
        </w:rPr>
        <w:t>通过管理人直销渠道向本基金管理人管理的其他私募基金、本基金管理人、本基金管理人员工以及本基金管理人担任投资顾问的资管产品募集的基金份额</w:t>
      </w:r>
      <w:r>
        <w:rPr>
          <w:rFonts w:hint="eastAsia" w:cs="仿宋_GB2312" w:asciiTheme="minorEastAsia" w:hAnsiTheme="minorEastAsia" w:eastAsiaTheme="minorEastAsia"/>
          <w:color w:val="auto"/>
          <w:szCs w:val="21"/>
          <w:highlight w:val="none"/>
        </w:rPr>
        <w:t>。</w:t>
      </w:r>
      <w:bookmarkEnd w:id="5"/>
      <w:bookmarkEnd w:id="6"/>
      <w:r>
        <w:rPr>
          <w:rFonts w:hint="eastAsia" w:cs="仿宋_GB2312" w:asciiTheme="minorEastAsia" w:hAnsiTheme="minorEastAsia" w:eastAsiaTheme="minorEastAsia"/>
          <w:color w:val="auto"/>
          <w:szCs w:val="21"/>
          <w:highlight w:val="none"/>
        </w:rPr>
        <w:t>此分类安排由管理人自行控制，托管人及基金服务机构不负责监督控制。四类份额承担不同认/申购费、销售服务费、管理费及业绩报酬。相关费用收取方式详见“基金的基本情况”章节之“基金的份额分类”。</w:t>
      </w:r>
    </w:p>
    <w:p w14:paraId="3470C0E1">
      <w:pPr>
        <w:adjustRightInd w:val="0"/>
        <w:snapToGrid w:val="0"/>
        <w:spacing w:before="93" w:beforeLines="30" w:after="93" w:afterLines="30" w:line="360" w:lineRule="auto"/>
        <w:ind w:firstLine="420" w:firstLineChars="200"/>
        <w:rPr>
          <w:rFonts w:cs="仿宋_GB2312" w:asciiTheme="minorEastAsia" w:hAnsiTheme="minorEastAsia" w:eastAsiaTheme="minorEastAsia"/>
          <w:color w:val="auto"/>
          <w:szCs w:val="21"/>
          <w:highlight w:val="none"/>
        </w:rPr>
      </w:pPr>
      <w:r>
        <w:rPr>
          <w:rFonts w:hint="eastAsia" w:cs="仿宋_GB2312" w:asciiTheme="minorEastAsia" w:hAnsiTheme="minorEastAsia" w:eastAsiaTheme="minorEastAsia"/>
          <w:color w:val="auto"/>
          <w:szCs w:val="21"/>
          <w:highlight w:val="none"/>
        </w:rPr>
        <w:t>本人/本单位符合</w:t>
      </w:r>
      <w:r>
        <w:rPr>
          <w:rFonts w:hint="eastAsia" w:cs="仿宋_GB2312" w:asciiTheme="minorEastAsia" w:hAnsiTheme="minorEastAsia" w:eastAsiaTheme="minorEastAsia"/>
          <w:color w:val="auto"/>
          <w:szCs w:val="21"/>
          <w:highlight w:val="none"/>
        </w:rPr>
        <w:sym w:font="Wingdings 2" w:char="F02A"/>
      </w:r>
      <w:r>
        <w:rPr>
          <w:rFonts w:hint="eastAsia" w:cs="仿宋_GB2312" w:asciiTheme="minorEastAsia" w:hAnsiTheme="minorEastAsia" w:eastAsiaTheme="minorEastAsia"/>
          <w:color w:val="auto"/>
          <w:szCs w:val="21"/>
          <w:highlight w:val="none"/>
        </w:rPr>
        <w:t>A类份额、</w:t>
      </w:r>
      <w:r>
        <w:rPr>
          <w:rFonts w:hint="eastAsia" w:cs="仿宋_GB2312" w:asciiTheme="minorEastAsia" w:hAnsiTheme="minorEastAsia" w:eastAsiaTheme="minorEastAsia"/>
          <w:color w:val="auto"/>
          <w:szCs w:val="21"/>
          <w:highlight w:val="none"/>
        </w:rPr>
        <w:sym w:font="Wingdings 2" w:char="00A3"/>
      </w:r>
      <w:r>
        <w:rPr>
          <w:rFonts w:hint="eastAsia" w:cs="仿宋_GB2312" w:asciiTheme="minorEastAsia" w:hAnsiTheme="minorEastAsia" w:eastAsiaTheme="minorEastAsia"/>
          <w:color w:val="auto"/>
          <w:szCs w:val="21"/>
          <w:highlight w:val="none"/>
        </w:rPr>
        <w:t>B类份额、</w:t>
      </w:r>
      <w:r>
        <w:rPr>
          <w:rFonts w:hint="eastAsia" w:cs="仿宋_GB2312" w:asciiTheme="minorEastAsia" w:hAnsiTheme="minorEastAsia" w:eastAsiaTheme="minorEastAsia"/>
          <w:color w:val="auto"/>
          <w:szCs w:val="21"/>
          <w:highlight w:val="none"/>
        </w:rPr>
        <w:sym w:font="Wingdings 2" w:char="F02A"/>
      </w:r>
      <w:r>
        <w:rPr>
          <w:rFonts w:hint="eastAsia" w:cs="仿宋_GB2312" w:asciiTheme="minorEastAsia" w:hAnsiTheme="minorEastAsia" w:eastAsiaTheme="minorEastAsia"/>
          <w:color w:val="auto"/>
          <w:szCs w:val="21"/>
          <w:highlight w:val="none"/>
        </w:rPr>
        <w:t>C类份额、</w:t>
      </w:r>
      <w:r>
        <w:rPr>
          <w:rFonts w:hint="eastAsia" w:cs="仿宋_GB2312" w:asciiTheme="minorEastAsia" w:hAnsiTheme="minorEastAsia" w:eastAsiaTheme="minorEastAsia"/>
          <w:color w:val="auto"/>
          <w:szCs w:val="21"/>
          <w:highlight w:val="none"/>
        </w:rPr>
        <w:sym w:font="Wingdings 2" w:char="F02A"/>
      </w:r>
      <w:r>
        <w:rPr>
          <w:rFonts w:hint="eastAsia" w:cs="仿宋_GB2312" w:asciiTheme="minorEastAsia" w:hAnsiTheme="minorEastAsia" w:eastAsiaTheme="minorEastAsia"/>
          <w:color w:val="auto"/>
          <w:szCs w:val="21"/>
          <w:highlight w:val="none"/>
        </w:rPr>
        <w:t>D类份额要求且自愿选择认购/申购</w:t>
      </w:r>
      <w:r>
        <w:rPr>
          <w:rFonts w:hint="eastAsia" w:cs="仿宋_GB2312" w:asciiTheme="minorEastAsia" w:hAnsiTheme="minorEastAsia" w:eastAsiaTheme="minorEastAsia"/>
          <w:color w:val="auto"/>
          <w:szCs w:val="21"/>
          <w:highlight w:val="none"/>
        </w:rPr>
        <w:sym w:font="Wingdings 2" w:char="F02A"/>
      </w:r>
      <w:r>
        <w:rPr>
          <w:rFonts w:hint="eastAsia" w:cs="仿宋_GB2312" w:asciiTheme="minorEastAsia" w:hAnsiTheme="minorEastAsia" w:eastAsiaTheme="minorEastAsia"/>
          <w:color w:val="auto"/>
          <w:szCs w:val="21"/>
          <w:highlight w:val="none"/>
        </w:rPr>
        <w:t xml:space="preserve"> A类份额、</w:t>
      </w:r>
      <w:r>
        <w:rPr>
          <w:rFonts w:hint="eastAsia" w:cs="仿宋_GB2312" w:asciiTheme="minorEastAsia" w:hAnsiTheme="minorEastAsia" w:eastAsiaTheme="minorEastAsia"/>
          <w:color w:val="auto"/>
          <w:szCs w:val="21"/>
          <w:highlight w:val="none"/>
        </w:rPr>
        <w:sym w:font="Wingdings 2" w:char="F02A"/>
      </w:r>
      <w:r>
        <w:rPr>
          <w:rFonts w:hint="eastAsia" w:cs="仿宋_GB2312" w:asciiTheme="minorEastAsia" w:hAnsiTheme="minorEastAsia" w:eastAsiaTheme="minorEastAsia"/>
          <w:color w:val="auto"/>
          <w:szCs w:val="21"/>
          <w:highlight w:val="none"/>
        </w:rPr>
        <w:t>B类份额、</w:t>
      </w:r>
      <w:r>
        <w:rPr>
          <w:rFonts w:hint="eastAsia" w:cs="仿宋_GB2312" w:asciiTheme="minorEastAsia" w:hAnsiTheme="minorEastAsia" w:eastAsiaTheme="minorEastAsia"/>
          <w:color w:val="auto"/>
          <w:szCs w:val="21"/>
          <w:highlight w:val="none"/>
        </w:rPr>
        <w:sym w:font="Wingdings 2" w:char="F02A"/>
      </w:r>
      <w:r>
        <w:rPr>
          <w:rFonts w:hint="eastAsia" w:cs="仿宋_GB2312" w:asciiTheme="minorEastAsia" w:hAnsiTheme="minorEastAsia" w:eastAsiaTheme="minorEastAsia"/>
          <w:color w:val="auto"/>
          <w:szCs w:val="21"/>
          <w:highlight w:val="none"/>
        </w:rPr>
        <w:t>C类份额、</w:t>
      </w:r>
      <w:r>
        <w:rPr>
          <w:rFonts w:hint="eastAsia" w:cs="仿宋_GB2312" w:asciiTheme="minorEastAsia" w:hAnsiTheme="minorEastAsia" w:eastAsiaTheme="minorEastAsia"/>
          <w:color w:val="auto"/>
          <w:szCs w:val="21"/>
          <w:highlight w:val="none"/>
        </w:rPr>
        <w:sym w:font="Wingdings 2" w:char="F02A"/>
      </w:r>
      <w:r>
        <w:rPr>
          <w:rFonts w:hint="eastAsia" w:cs="仿宋_GB2312" w:asciiTheme="minorEastAsia" w:hAnsiTheme="minorEastAsia" w:eastAsiaTheme="minorEastAsia"/>
          <w:color w:val="auto"/>
          <w:szCs w:val="21"/>
          <w:highlight w:val="none"/>
        </w:rPr>
        <w:t>D类份额，并承担对应份额的认/申购费、销售服务费、管理费及业绩报酬。</w:t>
      </w:r>
    </w:p>
    <w:p w14:paraId="0D7BED9A">
      <w:pPr>
        <w:adjustRightInd w:val="0"/>
        <w:snapToGrid w:val="0"/>
        <w:spacing w:before="93" w:beforeLines="30" w:after="93" w:afterLines="30" w:line="360" w:lineRule="auto"/>
        <w:ind w:firstLine="420" w:firstLineChars="200"/>
        <w:rPr>
          <w:rFonts w:cs="仿宋_GB2312" w:asciiTheme="minorEastAsia" w:hAnsiTheme="minorEastAsia" w:eastAsiaTheme="minorEastAsia"/>
          <w:color w:val="auto"/>
          <w:szCs w:val="21"/>
          <w:highlight w:val="none"/>
        </w:rPr>
      </w:pPr>
    </w:p>
    <w:p w14:paraId="460FA08E">
      <w:pPr>
        <w:adjustRightInd w:val="0"/>
        <w:snapToGrid w:val="0"/>
        <w:spacing w:before="93" w:beforeLines="30" w:after="93" w:afterLines="30" w:line="360" w:lineRule="auto"/>
        <w:ind w:firstLine="420" w:firstLineChars="200"/>
        <w:rPr>
          <w:rFonts w:cs="仿宋_GB2312" w:asciiTheme="minorEastAsia" w:hAnsiTheme="minorEastAsia" w:eastAsiaTheme="minorEastAsia"/>
          <w:color w:val="auto"/>
          <w:szCs w:val="21"/>
          <w:highlight w:val="none"/>
        </w:rPr>
      </w:pPr>
    </w:p>
    <w:p w14:paraId="660B80E3">
      <w:pPr>
        <w:adjustRightInd w:val="0"/>
        <w:snapToGrid w:val="0"/>
        <w:spacing w:before="93" w:beforeLines="30" w:after="93" w:afterLines="30" w:line="360" w:lineRule="auto"/>
        <w:ind w:firstLine="2975" w:firstLineChars="1417"/>
        <w:rPr>
          <w:rFonts w:asciiTheme="minorEastAsia" w:hAnsiTheme="minorEastAsia" w:eastAsiaTheme="minorEastAsia"/>
          <w:b/>
          <w:color w:val="auto"/>
          <w:szCs w:val="21"/>
          <w:highlight w:val="none"/>
        </w:rPr>
      </w:pPr>
      <w:r>
        <w:rPr>
          <w:rFonts w:hint="eastAsia" w:asciiTheme="minorEastAsia" w:hAnsiTheme="minorEastAsia" w:eastAsiaTheme="minorEastAsia"/>
          <w:color w:val="auto"/>
          <w:szCs w:val="21"/>
          <w:highlight w:val="none"/>
        </w:rPr>
        <w:t>承诺人</w:t>
      </w:r>
      <w:r>
        <w:rPr>
          <w:rFonts w:hint="eastAsia" w:asciiTheme="minorEastAsia" w:hAnsiTheme="minorEastAsia" w:eastAsiaTheme="minorEastAsia"/>
          <w:b/>
          <w:color w:val="auto"/>
          <w:szCs w:val="21"/>
          <w:highlight w:val="none"/>
        </w:rPr>
        <w:t>（自然人）</w:t>
      </w:r>
    </w:p>
    <w:p w14:paraId="0BB19BBA">
      <w:pPr>
        <w:adjustRightInd w:val="0"/>
        <w:snapToGrid w:val="0"/>
        <w:spacing w:before="93" w:beforeLines="30" w:after="93" w:afterLines="30" w:line="360" w:lineRule="auto"/>
        <w:ind w:firstLine="2975" w:firstLineChars="1417"/>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（签字）</w:t>
      </w:r>
    </w:p>
    <w:p w14:paraId="0E870E40">
      <w:pPr>
        <w:adjustRightInd w:val="0"/>
        <w:snapToGrid w:val="0"/>
        <w:spacing w:before="93" w:beforeLines="30" w:after="93" w:afterLines="30" w:line="360" w:lineRule="auto"/>
        <w:ind w:firstLine="2975" w:firstLineChars="1417"/>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或：承诺人</w:t>
      </w:r>
      <w:r>
        <w:rPr>
          <w:rFonts w:hint="eastAsia" w:asciiTheme="minorEastAsia" w:hAnsiTheme="minorEastAsia" w:eastAsiaTheme="minorEastAsia"/>
          <w:b/>
          <w:color w:val="auto"/>
          <w:szCs w:val="21"/>
          <w:highlight w:val="none"/>
        </w:rPr>
        <w:t>（机构）</w:t>
      </w:r>
    </w:p>
    <w:p w14:paraId="70A93160">
      <w:pPr>
        <w:adjustRightInd w:val="0"/>
        <w:snapToGrid w:val="0"/>
        <w:spacing w:before="93" w:beforeLines="30" w:after="93" w:afterLines="30" w:line="360" w:lineRule="auto"/>
        <w:ind w:firstLine="2975" w:firstLineChars="1417"/>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（加盖公章并由法定代表人/负责人或授权代表签字）</w:t>
      </w:r>
    </w:p>
    <w:p w14:paraId="668B5042">
      <w:pPr>
        <w:adjustRightInd w:val="0"/>
        <w:snapToGrid w:val="0"/>
        <w:spacing w:before="93" w:beforeLines="30" w:after="93" w:afterLines="30" w:line="360" w:lineRule="auto"/>
        <w:ind w:firstLine="2975" w:firstLineChars="1417"/>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日期：     年     月     日</w:t>
      </w:r>
    </w:p>
    <w:p w14:paraId="04EB32AF">
      <w:pPr>
        <w:widowControl/>
        <w:jc w:val="left"/>
        <w:rPr>
          <w:rFonts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br w:type="page"/>
      </w:r>
    </w:p>
    <w:p w14:paraId="325693EF">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r>
        <w:rPr>
          <w:rFonts w:hint="eastAsia" w:asciiTheme="minorEastAsia" w:hAnsiTheme="minorEastAsia" w:eastAsiaTheme="minorEastAsia"/>
          <w:color w:val="auto"/>
          <w:sz w:val="28"/>
          <w:szCs w:val="28"/>
          <w:highlight w:val="none"/>
        </w:rPr>
        <w:t>投资者告知书</w:t>
      </w:r>
    </w:p>
    <w:p w14:paraId="1D556EF2">
      <w:pPr>
        <w:adjustRightInd w:val="0"/>
        <w:snapToGrid w:val="0"/>
        <w:spacing w:before="93" w:beforeLines="30" w:after="93" w:afterLines="30" w:line="360" w:lineRule="auto"/>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尊敬的投资者：</w:t>
      </w:r>
    </w:p>
    <w:p w14:paraId="41C6AE5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通过直销机构（基金管理人）和基金管理人委托的代销机构进行销售。基金投资者认购或申购本基金，以人民币货币资金形式交付，在直销机构认购或申购的投资者须将资金从在中国境内开立的自有银行账户划款至直销募集账户，在代销机构认购或申购的投资者按代销机构的规定缴付资金。</w:t>
      </w:r>
    </w:p>
    <w:p w14:paraId="324E3EE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募集结算资金专用账户为本基金的份额登记机构为本基金在商业银行开立的募集结算资金归集账户以及注册登记账户，并由监督机构实施监督。该账户仅用于本基金募集期间和存续期间认购、申购、赎回、分红、费用等资金的归集与支付，以及基金财产清算过程中剩余资产的归集</w:t>
      </w:r>
      <w:r>
        <w:rPr>
          <w:rFonts w:asciiTheme="minorEastAsia" w:hAnsiTheme="minorEastAsia" w:eastAsiaTheme="minorEastAsia"/>
          <w:color w:val="auto"/>
          <w:szCs w:val="21"/>
          <w:highlight w:val="none"/>
        </w:rPr>
        <w:t>与分配</w:t>
      </w:r>
      <w:r>
        <w:rPr>
          <w:rFonts w:hint="eastAsia" w:asciiTheme="minorEastAsia" w:hAnsiTheme="minorEastAsia" w:eastAsiaTheme="minorEastAsia"/>
          <w:color w:val="auto"/>
          <w:szCs w:val="21"/>
          <w:highlight w:val="none"/>
        </w:rPr>
        <w:t>。募集结算资金专用账户是份额登记机构接受基金管理人委托代为提供基金服务的专用账户，并不代表直销募集账户监督机构接受投资者的认购、申购资金，也不表明直销募集账户监督机构对本基金的价值和收益作出实质性判断或保证，也不表明投资于本基金没有风险。在募集账户的使用过程中，除非有足够的证据证明是因直销募集账户监督机构的原因造成的损失外，基金管理人应就其自身操作不当等原因所造成的损失承担相关责任，直销募集账户监督机构对于基金管理人的投资运作不承担任何责任。</w:t>
      </w:r>
    </w:p>
    <w:p w14:paraId="28D3A57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直销募集账户信息如下：</w:t>
      </w:r>
    </w:p>
    <w:p w14:paraId="75B797C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账户名：国泰海通运营服务募集专户</w:t>
      </w:r>
    </w:p>
    <w:p w14:paraId="2FDC270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账号：</w:t>
      </w:r>
      <w:r>
        <w:rPr>
          <w:rFonts w:hint="eastAsia" w:asciiTheme="minorEastAsia" w:hAnsiTheme="minorEastAsia" w:eastAsiaTheme="minorEastAsia"/>
          <w:color w:val="auto"/>
          <w:szCs w:val="21"/>
          <w:highlight w:val="none"/>
          <w:lang w:val="en-US" w:eastAsia="zh-CN"/>
        </w:rPr>
        <w:t>85421200000000</w:t>
      </w:r>
      <w:r>
        <w:rPr>
          <w:rFonts w:asciiTheme="minorEastAsia" w:hAnsiTheme="minorEastAsia" w:eastAsiaTheme="minorEastAsia"/>
          <w:color w:val="auto"/>
          <w:szCs w:val="21"/>
          <w:highlight w:val="none"/>
        </w:rPr>
        <w:tab/>
      </w:r>
    </w:p>
    <w:p w14:paraId="13A0A3B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开户行：平安银行股份有限公司上海分行营业部</w:t>
      </w:r>
    </w:p>
    <w:p w14:paraId="445D443C">
      <w:pPr>
        <w:adjustRightInd w:val="0"/>
        <w:snapToGrid w:val="0"/>
        <w:spacing w:before="93" w:beforeLines="30" w:after="93" w:afterLines="30" w:line="360" w:lineRule="auto"/>
        <w:ind w:firstLine="420" w:firstLineChars="200"/>
        <w:rPr>
          <w:rFonts w:hint="default" w:asciiTheme="minorEastAsia" w:hAnsiTheme="minorEastAsia" w:eastAsiaTheme="minorEastAsia"/>
          <w:color w:val="auto"/>
          <w:szCs w:val="21"/>
          <w:highlight w:val="none"/>
          <w:lang w:val="en-US" w:eastAsia="zh-CN"/>
        </w:rPr>
      </w:pPr>
      <w:r>
        <w:rPr>
          <w:rFonts w:hint="eastAsia" w:asciiTheme="minorEastAsia" w:hAnsiTheme="minorEastAsia" w:eastAsiaTheme="minorEastAsia"/>
          <w:color w:val="auto"/>
          <w:szCs w:val="21"/>
          <w:highlight w:val="none"/>
        </w:rPr>
        <w:t>大额支付号：</w:t>
      </w:r>
      <w:r>
        <w:rPr>
          <w:rFonts w:hint="eastAsia" w:asciiTheme="minorEastAsia" w:hAnsiTheme="minorEastAsia" w:eastAsiaTheme="minorEastAsia"/>
          <w:color w:val="auto"/>
          <w:szCs w:val="21"/>
          <w:highlight w:val="none"/>
          <w:lang w:val="en-US" w:eastAsia="zh-CN"/>
        </w:rPr>
        <w:t>5520148563000</w:t>
      </w:r>
    </w:p>
    <w:p w14:paraId="73482D6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本人/机构已认真阅读《投资者告知书》，清楚认识并认可关于募集账户的上述告知内容，并愿意自行承担由此可能导致的一切风险和损失。</w:t>
      </w:r>
    </w:p>
    <w:p w14:paraId="6FCAE9B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7039B7F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25B2F5A6">
      <w:pPr>
        <w:adjustRightInd w:val="0"/>
        <w:snapToGrid w:val="0"/>
        <w:spacing w:before="93" w:beforeLines="30" w:after="93" w:afterLines="30" w:line="360" w:lineRule="auto"/>
        <w:ind w:firstLine="2973" w:firstLineChars="141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基金投资者（自然人）</w:t>
      </w:r>
    </w:p>
    <w:p w14:paraId="0A79D1EB">
      <w:pPr>
        <w:adjustRightInd w:val="0"/>
        <w:snapToGrid w:val="0"/>
        <w:spacing w:before="93" w:beforeLines="30" w:after="93" w:afterLines="30" w:line="360" w:lineRule="auto"/>
        <w:ind w:firstLine="2961" w:firstLineChars="141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（签字）</w:t>
      </w:r>
    </w:p>
    <w:p w14:paraId="62588196">
      <w:pPr>
        <w:adjustRightInd w:val="0"/>
        <w:snapToGrid w:val="0"/>
        <w:spacing w:before="93" w:beforeLines="30" w:after="93" w:afterLines="30" w:line="360" w:lineRule="auto"/>
        <w:ind w:firstLine="2961" w:firstLineChars="141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或：</w:t>
      </w:r>
      <w:r>
        <w:rPr>
          <w:rFonts w:hint="eastAsia" w:asciiTheme="minorEastAsia" w:hAnsiTheme="minorEastAsia" w:eastAsiaTheme="minorEastAsia"/>
          <w:b/>
          <w:color w:val="auto"/>
          <w:szCs w:val="21"/>
          <w:highlight w:val="none"/>
        </w:rPr>
        <w:t>基金投资者（机构）</w:t>
      </w:r>
    </w:p>
    <w:p w14:paraId="774BBBE7">
      <w:pPr>
        <w:adjustRightInd w:val="0"/>
        <w:snapToGrid w:val="0"/>
        <w:spacing w:before="93" w:beforeLines="30" w:after="93" w:afterLines="30" w:line="360" w:lineRule="auto"/>
        <w:ind w:firstLine="2961" w:firstLineChars="141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（加盖公章并由法定代表人/负责人或授权代表签字）</w:t>
      </w:r>
    </w:p>
    <w:p w14:paraId="5F040CC8">
      <w:pPr>
        <w:adjustRightInd w:val="0"/>
        <w:snapToGrid w:val="0"/>
        <w:spacing w:before="93" w:beforeLines="30" w:after="93" w:afterLines="30" w:line="360" w:lineRule="auto"/>
        <w:ind w:firstLine="2961" w:firstLineChars="141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 xml:space="preserve">日期：    </w:t>
      </w:r>
      <w:r>
        <w:rPr>
          <w:rFonts w:hint="eastAsia" w:asciiTheme="minorEastAsia" w:hAnsiTheme="minorEastAsia" w:eastAsiaTheme="minorEastAsia"/>
          <w:color w:val="auto"/>
          <w:szCs w:val="21"/>
          <w:highlight w:val="none"/>
        </w:rPr>
        <w:t xml:space="preserve">  </w:t>
      </w:r>
      <w:r>
        <w:rPr>
          <w:rFonts w:asciiTheme="minorEastAsia" w:hAnsiTheme="minorEastAsia" w:eastAsiaTheme="minorEastAsia"/>
          <w:color w:val="auto"/>
          <w:szCs w:val="21"/>
          <w:highlight w:val="none"/>
        </w:rPr>
        <w:t>年     月     日</w:t>
      </w:r>
    </w:p>
    <w:p w14:paraId="04F4ADE0">
      <w:pPr>
        <w:pStyle w:val="3"/>
        <w:keepNext w:val="0"/>
        <w:keepLines w:val="0"/>
        <w:adjustRightInd w:val="0"/>
        <w:snapToGrid w:val="0"/>
        <w:spacing w:before="312" w:beforeLines="100" w:after="312" w:afterLines="100" w:line="312" w:lineRule="auto"/>
        <w:jc w:val="center"/>
        <w:rPr>
          <w:rFonts w:asciiTheme="minorEastAsia" w:hAnsiTheme="minorEastAsia" w:eastAsiaTheme="minorEastAsia"/>
          <w:color w:val="auto"/>
          <w:sz w:val="28"/>
          <w:szCs w:val="28"/>
          <w:highlight w:val="none"/>
        </w:rPr>
      </w:pPr>
      <w:r>
        <w:rPr>
          <w:rFonts w:hint="eastAsia" w:asciiTheme="minorEastAsia" w:hAnsiTheme="minorEastAsia" w:eastAsiaTheme="minorEastAsia"/>
          <w:color w:val="auto"/>
          <w:sz w:val="28"/>
          <w:szCs w:val="28"/>
          <w:highlight w:val="none"/>
        </w:rPr>
        <w:t>目   录</w:t>
      </w:r>
    </w:p>
    <w:p w14:paraId="66A21D2E">
      <w:pPr>
        <w:pStyle w:val="7"/>
        <w:adjustRightInd w:val="0"/>
        <w:snapToGrid w:val="0"/>
        <w:spacing w:before="93" w:beforeLines="30" w:after="93" w:afterLines="30" w:line="312" w:lineRule="auto"/>
        <w:rPr>
          <w:rFonts w:eastAsiaTheme="minorEastAsia"/>
          <w:color w:val="auto"/>
          <w:szCs w:val="21"/>
          <w:highlight w:val="none"/>
        </w:rPr>
      </w:pPr>
      <w:r>
        <w:rPr>
          <w:rFonts w:eastAsiaTheme="minorEastAsia"/>
          <w:color w:val="auto"/>
          <w:szCs w:val="21"/>
          <w:highlight w:val="none"/>
        </w:rPr>
        <w:fldChar w:fldCharType="begin"/>
      </w:r>
      <w:r>
        <w:rPr>
          <w:rFonts w:eastAsiaTheme="minorEastAsia"/>
          <w:color w:val="auto"/>
          <w:szCs w:val="21"/>
          <w:highlight w:val="none"/>
        </w:rPr>
        <w:instrText xml:space="preserve"> TOC \o "1-3" \h \z \u </w:instrText>
      </w:r>
      <w:r>
        <w:rPr>
          <w:rFonts w:eastAsiaTheme="minorEastAsia"/>
          <w:color w:val="auto"/>
          <w:szCs w:val="21"/>
          <w:highlight w:val="none"/>
        </w:rPr>
        <w:fldChar w:fldCharType="separate"/>
      </w:r>
      <w:r>
        <w:rPr>
          <w:color w:val="auto"/>
          <w:highlight w:val="none"/>
        </w:rPr>
        <w:fldChar w:fldCharType="begin"/>
      </w:r>
      <w:r>
        <w:rPr>
          <w:color w:val="auto"/>
          <w:highlight w:val="none"/>
        </w:rPr>
        <w:instrText xml:space="preserve"> HYPERLINK \l "_Toc459392403" </w:instrText>
      </w:r>
      <w:r>
        <w:rPr>
          <w:color w:val="auto"/>
          <w:highlight w:val="none"/>
        </w:rPr>
        <w:fldChar w:fldCharType="separate"/>
      </w:r>
      <w:r>
        <w:rPr>
          <w:rStyle w:val="10"/>
          <w:rFonts w:eastAsiaTheme="minorEastAsia"/>
          <w:color w:val="auto"/>
          <w:szCs w:val="21"/>
          <w:highlight w:val="none"/>
        </w:rPr>
        <w:t>一、前言</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_Toc459392403 \h </w:instrText>
      </w:r>
      <w:r>
        <w:rPr>
          <w:rFonts w:eastAsiaTheme="minorEastAsia"/>
          <w:color w:val="auto"/>
          <w:szCs w:val="21"/>
          <w:highlight w:val="none"/>
        </w:rPr>
        <w:fldChar w:fldCharType="separate"/>
      </w:r>
      <w:r>
        <w:rPr>
          <w:rFonts w:eastAsiaTheme="minorEastAsia"/>
          <w:color w:val="auto"/>
          <w:szCs w:val="21"/>
          <w:highlight w:val="none"/>
        </w:rPr>
        <w:t>23</w:t>
      </w:r>
      <w:r>
        <w:rPr>
          <w:rFonts w:eastAsiaTheme="minorEastAsia"/>
          <w:color w:val="auto"/>
          <w:szCs w:val="21"/>
          <w:highlight w:val="none"/>
        </w:rPr>
        <w:fldChar w:fldCharType="end"/>
      </w:r>
      <w:r>
        <w:rPr>
          <w:rFonts w:eastAsiaTheme="minorEastAsia"/>
          <w:color w:val="auto"/>
          <w:szCs w:val="21"/>
          <w:highlight w:val="none"/>
        </w:rPr>
        <w:fldChar w:fldCharType="end"/>
      </w:r>
    </w:p>
    <w:p w14:paraId="24E10C4C">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"_Toc459392404" </w:instrText>
      </w:r>
      <w:r>
        <w:rPr>
          <w:color w:val="auto"/>
          <w:highlight w:val="none"/>
        </w:rPr>
        <w:fldChar w:fldCharType="separate"/>
      </w:r>
      <w:r>
        <w:rPr>
          <w:rStyle w:val="10"/>
          <w:rFonts w:eastAsiaTheme="minorEastAsia"/>
          <w:color w:val="auto"/>
          <w:szCs w:val="21"/>
          <w:highlight w:val="none"/>
        </w:rPr>
        <w:t>二、释义</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_Toc459392404 \h </w:instrText>
      </w:r>
      <w:r>
        <w:rPr>
          <w:rFonts w:eastAsiaTheme="minorEastAsia"/>
          <w:color w:val="auto"/>
          <w:szCs w:val="21"/>
          <w:highlight w:val="none"/>
        </w:rPr>
        <w:fldChar w:fldCharType="separate"/>
      </w:r>
      <w:r>
        <w:rPr>
          <w:rFonts w:eastAsiaTheme="minorEastAsia"/>
          <w:color w:val="auto"/>
          <w:szCs w:val="21"/>
          <w:highlight w:val="none"/>
        </w:rPr>
        <w:t>23</w:t>
      </w:r>
      <w:r>
        <w:rPr>
          <w:rFonts w:eastAsiaTheme="minorEastAsia"/>
          <w:color w:val="auto"/>
          <w:szCs w:val="21"/>
          <w:highlight w:val="none"/>
        </w:rPr>
        <w:fldChar w:fldCharType="end"/>
      </w:r>
      <w:r>
        <w:rPr>
          <w:rFonts w:eastAsiaTheme="minorEastAsia"/>
          <w:color w:val="auto"/>
          <w:szCs w:val="21"/>
          <w:highlight w:val="none"/>
        </w:rPr>
        <w:fldChar w:fldCharType="end"/>
      </w:r>
    </w:p>
    <w:p w14:paraId="25BA128B">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"_Toc459392405" </w:instrText>
      </w:r>
      <w:r>
        <w:rPr>
          <w:color w:val="auto"/>
          <w:highlight w:val="none"/>
        </w:rPr>
        <w:fldChar w:fldCharType="separate"/>
      </w:r>
      <w:r>
        <w:rPr>
          <w:rStyle w:val="10"/>
          <w:rFonts w:eastAsiaTheme="minorEastAsia"/>
          <w:color w:val="auto"/>
          <w:szCs w:val="21"/>
          <w:highlight w:val="none"/>
        </w:rPr>
        <w:t>三、声明与承诺</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_Toc459392405 \h </w:instrText>
      </w:r>
      <w:r>
        <w:rPr>
          <w:rFonts w:eastAsiaTheme="minorEastAsia"/>
          <w:color w:val="auto"/>
          <w:szCs w:val="21"/>
          <w:highlight w:val="none"/>
        </w:rPr>
        <w:fldChar w:fldCharType="separate"/>
      </w:r>
      <w:r>
        <w:rPr>
          <w:rFonts w:eastAsiaTheme="minorEastAsia"/>
          <w:color w:val="auto"/>
          <w:szCs w:val="21"/>
          <w:highlight w:val="none"/>
        </w:rPr>
        <w:t>27</w:t>
      </w:r>
      <w:r>
        <w:rPr>
          <w:rFonts w:eastAsiaTheme="minorEastAsia"/>
          <w:color w:val="auto"/>
          <w:szCs w:val="21"/>
          <w:highlight w:val="none"/>
        </w:rPr>
        <w:fldChar w:fldCharType="end"/>
      </w:r>
      <w:r>
        <w:rPr>
          <w:rFonts w:eastAsiaTheme="minorEastAsia"/>
          <w:color w:val="auto"/>
          <w:szCs w:val="21"/>
          <w:highlight w:val="none"/>
        </w:rPr>
        <w:fldChar w:fldCharType="end"/>
      </w:r>
    </w:p>
    <w:p w14:paraId="64205D9F">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"_Toc459392406" </w:instrText>
      </w:r>
      <w:r>
        <w:rPr>
          <w:color w:val="auto"/>
          <w:highlight w:val="none"/>
        </w:rPr>
        <w:fldChar w:fldCharType="separate"/>
      </w:r>
      <w:r>
        <w:rPr>
          <w:rStyle w:val="10"/>
          <w:rFonts w:eastAsiaTheme="minorEastAsia"/>
          <w:color w:val="auto"/>
          <w:szCs w:val="21"/>
          <w:highlight w:val="none"/>
        </w:rPr>
        <w:t>四、基金的基本情况</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_Toc459392406 \h </w:instrText>
      </w:r>
      <w:r>
        <w:rPr>
          <w:rFonts w:eastAsiaTheme="minorEastAsia"/>
          <w:color w:val="auto"/>
          <w:szCs w:val="21"/>
          <w:highlight w:val="none"/>
        </w:rPr>
        <w:fldChar w:fldCharType="separate"/>
      </w:r>
      <w:r>
        <w:rPr>
          <w:rFonts w:eastAsiaTheme="minorEastAsia"/>
          <w:color w:val="auto"/>
          <w:szCs w:val="21"/>
          <w:highlight w:val="none"/>
        </w:rPr>
        <w:t>28</w:t>
      </w:r>
      <w:r>
        <w:rPr>
          <w:rFonts w:eastAsiaTheme="minorEastAsia"/>
          <w:color w:val="auto"/>
          <w:szCs w:val="21"/>
          <w:highlight w:val="none"/>
        </w:rPr>
        <w:fldChar w:fldCharType="end"/>
      </w:r>
      <w:r>
        <w:rPr>
          <w:rFonts w:eastAsiaTheme="minorEastAsia"/>
          <w:color w:val="auto"/>
          <w:szCs w:val="21"/>
          <w:highlight w:val="none"/>
        </w:rPr>
        <w:fldChar w:fldCharType="end"/>
      </w:r>
    </w:p>
    <w:p w14:paraId="64AD3C9E">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"_Toc459392407" </w:instrText>
      </w:r>
      <w:r>
        <w:rPr>
          <w:color w:val="auto"/>
          <w:highlight w:val="none"/>
        </w:rPr>
        <w:fldChar w:fldCharType="separate"/>
      </w:r>
      <w:r>
        <w:rPr>
          <w:rStyle w:val="10"/>
          <w:rFonts w:eastAsiaTheme="minorEastAsia"/>
          <w:color w:val="auto"/>
          <w:szCs w:val="21"/>
          <w:highlight w:val="none"/>
        </w:rPr>
        <w:t>五、基金的募集</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_Toc459392407 \h </w:instrText>
      </w:r>
      <w:r>
        <w:rPr>
          <w:rFonts w:eastAsiaTheme="minorEastAsia"/>
          <w:color w:val="auto"/>
          <w:szCs w:val="21"/>
          <w:highlight w:val="none"/>
        </w:rPr>
        <w:fldChar w:fldCharType="separate"/>
      </w:r>
      <w:r>
        <w:rPr>
          <w:rFonts w:eastAsiaTheme="minorEastAsia"/>
          <w:color w:val="auto"/>
          <w:szCs w:val="21"/>
          <w:highlight w:val="none"/>
        </w:rPr>
        <w:t>31</w:t>
      </w:r>
      <w:r>
        <w:rPr>
          <w:rFonts w:eastAsiaTheme="minorEastAsia"/>
          <w:color w:val="auto"/>
          <w:szCs w:val="21"/>
          <w:highlight w:val="none"/>
        </w:rPr>
        <w:fldChar w:fldCharType="end"/>
      </w:r>
      <w:r>
        <w:rPr>
          <w:rFonts w:eastAsiaTheme="minorEastAsia"/>
          <w:color w:val="auto"/>
          <w:szCs w:val="21"/>
          <w:highlight w:val="none"/>
        </w:rPr>
        <w:fldChar w:fldCharType="end"/>
      </w:r>
    </w:p>
    <w:p w14:paraId="646531A7">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"_Toc459392408" </w:instrText>
      </w:r>
      <w:r>
        <w:rPr>
          <w:color w:val="auto"/>
          <w:highlight w:val="none"/>
        </w:rPr>
        <w:fldChar w:fldCharType="separate"/>
      </w:r>
      <w:r>
        <w:rPr>
          <w:rStyle w:val="10"/>
          <w:rFonts w:eastAsiaTheme="minorEastAsia"/>
          <w:color w:val="auto"/>
          <w:szCs w:val="21"/>
          <w:highlight w:val="none"/>
        </w:rPr>
        <w:t>六、基金的成立与备案</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_Toc459392408 \h </w:instrText>
      </w:r>
      <w:r>
        <w:rPr>
          <w:rFonts w:eastAsiaTheme="minorEastAsia"/>
          <w:color w:val="auto"/>
          <w:szCs w:val="21"/>
          <w:highlight w:val="none"/>
        </w:rPr>
        <w:fldChar w:fldCharType="separate"/>
      </w:r>
      <w:r>
        <w:rPr>
          <w:rFonts w:eastAsiaTheme="minorEastAsia"/>
          <w:color w:val="auto"/>
          <w:szCs w:val="21"/>
          <w:highlight w:val="none"/>
        </w:rPr>
        <w:t>35</w:t>
      </w:r>
      <w:r>
        <w:rPr>
          <w:rFonts w:eastAsiaTheme="minorEastAsia"/>
          <w:color w:val="auto"/>
          <w:szCs w:val="21"/>
          <w:highlight w:val="none"/>
        </w:rPr>
        <w:fldChar w:fldCharType="end"/>
      </w:r>
      <w:r>
        <w:rPr>
          <w:rFonts w:eastAsiaTheme="minorEastAsia"/>
          <w:color w:val="auto"/>
          <w:szCs w:val="21"/>
          <w:highlight w:val="none"/>
        </w:rPr>
        <w:fldChar w:fldCharType="end"/>
      </w:r>
    </w:p>
    <w:p w14:paraId="2035500E">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"_Toc459392409" </w:instrText>
      </w:r>
      <w:r>
        <w:rPr>
          <w:color w:val="auto"/>
          <w:highlight w:val="none"/>
        </w:rPr>
        <w:fldChar w:fldCharType="separate"/>
      </w:r>
      <w:r>
        <w:rPr>
          <w:rStyle w:val="10"/>
          <w:rFonts w:eastAsiaTheme="minorEastAsia"/>
          <w:color w:val="auto"/>
          <w:szCs w:val="21"/>
          <w:highlight w:val="none"/>
        </w:rPr>
        <w:t>七、基金的申购、赎回与转让</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_Toc459392409 \h </w:instrText>
      </w:r>
      <w:r>
        <w:rPr>
          <w:rFonts w:eastAsiaTheme="minorEastAsia"/>
          <w:color w:val="auto"/>
          <w:szCs w:val="21"/>
          <w:highlight w:val="none"/>
        </w:rPr>
        <w:fldChar w:fldCharType="separate"/>
      </w:r>
      <w:r>
        <w:rPr>
          <w:rFonts w:eastAsiaTheme="minorEastAsia"/>
          <w:color w:val="auto"/>
          <w:szCs w:val="21"/>
          <w:highlight w:val="none"/>
        </w:rPr>
        <w:t>36</w:t>
      </w:r>
      <w:r>
        <w:rPr>
          <w:rFonts w:eastAsiaTheme="minorEastAsia"/>
          <w:color w:val="auto"/>
          <w:szCs w:val="21"/>
          <w:highlight w:val="none"/>
        </w:rPr>
        <w:fldChar w:fldCharType="end"/>
      </w:r>
      <w:r>
        <w:rPr>
          <w:rFonts w:eastAsiaTheme="minorEastAsia"/>
          <w:color w:val="auto"/>
          <w:szCs w:val="21"/>
          <w:highlight w:val="none"/>
        </w:rPr>
        <w:fldChar w:fldCharType="end"/>
      </w:r>
    </w:p>
    <w:p w14:paraId="40B3D07A">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"_Toc459392410" </w:instrText>
      </w:r>
      <w:r>
        <w:rPr>
          <w:color w:val="auto"/>
          <w:highlight w:val="none"/>
        </w:rPr>
        <w:fldChar w:fldCharType="separate"/>
      </w:r>
      <w:r>
        <w:rPr>
          <w:rStyle w:val="10"/>
          <w:rFonts w:eastAsiaTheme="minorEastAsia"/>
          <w:color w:val="auto"/>
          <w:szCs w:val="21"/>
          <w:highlight w:val="none"/>
        </w:rPr>
        <w:t>八、当事人及权利义务</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_Toc459392410 \h </w:instrText>
      </w:r>
      <w:r>
        <w:rPr>
          <w:rFonts w:eastAsiaTheme="minorEastAsia"/>
          <w:color w:val="auto"/>
          <w:szCs w:val="21"/>
          <w:highlight w:val="none"/>
        </w:rPr>
        <w:fldChar w:fldCharType="separate"/>
      </w:r>
      <w:r>
        <w:rPr>
          <w:rFonts w:eastAsiaTheme="minorEastAsia"/>
          <w:color w:val="auto"/>
          <w:szCs w:val="21"/>
          <w:highlight w:val="none"/>
        </w:rPr>
        <w:t>43</w:t>
      </w:r>
      <w:r>
        <w:rPr>
          <w:rFonts w:eastAsiaTheme="minorEastAsia"/>
          <w:color w:val="auto"/>
          <w:szCs w:val="21"/>
          <w:highlight w:val="none"/>
        </w:rPr>
        <w:fldChar w:fldCharType="end"/>
      </w:r>
      <w:r>
        <w:rPr>
          <w:rFonts w:eastAsiaTheme="minorEastAsia"/>
          <w:color w:val="auto"/>
          <w:szCs w:val="21"/>
          <w:highlight w:val="none"/>
        </w:rPr>
        <w:fldChar w:fldCharType="end"/>
      </w:r>
    </w:p>
    <w:p w14:paraId="44964CC9">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"_Toc459392411" </w:instrText>
      </w:r>
      <w:r>
        <w:rPr>
          <w:color w:val="auto"/>
          <w:highlight w:val="none"/>
        </w:rPr>
        <w:fldChar w:fldCharType="separate"/>
      </w:r>
      <w:r>
        <w:rPr>
          <w:rStyle w:val="10"/>
          <w:rFonts w:eastAsiaTheme="minorEastAsia"/>
          <w:color w:val="auto"/>
          <w:szCs w:val="21"/>
          <w:highlight w:val="none"/>
        </w:rPr>
        <w:t>九、基金份额持有人大会及日常机构</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_Toc459392411 \h </w:instrText>
      </w:r>
      <w:r>
        <w:rPr>
          <w:rFonts w:eastAsiaTheme="minorEastAsia"/>
          <w:color w:val="auto"/>
          <w:szCs w:val="21"/>
          <w:highlight w:val="none"/>
        </w:rPr>
        <w:fldChar w:fldCharType="separate"/>
      </w:r>
      <w:r>
        <w:rPr>
          <w:rFonts w:eastAsiaTheme="minorEastAsia"/>
          <w:color w:val="auto"/>
          <w:szCs w:val="21"/>
          <w:highlight w:val="none"/>
        </w:rPr>
        <w:t>48</w:t>
      </w:r>
      <w:r>
        <w:rPr>
          <w:rFonts w:eastAsiaTheme="minorEastAsia"/>
          <w:color w:val="auto"/>
          <w:szCs w:val="21"/>
          <w:highlight w:val="none"/>
        </w:rPr>
        <w:fldChar w:fldCharType="end"/>
      </w:r>
      <w:r>
        <w:rPr>
          <w:rFonts w:eastAsiaTheme="minorEastAsia"/>
          <w:color w:val="auto"/>
          <w:szCs w:val="21"/>
          <w:highlight w:val="none"/>
        </w:rPr>
        <w:fldChar w:fldCharType="end"/>
      </w:r>
    </w:p>
    <w:p w14:paraId="02876D03">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"_Toc459392412" </w:instrText>
      </w:r>
      <w:r>
        <w:rPr>
          <w:color w:val="auto"/>
          <w:highlight w:val="none"/>
        </w:rPr>
        <w:fldChar w:fldCharType="separate"/>
      </w:r>
      <w:r>
        <w:rPr>
          <w:rStyle w:val="10"/>
          <w:rFonts w:eastAsiaTheme="minorEastAsia"/>
          <w:color w:val="auto"/>
          <w:szCs w:val="21"/>
          <w:highlight w:val="none"/>
        </w:rPr>
        <w:t>十、基金份额的登记</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_Toc459392412 \h </w:instrText>
      </w:r>
      <w:r>
        <w:rPr>
          <w:rFonts w:eastAsiaTheme="minorEastAsia"/>
          <w:color w:val="auto"/>
          <w:szCs w:val="21"/>
          <w:highlight w:val="none"/>
        </w:rPr>
        <w:fldChar w:fldCharType="separate"/>
      </w:r>
      <w:r>
        <w:rPr>
          <w:rFonts w:eastAsiaTheme="minorEastAsia"/>
          <w:color w:val="auto"/>
          <w:szCs w:val="21"/>
          <w:highlight w:val="none"/>
        </w:rPr>
        <w:t>53</w:t>
      </w:r>
      <w:r>
        <w:rPr>
          <w:rFonts w:eastAsiaTheme="minorEastAsia"/>
          <w:color w:val="auto"/>
          <w:szCs w:val="21"/>
          <w:highlight w:val="none"/>
        </w:rPr>
        <w:fldChar w:fldCharType="end"/>
      </w:r>
      <w:r>
        <w:rPr>
          <w:rFonts w:eastAsiaTheme="minorEastAsia"/>
          <w:color w:val="auto"/>
          <w:szCs w:val="21"/>
          <w:highlight w:val="none"/>
        </w:rPr>
        <w:fldChar w:fldCharType="end"/>
      </w:r>
    </w:p>
    <w:p w14:paraId="0A3A35C8">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"_Toc459392413" </w:instrText>
      </w:r>
      <w:r>
        <w:rPr>
          <w:color w:val="auto"/>
          <w:highlight w:val="none"/>
        </w:rPr>
        <w:fldChar w:fldCharType="separate"/>
      </w:r>
      <w:r>
        <w:rPr>
          <w:rStyle w:val="10"/>
          <w:rFonts w:eastAsiaTheme="minorEastAsia"/>
          <w:color w:val="auto"/>
          <w:szCs w:val="21"/>
          <w:highlight w:val="none"/>
        </w:rPr>
        <w:t>十一、基金的投资</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_Toc459392413 \h </w:instrText>
      </w:r>
      <w:r>
        <w:rPr>
          <w:rFonts w:eastAsiaTheme="minorEastAsia"/>
          <w:color w:val="auto"/>
          <w:szCs w:val="21"/>
          <w:highlight w:val="none"/>
        </w:rPr>
        <w:fldChar w:fldCharType="separate"/>
      </w:r>
      <w:r>
        <w:rPr>
          <w:rFonts w:eastAsiaTheme="minorEastAsia"/>
          <w:color w:val="auto"/>
          <w:szCs w:val="21"/>
          <w:highlight w:val="none"/>
        </w:rPr>
        <w:t>54</w:t>
      </w:r>
      <w:r>
        <w:rPr>
          <w:rFonts w:eastAsiaTheme="minorEastAsia"/>
          <w:color w:val="auto"/>
          <w:szCs w:val="21"/>
          <w:highlight w:val="none"/>
        </w:rPr>
        <w:fldChar w:fldCharType="end"/>
      </w:r>
      <w:r>
        <w:rPr>
          <w:rFonts w:eastAsiaTheme="minorEastAsia"/>
          <w:color w:val="auto"/>
          <w:szCs w:val="21"/>
          <w:highlight w:val="none"/>
        </w:rPr>
        <w:fldChar w:fldCharType="end"/>
      </w:r>
    </w:p>
    <w:p w14:paraId="75748F4C">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"_Toc459392414" </w:instrText>
      </w:r>
      <w:r>
        <w:rPr>
          <w:color w:val="auto"/>
          <w:highlight w:val="none"/>
        </w:rPr>
        <w:fldChar w:fldCharType="separate"/>
      </w:r>
      <w:r>
        <w:rPr>
          <w:rStyle w:val="10"/>
          <w:rFonts w:eastAsiaTheme="minorEastAsia"/>
          <w:color w:val="auto"/>
          <w:szCs w:val="21"/>
          <w:highlight w:val="none"/>
        </w:rPr>
        <w:t>十二、基金的财产</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_Toc459392414 \h </w:instrText>
      </w:r>
      <w:r>
        <w:rPr>
          <w:rFonts w:eastAsiaTheme="minorEastAsia"/>
          <w:color w:val="auto"/>
          <w:szCs w:val="21"/>
          <w:highlight w:val="none"/>
        </w:rPr>
        <w:fldChar w:fldCharType="separate"/>
      </w:r>
      <w:r>
        <w:rPr>
          <w:rFonts w:eastAsiaTheme="minorEastAsia"/>
          <w:color w:val="auto"/>
          <w:szCs w:val="21"/>
          <w:highlight w:val="none"/>
        </w:rPr>
        <w:t>60</w:t>
      </w:r>
      <w:r>
        <w:rPr>
          <w:rFonts w:eastAsiaTheme="minorEastAsia"/>
          <w:color w:val="auto"/>
          <w:szCs w:val="21"/>
          <w:highlight w:val="none"/>
        </w:rPr>
        <w:fldChar w:fldCharType="end"/>
      </w:r>
      <w:r>
        <w:rPr>
          <w:rFonts w:eastAsiaTheme="minorEastAsia"/>
          <w:color w:val="auto"/>
          <w:szCs w:val="21"/>
          <w:highlight w:val="none"/>
        </w:rPr>
        <w:fldChar w:fldCharType="end"/>
      </w:r>
    </w:p>
    <w:p w14:paraId="1EFBC835">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"_Toc459392415" </w:instrText>
      </w:r>
      <w:r>
        <w:rPr>
          <w:color w:val="auto"/>
          <w:highlight w:val="none"/>
        </w:rPr>
        <w:fldChar w:fldCharType="separate"/>
      </w:r>
      <w:r>
        <w:rPr>
          <w:rStyle w:val="10"/>
          <w:rFonts w:eastAsiaTheme="minorEastAsia"/>
          <w:color w:val="auto"/>
          <w:szCs w:val="21"/>
          <w:highlight w:val="none"/>
        </w:rPr>
        <w:t>十三、指令的发送、确认与执行</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_Toc459392415 \h </w:instrText>
      </w:r>
      <w:r>
        <w:rPr>
          <w:rFonts w:eastAsiaTheme="minorEastAsia"/>
          <w:color w:val="auto"/>
          <w:szCs w:val="21"/>
          <w:highlight w:val="none"/>
        </w:rPr>
        <w:fldChar w:fldCharType="separate"/>
      </w:r>
      <w:r>
        <w:rPr>
          <w:rFonts w:eastAsiaTheme="minorEastAsia"/>
          <w:color w:val="auto"/>
          <w:szCs w:val="21"/>
          <w:highlight w:val="none"/>
        </w:rPr>
        <w:t>62</w:t>
      </w:r>
      <w:r>
        <w:rPr>
          <w:rFonts w:eastAsiaTheme="minorEastAsia"/>
          <w:color w:val="auto"/>
          <w:szCs w:val="21"/>
          <w:highlight w:val="none"/>
        </w:rPr>
        <w:fldChar w:fldCharType="end"/>
      </w:r>
      <w:r>
        <w:rPr>
          <w:rFonts w:eastAsiaTheme="minorEastAsia"/>
          <w:color w:val="auto"/>
          <w:szCs w:val="21"/>
          <w:highlight w:val="none"/>
        </w:rPr>
        <w:fldChar w:fldCharType="end"/>
      </w:r>
    </w:p>
    <w:p w14:paraId="5569465F">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"_Toc459392416" </w:instrText>
      </w:r>
      <w:r>
        <w:rPr>
          <w:color w:val="auto"/>
          <w:highlight w:val="none"/>
        </w:rPr>
        <w:fldChar w:fldCharType="separate"/>
      </w:r>
      <w:r>
        <w:rPr>
          <w:rStyle w:val="10"/>
          <w:rFonts w:eastAsiaTheme="minorEastAsia"/>
          <w:color w:val="auto"/>
          <w:szCs w:val="21"/>
          <w:highlight w:val="none"/>
        </w:rPr>
        <w:t>十四、交易及清算交收安排</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_Toc459392416 \h </w:instrText>
      </w:r>
      <w:r>
        <w:rPr>
          <w:rFonts w:eastAsiaTheme="minorEastAsia"/>
          <w:color w:val="auto"/>
          <w:szCs w:val="21"/>
          <w:highlight w:val="none"/>
        </w:rPr>
        <w:fldChar w:fldCharType="separate"/>
      </w:r>
      <w:r>
        <w:rPr>
          <w:rFonts w:eastAsiaTheme="minorEastAsia"/>
          <w:color w:val="auto"/>
          <w:szCs w:val="21"/>
          <w:highlight w:val="none"/>
        </w:rPr>
        <w:t>65</w:t>
      </w:r>
      <w:r>
        <w:rPr>
          <w:rFonts w:eastAsiaTheme="minorEastAsia"/>
          <w:color w:val="auto"/>
          <w:szCs w:val="21"/>
          <w:highlight w:val="none"/>
        </w:rPr>
        <w:fldChar w:fldCharType="end"/>
      </w:r>
      <w:r>
        <w:rPr>
          <w:rFonts w:eastAsiaTheme="minorEastAsia"/>
          <w:color w:val="auto"/>
          <w:szCs w:val="21"/>
          <w:highlight w:val="none"/>
        </w:rPr>
        <w:fldChar w:fldCharType="end"/>
      </w:r>
    </w:p>
    <w:p w14:paraId="56239379">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"_Toc459392417" </w:instrText>
      </w:r>
      <w:r>
        <w:rPr>
          <w:color w:val="auto"/>
          <w:highlight w:val="none"/>
        </w:rPr>
        <w:fldChar w:fldCharType="separate"/>
      </w:r>
      <w:r>
        <w:rPr>
          <w:rStyle w:val="10"/>
          <w:rFonts w:eastAsiaTheme="minorEastAsia"/>
          <w:color w:val="auto"/>
          <w:szCs w:val="21"/>
          <w:highlight w:val="none"/>
        </w:rPr>
        <w:t>十五、越权交易</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_Toc459392417 \h </w:instrText>
      </w:r>
      <w:r>
        <w:rPr>
          <w:rFonts w:eastAsiaTheme="minorEastAsia"/>
          <w:color w:val="auto"/>
          <w:szCs w:val="21"/>
          <w:highlight w:val="none"/>
        </w:rPr>
        <w:fldChar w:fldCharType="separate"/>
      </w:r>
      <w:r>
        <w:rPr>
          <w:rFonts w:eastAsiaTheme="minorEastAsia"/>
          <w:color w:val="auto"/>
          <w:szCs w:val="21"/>
          <w:highlight w:val="none"/>
        </w:rPr>
        <w:t>66</w:t>
      </w:r>
      <w:r>
        <w:rPr>
          <w:rFonts w:eastAsiaTheme="minorEastAsia"/>
          <w:color w:val="auto"/>
          <w:szCs w:val="21"/>
          <w:highlight w:val="none"/>
        </w:rPr>
        <w:fldChar w:fldCharType="end"/>
      </w:r>
      <w:r>
        <w:rPr>
          <w:rFonts w:eastAsiaTheme="minorEastAsia"/>
          <w:color w:val="auto"/>
          <w:szCs w:val="21"/>
          <w:highlight w:val="none"/>
        </w:rPr>
        <w:fldChar w:fldCharType="end"/>
      </w:r>
    </w:p>
    <w:p w14:paraId="7F142788">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"_Toc459392418" </w:instrText>
      </w:r>
      <w:r>
        <w:rPr>
          <w:color w:val="auto"/>
          <w:highlight w:val="none"/>
        </w:rPr>
        <w:fldChar w:fldCharType="separate"/>
      </w:r>
      <w:r>
        <w:rPr>
          <w:rStyle w:val="10"/>
          <w:rFonts w:eastAsiaTheme="minorEastAsia"/>
          <w:color w:val="auto"/>
          <w:szCs w:val="21"/>
          <w:highlight w:val="none"/>
        </w:rPr>
        <w:t>十六、基金财产的估值和会计核算</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_Toc459392418 \h </w:instrText>
      </w:r>
      <w:r>
        <w:rPr>
          <w:rFonts w:eastAsiaTheme="minorEastAsia"/>
          <w:color w:val="auto"/>
          <w:szCs w:val="21"/>
          <w:highlight w:val="none"/>
        </w:rPr>
        <w:fldChar w:fldCharType="separate"/>
      </w:r>
      <w:r>
        <w:rPr>
          <w:rFonts w:eastAsiaTheme="minorEastAsia"/>
          <w:color w:val="auto"/>
          <w:szCs w:val="21"/>
          <w:highlight w:val="none"/>
        </w:rPr>
        <w:t>70</w:t>
      </w:r>
      <w:r>
        <w:rPr>
          <w:rFonts w:eastAsiaTheme="minorEastAsia"/>
          <w:color w:val="auto"/>
          <w:szCs w:val="21"/>
          <w:highlight w:val="none"/>
        </w:rPr>
        <w:fldChar w:fldCharType="end"/>
      </w:r>
      <w:r>
        <w:rPr>
          <w:rFonts w:eastAsiaTheme="minorEastAsia"/>
          <w:color w:val="auto"/>
          <w:szCs w:val="21"/>
          <w:highlight w:val="none"/>
        </w:rPr>
        <w:fldChar w:fldCharType="end"/>
      </w:r>
    </w:p>
    <w:p w14:paraId="3334581D">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"_Toc459392419" </w:instrText>
      </w:r>
      <w:r>
        <w:rPr>
          <w:color w:val="auto"/>
          <w:highlight w:val="none"/>
        </w:rPr>
        <w:fldChar w:fldCharType="separate"/>
      </w:r>
      <w:r>
        <w:rPr>
          <w:rStyle w:val="10"/>
          <w:rFonts w:eastAsiaTheme="minorEastAsia"/>
          <w:color w:val="auto"/>
          <w:szCs w:val="21"/>
          <w:highlight w:val="none"/>
        </w:rPr>
        <w:t>十七、基金的费用与税收</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_Toc459392419 \h </w:instrText>
      </w:r>
      <w:r>
        <w:rPr>
          <w:rFonts w:eastAsiaTheme="minorEastAsia"/>
          <w:color w:val="auto"/>
          <w:szCs w:val="21"/>
          <w:highlight w:val="none"/>
        </w:rPr>
        <w:fldChar w:fldCharType="separate"/>
      </w:r>
      <w:r>
        <w:rPr>
          <w:rFonts w:eastAsiaTheme="minorEastAsia"/>
          <w:color w:val="auto"/>
          <w:szCs w:val="21"/>
          <w:highlight w:val="none"/>
        </w:rPr>
        <w:t>78</w:t>
      </w:r>
      <w:r>
        <w:rPr>
          <w:rFonts w:eastAsiaTheme="minorEastAsia"/>
          <w:color w:val="auto"/>
          <w:szCs w:val="21"/>
          <w:highlight w:val="none"/>
        </w:rPr>
        <w:fldChar w:fldCharType="end"/>
      </w:r>
      <w:r>
        <w:rPr>
          <w:rFonts w:eastAsiaTheme="minorEastAsia"/>
          <w:color w:val="auto"/>
          <w:szCs w:val="21"/>
          <w:highlight w:val="none"/>
        </w:rPr>
        <w:fldChar w:fldCharType="end"/>
      </w:r>
    </w:p>
    <w:p w14:paraId="7D756E26">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"_Toc459392420" </w:instrText>
      </w:r>
      <w:r>
        <w:rPr>
          <w:color w:val="auto"/>
          <w:highlight w:val="none"/>
        </w:rPr>
        <w:fldChar w:fldCharType="separate"/>
      </w:r>
      <w:r>
        <w:rPr>
          <w:rStyle w:val="10"/>
          <w:rFonts w:eastAsiaTheme="minorEastAsia"/>
          <w:color w:val="auto"/>
          <w:szCs w:val="21"/>
          <w:highlight w:val="none"/>
        </w:rPr>
        <w:t>十八、基金的收益分配</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_Toc459392420 \h </w:instrText>
      </w:r>
      <w:r>
        <w:rPr>
          <w:rFonts w:eastAsiaTheme="minorEastAsia"/>
          <w:color w:val="auto"/>
          <w:szCs w:val="21"/>
          <w:highlight w:val="none"/>
        </w:rPr>
        <w:fldChar w:fldCharType="separate"/>
      </w:r>
      <w:r>
        <w:rPr>
          <w:rFonts w:eastAsiaTheme="minorEastAsia"/>
          <w:color w:val="auto"/>
          <w:szCs w:val="21"/>
          <w:highlight w:val="none"/>
        </w:rPr>
        <w:t>84</w:t>
      </w:r>
      <w:r>
        <w:rPr>
          <w:rFonts w:eastAsiaTheme="minorEastAsia"/>
          <w:color w:val="auto"/>
          <w:szCs w:val="21"/>
          <w:highlight w:val="none"/>
        </w:rPr>
        <w:fldChar w:fldCharType="end"/>
      </w:r>
      <w:r>
        <w:rPr>
          <w:rFonts w:eastAsiaTheme="minorEastAsia"/>
          <w:color w:val="auto"/>
          <w:szCs w:val="21"/>
          <w:highlight w:val="none"/>
        </w:rPr>
        <w:fldChar w:fldCharType="end"/>
      </w:r>
    </w:p>
    <w:p w14:paraId="05C5F6B1">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"_Toc459392421" </w:instrText>
      </w:r>
      <w:r>
        <w:rPr>
          <w:color w:val="auto"/>
          <w:highlight w:val="none"/>
        </w:rPr>
        <w:fldChar w:fldCharType="separate"/>
      </w:r>
      <w:r>
        <w:rPr>
          <w:rStyle w:val="10"/>
          <w:rFonts w:eastAsiaTheme="minorEastAsia"/>
          <w:color w:val="auto"/>
          <w:szCs w:val="21"/>
          <w:highlight w:val="none"/>
        </w:rPr>
        <w:t>十九、基金的信息披露与报告</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_Toc459392421 \h </w:instrText>
      </w:r>
      <w:r>
        <w:rPr>
          <w:rFonts w:eastAsiaTheme="minorEastAsia"/>
          <w:color w:val="auto"/>
          <w:szCs w:val="21"/>
          <w:highlight w:val="none"/>
        </w:rPr>
        <w:fldChar w:fldCharType="separate"/>
      </w:r>
      <w:r>
        <w:rPr>
          <w:rFonts w:eastAsiaTheme="minorEastAsia"/>
          <w:color w:val="auto"/>
          <w:szCs w:val="21"/>
          <w:highlight w:val="none"/>
        </w:rPr>
        <w:t>85</w:t>
      </w:r>
      <w:r>
        <w:rPr>
          <w:rFonts w:eastAsiaTheme="minorEastAsia"/>
          <w:color w:val="auto"/>
          <w:szCs w:val="21"/>
          <w:highlight w:val="none"/>
        </w:rPr>
        <w:fldChar w:fldCharType="end"/>
      </w:r>
      <w:r>
        <w:rPr>
          <w:rFonts w:eastAsiaTheme="minorEastAsia"/>
          <w:color w:val="auto"/>
          <w:szCs w:val="21"/>
          <w:highlight w:val="none"/>
        </w:rPr>
        <w:fldChar w:fldCharType="end"/>
      </w:r>
    </w:p>
    <w:p w14:paraId="3714011F">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"_Toc459392422" </w:instrText>
      </w:r>
      <w:r>
        <w:rPr>
          <w:color w:val="auto"/>
          <w:highlight w:val="none"/>
        </w:rPr>
        <w:fldChar w:fldCharType="separate"/>
      </w:r>
      <w:r>
        <w:rPr>
          <w:rStyle w:val="10"/>
          <w:rFonts w:eastAsiaTheme="minorEastAsia"/>
          <w:color w:val="auto"/>
          <w:szCs w:val="21"/>
          <w:highlight w:val="none"/>
        </w:rPr>
        <w:t>二十、风险揭示</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_Toc459392422 \h </w:instrText>
      </w:r>
      <w:r>
        <w:rPr>
          <w:rFonts w:eastAsiaTheme="minorEastAsia"/>
          <w:color w:val="auto"/>
          <w:szCs w:val="21"/>
          <w:highlight w:val="none"/>
        </w:rPr>
        <w:fldChar w:fldCharType="separate"/>
      </w:r>
      <w:r>
        <w:rPr>
          <w:rFonts w:eastAsiaTheme="minorEastAsia"/>
          <w:color w:val="auto"/>
          <w:szCs w:val="21"/>
          <w:highlight w:val="none"/>
        </w:rPr>
        <w:t>89</w:t>
      </w:r>
      <w:r>
        <w:rPr>
          <w:rFonts w:eastAsiaTheme="minorEastAsia"/>
          <w:color w:val="auto"/>
          <w:szCs w:val="21"/>
          <w:highlight w:val="none"/>
        </w:rPr>
        <w:fldChar w:fldCharType="end"/>
      </w:r>
      <w:r>
        <w:rPr>
          <w:rFonts w:eastAsiaTheme="minorEastAsia"/>
          <w:color w:val="auto"/>
          <w:szCs w:val="21"/>
          <w:highlight w:val="none"/>
        </w:rPr>
        <w:fldChar w:fldCharType="end"/>
      </w:r>
    </w:p>
    <w:p w14:paraId="3B2F043D">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"_Toc459392423" </w:instrText>
      </w:r>
      <w:r>
        <w:rPr>
          <w:color w:val="auto"/>
          <w:highlight w:val="none"/>
        </w:rPr>
        <w:fldChar w:fldCharType="separate"/>
      </w:r>
      <w:r>
        <w:rPr>
          <w:rStyle w:val="10"/>
          <w:rFonts w:eastAsiaTheme="minorEastAsia"/>
          <w:color w:val="auto"/>
          <w:szCs w:val="21"/>
          <w:highlight w:val="none"/>
        </w:rPr>
        <w:t>二十一、基金份额的非交易过户和冻结、解冻</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_Toc459392423 \h </w:instrText>
      </w:r>
      <w:r>
        <w:rPr>
          <w:rFonts w:eastAsiaTheme="minorEastAsia"/>
          <w:color w:val="auto"/>
          <w:szCs w:val="21"/>
          <w:highlight w:val="none"/>
        </w:rPr>
        <w:fldChar w:fldCharType="separate"/>
      </w:r>
      <w:r>
        <w:rPr>
          <w:rFonts w:eastAsiaTheme="minorEastAsia"/>
          <w:color w:val="auto"/>
          <w:szCs w:val="21"/>
          <w:highlight w:val="none"/>
        </w:rPr>
        <w:t>103</w:t>
      </w:r>
      <w:r>
        <w:rPr>
          <w:rFonts w:eastAsiaTheme="minorEastAsia"/>
          <w:color w:val="auto"/>
          <w:szCs w:val="21"/>
          <w:highlight w:val="none"/>
        </w:rPr>
        <w:fldChar w:fldCharType="end"/>
      </w:r>
      <w:r>
        <w:rPr>
          <w:rFonts w:eastAsiaTheme="minorEastAsia"/>
          <w:color w:val="auto"/>
          <w:szCs w:val="21"/>
          <w:highlight w:val="none"/>
        </w:rPr>
        <w:fldChar w:fldCharType="end"/>
      </w:r>
    </w:p>
    <w:p w14:paraId="563898B8">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"_Toc459392424" </w:instrText>
      </w:r>
      <w:r>
        <w:rPr>
          <w:color w:val="auto"/>
          <w:highlight w:val="none"/>
        </w:rPr>
        <w:fldChar w:fldCharType="separate"/>
      </w:r>
      <w:r>
        <w:rPr>
          <w:rStyle w:val="10"/>
          <w:rFonts w:eastAsiaTheme="minorEastAsia"/>
          <w:color w:val="auto"/>
          <w:szCs w:val="21"/>
          <w:highlight w:val="none"/>
        </w:rPr>
        <w:t>二十二、基金合同的成立、生效及签署</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_Toc459392424 \h </w:instrText>
      </w:r>
      <w:r>
        <w:rPr>
          <w:rFonts w:eastAsiaTheme="minorEastAsia"/>
          <w:color w:val="auto"/>
          <w:szCs w:val="21"/>
          <w:highlight w:val="none"/>
        </w:rPr>
        <w:fldChar w:fldCharType="separate"/>
      </w:r>
      <w:r>
        <w:rPr>
          <w:rFonts w:eastAsiaTheme="minorEastAsia"/>
          <w:color w:val="auto"/>
          <w:szCs w:val="21"/>
          <w:highlight w:val="none"/>
        </w:rPr>
        <w:t>104</w:t>
      </w:r>
      <w:r>
        <w:rPr>
          <w:rFonts w:eastAsiaTheme="minorEastAsia"/>
          <w:color w:val="auto"/>
          <w:szCs w:val="21"/>
          <w:highlight w:val="none"/>
        </w:rPr>
        <w:fldChar w:fldCharType="end"/>
      </w:r>
      <w:r>
        <w:rPr>
          <w:rFonts w:eastAsiaTheme="minorEastAsia"/>
          <w:color w:val="auto"/>
          <w:szCs w:val="21"/>
          <w:highlight w:val="none"/>
        </w:rPr>
        <w:fldChar w:fldCharType="end"/>
      </w:r>
    </w:p>
    <w:p w14:paraId="175374D4">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"_Toc459392425" </w:instrText>
      </w:r>
      <w:r>
        <w:rPr>
          <w:color w:val="auto"/>
          <w:highlight w:val="none"/>
        </w:rPr>
        <w:fldChar w:fldCharType="separate"/>
      </w:r>
      <w:r>
        <w:rPr>
          <w:rStyle w:val="10"/>
          <w:rFonts w:eastAsiaTheme="minorEastAsia"/>
          <w:color w:val="auto"/>
          <w:szCs w:val="21"/>
          <w:highlight w:val="none"/>
        </w:rPr>
        <w:t>二十三、基金合同的效力</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_Toc459392425 \h </w:instrText>
      </w:r>
      <w:r>
        <w:rPr>
          <w:rFonts w:eastAsiaTheme="minorEastAsia"/>
          <w:color w:val="auto"/>
          <w:szCs w:val="21"/>
          <w:highlight w:val="none"/>
        </w:rPr>
        <w:fldChar w:fldCharType="separate"/>
      </w:r>
      <w:r>
        <w:rPr>
          <w:rFonts w:eastAsiaTheme="minorEastAsia"/>
          <w:color w:val="auto"/>
          <w:szCs w:val="21"/>
          <w:highlight w:val="none"/>
        </w:rPr>
        <w:t>105</w:t>
      </w:r>
      <w:r>
        <w:rPr>
          <w:rFonts w:eastAsiaTheme="minorEastAsia"/>
          <w:color w:val="auto"/>
          <w:szCs w:val="21"/>
          <w:highlight w:val="none"/>
        </w:rPr>
        <w:fldChar w:fldCharType="end"/>
      </w:r>
      <w:r>
        <w:rPr>
          <w:rFonts w:eastAsiaTheme="minorEastAsia"/>
          <w:color w:val="auto"/>
          <w:szCs w:val="21"/>
          <w:highlight w:val="none"/>
        </w:rPr>
        <w:fldChar w:fldCharType="end"/>
      </w:r>
    </w:p>
    <w:p w14:paraId="3D3B5BFC">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"_Toc459392426" </w:instrText>
      </w:r>
      <w:r>
        <w:rPr>
          <w:color w:val="auto"/>
          <w:highlight w:val="none"/>
        </w:rPr>
        <w:fldChar w:fldCharType="separate"/>
      </w:r>
      <w:r>
        <w:rPr>
          <w:rStyle w:val="10"/>
          <w:rFonts w:eastAsiaTheme="minorEastAsia"/>
          <w:color w:val="auto"/>
          <w:szCs w:val="21"/>
          <w:highlight w:val="none"/>
        </w:rPr>
        <w:t>二十四、基金合同的变更、解除与终止</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_Toc459392426 \h </w:instrText>
      </w:r>
      <w:r>
        <w:rPr>
          <w:rFonts w:eastAsiaTheme="minorEastAsia"/>
          <w:color w:val="auto"/>
          <w:szCs w:val="21"/>
          <w:highlight w:val="none"/>
        </w:rPr>
        <w:fldChar w:fldCharType="separate"/>
      </w:r>
      <w:r>
        <w:rPr>
          <w:rFonts w:eastAsiaTheme="minorEastAsia"/>
          <w:color w:val="auto"/>
          <w:szCs w:val="21"/>
          <w:highlight w:val="none"/>
        </w:rPr>
        <w:t>105</w:t>
      </w:r>
      <w:r>
        <w:rPr>
          <w:rFonts w:eastAsiaTheme="minorEastAsia"/>
          <w:color w:val="auto"/>
          <w:szCs w:val="21"/>
          <w:highlight w:val="none"/>
        </w:rPr>
        <w:fldChar w:fldCharType="end"/>
      </w:r>
      <w:r>
        <w:rPr>
          <w:rFonts w:eastAsiaTheme="minorEastAsia"/>
          <w:color w:val="auto"/>
          <w:szCs w:val="21"/>
          <w:highlight w:val="none"/>
        </w:rPr>
        <w:fldChar w:fldCharType="end"/>
      </w:r>
    </w:p>
    <w:p w14:paraId="21149700">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"_Toc459392427" </w:instrText>
      </w:r>
      <w:r>
        <w:rPr>
          <w:color w:val="auto"/>
          <w:highlight w:val="none"/>
        </w:rPr>
        <w:fldChar w:fldCharType="separate"/>
      </w:r>
      <w:r>
        <w:rPr>
          <w:rStyle w:val="10"/>
          <w:rFonts w:eastAsiaTheme="minorEastAsia"/>
          <w:color w:val="auto"/>
          <w:szCs w:val="21"/>
          <w:highlight w:val="none"/>
        </w:rPr>
        <w:t>二十五、基金的清算</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_Toc459392427 \h </w:instrText>
      </w:r>
      <w:r>
        <w:rPr>
          <w:rFonts w:eastAsiaTheme="minorEastAsia"/>
          <w:color w:val="auto"/>
          <w:szCs w:val="21"/>
          <w:highlight w:val="none"/>
        </w:rPr>
        <w:fldChar w:fldCharType="separate"/>
      </w:r>
      <w:r>
        <w:rPr>
          <w:rFonts w:eastAsiaTheme="minorEastAsia"/>
          <w:color w:val="auto"/>
          <w:szCs w:val="21"/>
          <w:highlight w:val="none"/>
        </w:rPr>
        <w:t>105</w:t>
      </w:r>
      <w:r>
        <w:rPr>
          <w:rFonts w:eastAsiaTheme="minorEastAsia"/>
          <w:color w:val="auto"/>
          <w:szCs w:val="21"/>
          <w:highlight w:val="none"/>
        </w:rPr>
        <w:fldChar w:fldCharType="end"/>
      </w:r>
      <w:r>
        <w:rPr>
          <w:rFonts w:eastAsiaTheme="minorEastAsia"/>
          <w:color w:val="auto"/>
          <w:szCs w:val="21"/>
          <w:highlight w:val="none"/>
        </w:rPr>
        <w:fldChar w:fldCharType="end"/>
      </w:r>
    </w:p>
    <w:p w14:paraId="2C928E07">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"_Toc459392428" </w:instrText>
      </w:r>
      <w:r>
        <w:rPr>
          <w:color w:val="auto"/>
          <w:highlight w:val="none"/>
        </w:rPr>
        <w:fldChar w:fldCharType="separate"/>
      </w:r>
      <w:r>
        <w:rPr>
          <w:rStyle w:val="10"/>
          <w:rFonts w:eastAsiaTheme="minorEastAsia"/>
          <w:color w:val="auto"/>
          <w:szCs w:val="21"/>
          <w:highlight w:val="none"/>
        </w:rPr>
        <w:t>二十六、违约责任</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_Toc459392428 \h </w:instrText>
      </w:r>
      <w:r>
        <w:rPr>
          <w:rFonts w:eastAsiaTheme="minorEastAsia"/>
          <w:color w:val="auto"/>
          <w:szCs w:val="21"/>
          <w:highlight w:val="none"/>
        </w:rPr>
        <w:fldChar w:fldCharType="separate"/>
      </w:r>
      <w:r>
        <w:rPr>
          <w:rFonts w:eastAsiaTheme="minorEastAsia"/>
          <w:color w:val="auto"/>
          <w:szCs w:val="21"/>
          <w:highlight w:val="none"/>
        </w:rPr>
        <w:t>109</w:t>
      </w:r>
      <w:r>
        <w:rPr>
          <w:rFonts w:eastAsiaTheme="minorEastAsia"/>
          <w:color w:val="auto"/>
          <w:szCs w:val="21"/>
          <w:highlight w:val="none"/>
        </w:rPr>
        <w:fldChar w:fldCharType="end"/>
      </w:r>
      <w:r>
        <w:rPr>
          <w:rFonts w:eastAsiaTheme="minorEastAsia"/>
          <w:color w:val="auto"/>
          <w:szCs w:val="21"/>
          <w:highlight w:val="none"/>
        </w:rPr>
        <w:fldChar w:fldCharType="end"/>
      </w:r>
    </w:p>
    <w:p w14:paraId="513A67FF">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"_Toc459392429" </w:instrText>
      </w:r>
      <w:r>
        <w:rPr>
          <w:color w:val="auto"/>
          <w:highlight w:val="none"/>
        </w:rPr>
        <w:fldChar w:fldCharType="separate"/>
      </w:r>
      <w:r>
        <w:rPr>
          <w:rStyle w:val="10"/>
          <w:rFonts w:eastAsiaTheme="minorEastAsia"/>
          <w:color w:val="auto"/>
          <w:szCs w:val="21"/>
          <w:highlight w:val="none"/>
        </w:rPr>
        <w:t>二十七、通知与送达</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_Toc459392429 \h </w:instrText>
      </w:r>
      <w:r>
        <w:rPr>
          <w:rFonts w:eastAsiaTheme="minorEastAsia"/>
          <w:color w:val="auto"/>
          <w:szCs w:val="21"/>
          <w:highlight w:val="none"/>
        </w:rPr>
        <w:fldChar w:fldCharType="separate"/>
      </w:r>
      <w:r>
        <w:rPr>
          <w:rFonts w:eastAsiaTheme="minorEastAsia"/>
          <w:color w:val="auto"/>
          <w:szCs w:val="21"/>
          <w:highlight w:val="none"/>
        </w:rPr>
        <w:t>110</w:t>
      </w:r>
      <w:r>
        <w:rPr>
          <w:rFonts w:eastAsiaTheme="minorEastAsia"/>
          <w:color w:val="auto"/>
          <w:szCs w:val="21"/>
          <w:highlight w:val="none"/>
        </w:rPr>
        <w:fldChar w:fldCharType="end"/>
      </w:r>
      <w:r>
        <w:rPr>
          <w:rFonts w:eastAsiaTheme="minorEastAsia"/>
          <w:color w:val="auto"/>
          <w:szCs w:val="21"/>
          <w:highlight w:val="none"/>
        </w:rPr>
        <w:fldChar w:fldCharType="end"/>
      </w:r>
    </w:p>
    <w:p w14:paraId="666112C2">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"_Toc459392430" </w:instrText>
      </w:r>
      <w:r>
        <w:rPr>
          <w:color w:val="auto"/>
          <w:highlight w:val="none"/>
        </w:rPr>
        <w:fldChar w:fldCharType="separate"/>
      </w:r>
      <w:r>
        <w:rPr>
          <w:rStyle w:val="10"/>
          <w:rFonts w:eastAsiaTheme="minorEastAsia"/>
          <w:color w:val="auto"/>
          <w:szCs w:val="21"/>
          <w:highlight w:val="none"/>
        </w:rPr>
        <w:t>二十八、法律适用和争议的处理</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_Toc459392430 \h </w:instrText>
      </w:r>
      <w:r>
        <w:rPr>
          <w:rFonts w:eastAsiaTheme="minorEastAsia"/>
          <w:color w:val="auto"/>
          <w:szCs w:val="21"/>
          <w:highlight w:val="none"/>
        </w:rPr>
        <w:fldChar w:fldCharType="separate"/>
      </w:r>
      <w:r>
        <w:rPr>
          <w:rFonts w:eastAsiaTheme="minorEastAsia"/>
          <w:color w:val="auto"/>
          <w:szCs w:val="21"/>
          <w:highlight w:val="none"/>
        </w:rPr>
        <w:t>111</w:t>
      </w:r>
      <w:r>
        <w:rPr>
          <w:rFonts w:eastAsiaTheme="minorEastAsia"/>
          <w:color w:val="auto"/>
          <w:szCs w:val="21"/>
          <w:highlight w:val="none"/>
        </w:rPr>
        <w:fldChar w:fldCharType="end"/>
      </w:r>
      <w:r>
        <w:rPr>
          <w:rFonts w:eastAsiaTheme="minorEastAsia"/>
          <w:color w:val="auto"/>
          <w:szCs w:val="21"/>
          <w:highlight w:val="none"/>
        </w:rPr>
        <w:fldChar w:fldCharType="end"/>
      </w:r>
    </w:p>
    <w:p w14:paraId="7077A146">
      <w:pPr>
        <w:pStyle w:val="7"/>
        <w:adjustRightInd w:val="0"/>
        <w:snapToGrid w:val="0"/>
        <w:spacing w:before="93" w:beforeLines="30" w:after="93" w:afterLines="30" w:line="312" w:lineRule="auto"/>
        <w:rPr>
          <w:rFonts w:eastAsiaTheme="minorEastAsia"/>
          <w:color w:val="auto"/>
          <w:szCs w:val="21"/>
          <w:highlight w:val="none"/>
        </w:rPr>
      </w:pPr>
      <w:r>
        <w:rPr>
          <w:color w:val="auto"/>
          <w:highlight w:val="none"/>
        </w:rPr>
        <w:fldChar w:fldCharType="begin"/>
      </w:r>
      <w:r>
        <w:rPr>
          <w:color w:val="auto"/>
          <w:highlight w:val="none"/>
        </w:rPr>
        <w:instrText xml:space="preserve"> HYPERLINK \l "_Toc459392431" </w:instrText>
      </w:r>
      <w:r>
        <w:rPr>
          <w:color w:val="auto"/>
          <w:highlight w:val="none"/>
        </w:rPr>
        <w:fldChar w:fldCharType="separate"/>
      </w:r>
      <w:r>
        <w:rPr>
          <w:rStyle w:val="10"/>
          <w:rFonts w:eastAsiaTheme="minorEastAsia"/>
          <w:color w:val="auto"/>
          <w:szCs w:val="21"/>
          <w:highlight w:val="none"/>
        </w:rPr>
        <w:t>二十九、其他事项</w:t>
      </w:r>
      <w:r>
        <w:rPr>
          <w:rFonts w:eastAsiaTheme="minorEastAsia"/>
          <w:color w:val="auto"/>
          <w:szCs w:val="21"/>
          <w:highlight w:val="none"/>
        </w:rPr>
        <w:tab/>
      </w:r>
      <w:r>
        <w:rPr>
          <w:rFonts w:eastAsiaTheme="minorEastAsia"/>
          <w:color w:val="auto"/>
          <w:szCs w:val="21"/>
          <w:highlight w:val="none"/>
        </w:rPr>
        <w:fldChar w:fldCharType="begin"/>
      </w:r>
      <w:r>
        <w:rPr>
          <w:rFonts w:eastAsiaTheme="minorEastAsia"/>
          <w:color w:val="auto"/>
          <w:szCs w:val="21"/>
          <w:highlight w:val="none"/>
        </w:rPr>
        <w:instrText xml:space="preserve"> PAGEREF _Toc459392431 \h </w:instrText>
      </w:r>
      <w:r>
        <w:rPr>
          <w:rFonts w:eastAsiaTheme="minorEastAsia"/>
          <w:color w:val="auto"/>
          <w:szCs w:val="21"/>
          <w:highlight w:val="none"/>
        </w:rPr>
        <w:fldChar w:fldCharType="separate"/>
      </w:r>
      <w:r>
        <w:rPr>
          <w:rFonts w:eastAsiaTheme="minorEastAsia"/>
          <w:color w:val="auto"/>
          <w:szCs w:val="21"/>
          <w:highlight w:val="none"/>
        </w:rPr>
        <w:t>111</w:t>
      </w:r>
      <w:r>
        <w:rPr>
          <w:rFonts w:eastAsiaTheme="minorEastAsia"/>
          <w:color w:val="auto"/>
          <w:szCs w:val="21"/>
          <w:highlight w:val="none"/>
        </w:rPr>
        <w:fldChar w:fldCharType="end"/>
      </w:r>
      <w:r>
        <w:rPr>
          <w:rFonts w:eastAsiaTheme="minorEastAsia"/>
          <w:color w:val="auto"/>
          <w:szCs w:val="21"/>
          <w:highlight w:val="none"/>
        </w:rPr>
        <w:fldChar w:fldCharType="end"/>
      </w:r>
    </w:p>
    <w:p w14:paraId="5D7CB337">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r>
        <w:rPr>
          <w:rFonts w:eastAsiaTheme="minorEastAsia"/>
          <w:color w:val="auto"/>
          <w:szCs w:val="21"/>
          <w:highlight w:val="none"/>
        </w:rPr>
        <w:fldChar w:fldCharType="end"/>
      </w:r>
      <w:bookmarkStart w:id="7" w:name="_Toc459392403"/>
      <w:bookmarkStart w:id="8" w:name="_Toc194741904"/>
      <w:r>
        <w:rPr>
          <w:rFonts w:hint="eastAsia" w:asciiTheme="minorEastAsia" w:hAnsiTheme="minorEastAsia" w:eastAsiaTheme="minorEastAsia"/>
          <w:color w:val="auto"/>
          <w:sz w:val="28"/>
          <w:szCs w:val="28"/>
          <w:highlight w:val="none"/>
        </w:rPr>
        <w:t>一、前言</w:t>
      </w:r>
      <w:bookmarkEnd w:id="7"/>
      <w:bookmarkEnd w:id="8"/>
    </w:p>
    <w:p w14:paraId="400D6B8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订立本合同的目的、依据和原则：</w:t>
      </w:r>
    </w:p>
    <w:p w14:paraId="666DE65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1、订立本合同的目的是明确本合同当事人的权利义务、规范本基金的运作、保护基金份额持有人的合法权益。</w:t>
      </w:r>
    </w:p>
    <w:p w14:paraId="70C6761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订立本合同的依据是《中华人民共和国民法典》《中华人民共和国证券投资基金法》（以下简称《基金法》）《私募投资基金监督管理条例》《私募投资基金监督管理暂行办法》（以下简称《私募办法》）《私募投资基金登记备案办法》《私募投资基金募集行为管理办法》《私募投资基金信息披露管理办法》《私募投资基金备案指引第1号——私募证券投资基金》《私募证券投资基金运作指引》和《私募投资基金合同指引1号》（契约型私募基金合同内容与格式指引）等。若因前述规范性文件制定或修改导致本合同的内容与届时有效的法律法规的规定存在冲突的，应当以届时有效的规范性文件的规定为准，各方当事人应及时对本合同进行相应变更和调整。</w:t>
      </w:r>
    </w:p>
    <w:p w14:paraId="3826A97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3、订立本合同的原则是平等自愿、诚实信用、充分保护基金份额持有人的合法权益。</w:t>
      </w:r>
    </w:p>
    <w:p w14:paraId="35C794C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合同是约定本合同当事人之间基本权利义务的法律文件，其他与本基金相关的涉及本合同当事人之间权利义务关系的任何文件或表述，均以本合同为准。本合同的当事人包括基金管理人、基金托管人和基金份额持有人。基金合同的当事人按照《基金法》、本合同及其他有关法律法规规定享有权利、承担义务。</w:t>
      </w:r>
    </w:p>
    <w:p w14:paraId="504C9649">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9" w:name="_Toc194741905"/>
      <w:bookmarkStart w:id="10" w:name="_Toc459392404"/>
      <w:r>
        <w:rPr>
          <w:rFonts w:hint="eastAsia" w:asciiTheme="minorEastAsia" w:hAnsiTheme="minorEastAsia" w:eastAsiaTheme="minorEastAsia"/>
          <w:color w:val="auto"/>
          <w:sz w:val="28"/>
          <w:szCs w:val="28"/>
          <w:highlight w:val="none"/>
        </w:rPr>
        <w:t>二、释义</w:t>
      </w:r>
      <w:bookmarkEnd w:id="9"/>
      <w:bookmarkEnd w:id="10"/>
    </w:p>
    <w:p w14:paraId="5180B88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在本合同中，除上下文另有规定外，下列用语应当具有如下含义：</w:t>
      </w:r>
    </w:p>
    <w:p w14:paraId="16B64D20">
      <w:pPr>
        <w:numPr>
          <w:ilvl w:val="255"/>
          <w:numId w:val="0"/>
        </w:numPr>
        <w:adjustRightInd w:val="0"/>
        <w:snapToGrid w:val="0"/>
        <w:spacing w:before="93" w:beforeLines="30" w:after="93" w:afterLines="30" w:line="360" w:lineRule="auto"/>
        <w:ind w:firstLine="420"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color w:val="auto"/>
          <w:szCs w:val="21"/>
          <w:highlight w:val="none"/>
        </w:rPr>
        <w:t>1、本合同：</w:t>
      </w:r>
      <w:r>
        <w:rPr>
          <w:rFonts w:hint="eastAsia" w:asciiTheme="minorEastAsia" w:hAnsiTheme="minorEastAsia" w:eastAsiaTheme="minorEastAsia"/>
          <w:color w:val="auto"/>
          <w:kern w:val="0"/>
          <w:szCs w:val="21"/>
          <w:highlight w:val="none"/>
        </w:rPr>
        <w:t>《</w:t>
      </w:r>
      <w:r>
        <w:rPr>
          <w:rFonts w:hint="eastAsia" w:asciiTheme="minorEastAsia" w:hAnsiTheme="minorEastAsia" w:eastAsiaTheme="minorEastAsia"/>
          <w:color w:val="auto"/>
          <w:szCs w:val="21"/>
          <w:highlight w:val="none"/>
          <w:lang w:eastAsia="zh-CN"/>
        </w:rPr>
        <w:t>石云中证1000资产进取一号私募证券投资基金</w:t>
      </w:r>
      <w:r>
        <w:rPr>
          <w:rFonts w:hint="eastAsia" w:asciiTheme="minorEastAsia" w:hAnsiTheme="minorEastAsia" w:eastAsiaTheme="minorEastAsia"/>
          <w:color w:val="auto"/>
          <w:szCs w:val="21"/>
          <w:highlight w:val="none"/>
        </w:rPr>
        <w:t>基金合同</w:t>
      </w:r>
      <w:r>
        <w:rPr>
          <w:rFonts w:hint="eastAsia" w:asciiTheme="minorEastAsia" w:hAnsiTheme="minorEastAsia" w:eastAsiaTheme="minorEastAsia"/>
          <w:color w:val="auto"/>
          <w:kern w:val="0"/>
          <w:szCs w:val="21"/>
          <w:highlight w:val="none"/>
        </w:rPr>
        <w:t>》及对本合同的任何有效修订和补充。</w:t>
      </w:r>
    </w:p>
    <w:p w14:paraId="2B7A5CFC">
      <w:pPr>
        <w:numPr>
          <w:ilvl w:val="255"/>
          <w:numId w:val="0"/>
        </w:num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招募说明书（如有）：</w:t>
      </w:r>
      <w:r>
        <w:rPr>
          <w:rFonts w:hint="eastAsia" w:asciiTheme="minorEastAsia" w:hAnsiTheme="minorEastAsia" w:eastAsiaTheme="minorEastAsia"/>
          <w:color w:val="auto"/>
          <w:szCs w:val="21"/>
          <w:highlight w:val="none"/>
        </w:rPr>
        <w:t>指基金管理人按照国家有关法律、法规制定的并向基金投资者发售基金时，为其提供的、对基金情况进行说明的文件。</w:t>
      </w:r>
    </w:p>
    <w:p w14:paraId="5FB09ECF">
      <w:pPr>
        <w:numPr>
          <w:ilvl w:val="255"/>
          <w:numId w:val="0"/>
        </w:numPr>
        <w:adjustRightInd w:val="0"/>
        <w:snapToGrid w:val="0"/>
        <w:spacing w:before="93" w:beforeLines="30" w:after="93" w:afterLines="30" w:line="360" w:lineRule="auto"/>
        <w:ind w:firstLine="420"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color w:val="auto"/>
          <w:kern w:val="0"/>
          <w:szCs w:val="21"/>
          <w:highlight w:val="none"/>
        </w:rPr>
        <w:t>3、法律法规：指中国现行有效并公布实施的法律、行政法规、规范性文件、司法解释、行政规章以及其他对基金合同当事人有约束力的决定、决议、通知等。</w:t>
      </w:r>
    </w:p>
    <w:p w14:paraId="14C52A0D">
      <w:pPr>
        <w:numPr>
          <w:ilvl w:val="255"/>
          <w:numId w:val="0"/>
        </w:num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4、本基金：</w:t>
      </w:r>
      <w:r>
        <w:rPr>
          <w:rFonts w:hint="eastAsia" w:asciiTheme="minorEastAsia" w:hAnsiTheme="minorEastAsia" w:eastAsiaTheme="minorEastAsia"/>
          <w:color w:val="auto"/>
          <w:szCs w:val="21"/>
          <w:highlight w:val="none"/>
          <w:lang w:eastAsia="zh-CN"/>
        </w:rPr>
        <w:t>石云中证1000资产进取一号私募证券投资基金</w:t>
      </w:r>
      <w:r>
        <w:rPr>
          <w:rFonts w:hint="eastAsia" w:asciiTheme="minorEastAsia" w:hAnsiTheme="minorEastAsia" w:eastAsiaTheme="minorEastAsia"/>
          <w:color w:val="auto"/>
          <w:szCs w:val="21"/>
          <w:highlight w:val="none"/>
        </w:rPr>
        <w:t>。</w:t>
      </w:r>
    </w:p>
    <w:p w14:paraId="458724D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5、私募基金（简称“基金”）：指在中华人民共和国境内，以非公开方式向合格投资者募集资金设立的投资基金。</w:t>
      </w:r>
    </w:p>
    <w:p w14:paraId="0B86CAE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6、私募基金投资者（简称“基金投资者”）：依法可以投资于私募基金的个人投资者、机构投资者以及法律法规或中国证监会允许购买私募基金的其他投资者的合称。</w:t>
      </w:r>
    </w:p>
    <w:p w14:paraId="73BC65A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7、私募基金管理人（简称“基金管理人”、“管理人”）：</w:t>
      </w:r>
      <w:r>
        <w:rPr>
          <w:rFonts w:hint="eastAsia" w:asciiTheme="minorEastAsia" w:hAnsiTheme="minorEastAsia" w:eastAsiaTheme="minorEastAsia"/>
          <w:color w:val="auto"/>
          <w:szCs w:val="21"/>
          <w:highlight w:val="none"/>
          <w:lang w:eastAsia="zh-CN"/>
        </w:rPr>
        <w:t>北京石云科技有限公司</w:t>
      </w:r>
      <w:r>
        <w:rPr>
          <w:rFonts w:hint="eastAsia" w:asciiTheme="minorEastAsia" w:hAnsiTheme="minorEastAsia" w:eastAsiaTheme="minorEastAsia"/>
          <w:color w:val="auto"/>
          <w:szCs w:val="21"/>
          <w:highlight w:val="none"/>
        </w:rPr>
        <w:t>。</w:t>
      </w:r>
    </w:p>
    <w:p w14:paraId="746CF47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8、私募基金托管人（简称“基金托管人”、“托管人”）：华福证券股份有限公司。</w:t>
      </w:r>
    </w:p>
    <w:p w14:paraId="7D1F636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9、私募</w:t>
      </w:r>
      <w:r>
        <w:rPr>
          <w:rFonts w:hint="eastAsia" w:asciiTheme="minorEastAsia" w:hAnsiTheme="minorEastAsia" w:eastAsiaTheme="minorEastAsia"/>
          <w:color w:val="auto"/>
          <w:kern w:val="0"/>
          <w:szCs w:val="21"/>
          <w:highlight w:val="none"/>
        </w:rPr>
        <w:t>基金份额持有人</w:t>
      </w:r>
      <w:r>
        <w:rPr>
          <w:rFonts w:hint="eastAsia" w:asciiTheme="minorEastAsia" w:hAnsiTheme="minorEastAsia" w:eastAsiaTheme="minorEastAsia"/>
          <w:color w:val="auto"/>
          <w:szCs w:val="21"/>
          <w:highlight w:val="none"/>
        </w:rPr>
        <w:t>（简称“基金份额持有人”）</w:t>
      </w:r>
      <w:r>
        <w:rPr>
          <w:rFonts w:hint="eastAsia" w:asciiTheme="minorEastAsia" w:hAnsiTheme="minorEastAsia" w:eastAsiaTheme="minorEastAsia"/>
          <w:color w:val="auto"/>
          <w:kern w:val="0"/>
          <w:szCs w:val="21"/>
          <w:highlight w:val="none"/>
        </w:rPr>
        <w:t>：</w:t>
      </w:r>
      <w:r>
        <w:rPr>
          <w:rFonts w:hint="eastAsia" w:asciiTheme="minorEastAsia" w:hAnsiTheme="minorEastAsia" w:eastAsiaTheme="minorEastAsia"/>
          <w:color w:val="auto"/>
          <w:szCs w:val="21"/>
          <w:highlight w:val="none"/>
        </w:rPr>
        <w:t>签署本合同，履行出资义务取得基金份额的基金投资者。</w:t>
      </w:r>
    </w:p>
    <w:p w14:paraId="721CA33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10、私募基金服务机构（简称“服务机构”）：接受基金管理人</w:t>
      </w:r>
      <w:r>
        <w:rPr>
          <w:rFonts w:asciiTheme="minorEastAsia" w:hAnsiTheme="minorEastAsia" w:eastAsiaTheme="minorEastAsia"/>
          <w:color w:val="auto"/>
          <w:szCs w:val="21"/>
          <w:highlight w:val="none"/>
        </w:rPr>
        <w:t>委托</w:t>
      </w:r>
      <w:r>
        <w:rPr>
          <w:rFonts w:hint="eastAsia" w:asciiTheme="minorEastAsia" w:hAnsiTheme="minorEastAsia" w:eastAsiaTheme="minorEastAsia"/>
          <w:color w:val="auto"/>
          <w:szCs w:val="21"/>
          <w:highlight w:val="none"/>
        </w:rPr>
        <w:t>，根据与其签订的服务协议中约定的服务范围，为本基金提供份额</w:t>
      </w:r>
      <w:r>
        <w:rPr>
          <w:rFonts w:asciiTheme="minorEastAsia" w:hAnsiTheme="minorEastAsia" w:eastAsiaTheme="minorEastAsia"/>
          <w:color w:val="auto"/>
          <w:szCs w:val="21"/>
          <w:highlight w:val="none"/>
        </w:rPr>
        <w:t>登记</w:t>
      </w:r>
      <w:r>
        <w:rPr>
          <w:rFonts w:hint="eastAsia" w:asciiTheme="minorEastAsia" w:hAnsiTheme="minorEastAsia" w:eastAsiaTheme="minorEastAsia"/>
          <w:color w:val="auto"/>
          <w:szCs w:val="21"/>
          <w:highlight w:val="none"/>
        </w:rPr>
        <w:t>业务、基金估值核算业务等服务</w:t>
      </w:r>
      <w:r>
        <w:rPr>
          <w:rFonts w:asciiTheme="minorEastAsia" w:hAnsiTheme="minorEastAsia" w:eastAsiaTheme="minorEastAsia"/>
          <w:color w:val="auto"/>
          <w:szCs w:val="21"/>
          <w:highlight w:val="none"/>
        </w:rPr>
        <w:t>的机构</w:t>
      </w:r>
      <w:r>
        <w:rPr>
          <w:rFonts w:hint="eastAsia" w:asciiTheme="minorEastAsia" w:hAnsiTheme="minorEastAsia" w:eastAsiaTheme="minorEastAsia"/>
          <w:color w:val="auto"/>
          <w:szCs w:val="21"/>
          <w:highlight w:val="none"/>
        </w:rPr>
        <w:t>，本基金的服务机构为国泰</w:t>
      </w:r>
      <w:r>
        <w:rPr>
          <w:rFonts w:hint="eastAsia" w:asciiTheme="minorEastAsia" w:hAnsiTheme="minorEastAsia" w:eastAsiaTheme="minorEastAsia"/>
          <w:color w:val="auto"/>
          <w:highlight w:val="none"/>
        </w:rPr>
        <w:t>海通</w:t>
      </w:r>
      <w:r>
        <w:rPr>
          <w:rFonts w:hint="eastAsia" w:asciiTheme="minorEastAsia" w:hAnsiTheme="minorEastAsia" w:eastAsiaTheme="minorEastAsia"/>
          <w:color w:val="auto"/>
          <w:szCs w:val="21"/>
          <w:highlight w:val="none"/>
        </w:rPr>
        <w:t>证券股份有限公司。</w:t>
      </w:r>
    </w:p>
    <w:p w14:paraId="44AD754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11、募集账户监督机构：指根据与管理人签署的协议约定，为保障资金划转安全，对本基金的直销募集账户进行监督的机构。本基金的管理人直销</w:t>
      </w:r>
      <w:r>
        <w:rPr>
          <w:rFonts w:asciiTheme="minorEastAsia" w:hAnsiTheme="minorEastAsia" w:eastAsiaTheme="minorEastAsia"/>
          <w:color w:val="auto"/>
          <w:szCs w:val="21"/>
          <w:highlight w:val="none"/>
        </w:rPr>
        <w:t>募集账户</w:t>
      </w:r>
      <w:r>
        <w:rPr>
          <w:rFonts w:hint="eastAsia" w:asciiTheme="minorEastAsia" w:hAnsiTheme="minorEastAsia" w:eastAsiaTheme="minorEastAsia"/>
          <w:color w:val="auto"/>
          <w:szCs w:val="21"/>
          <w:highlight w:val="none"/>
        </w:rPr>
        <w:t>监督机构为国泰</w:t>
      </w:r>
      <w:r>
        <w:rPr>
          <w:rFonts w:hint="eastAsia" w:asciiTheme="minorEastAsia" w:hAnsiTheme="minorEastAsia" w:eastAsiaTheme="minorEastAsia"/>
          <w:color w:val="auto"/>
          <w:highlight w:val="none"/>
        </w:rPr>
        <w:t>海通</w:t>
      </w:r>
      <w:r>
        <w:rPr>
          <w:rFonts w:hint="eastAsia" w:asciiTheme="minorEastAsia" w:hAnsiTheme="minorEastAsia" w:eastAsiaTheme="minorEastAsia"/>
          <w:color w:val="auto"/>
          <w:szCs w:val="21"/>
          <w:highlight w:val="none"/>
        </w:rPr>
        <w:t>证券股份有限公司。</w:t>
      </w:r>
    </w:p>
    <w:p w14:paraId="5F4EEF4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12、中国证券投资基金业协会（简称“中国基金业协会”）：</w:t>
      </w:r>
      <w:r>
        <w:rPr>
          <w:rFonts w:cs="Arial" w:asciiTheme="minorEastAsia" w:hAnsiTheme="minorEastAsia" w:eastAsiaTheme="minorEastAsia"/>
          <w:color w:val="auto"/>
          <w:szCs w:val="21"/>
          <w:highlight w:val="none"/>
        </w:rPr>
        <w:t>基金行业相关机构自愿结成的全国性、行业性、非营利性社会组织</w:t>
      </w:r>
      <w:r>
        <w:rPr>
          <w:rFonts w:hint="eastAsia" w:cs="Arial" w:asciiTheme="minorEastAsia" w:hAnsiTheme="minorEastAsia" w:eastAsiaTheme="minorEastAsia"/>
          <w:color w:val="auto"/>
          <w:szCs w:val="21"/>
          <w:highlight w:val="none"/>
        </w:rPr>
        <w:t>。</w:t>
      </w:r>
    </w:p>
    <w:p w14:paraId="43485D8A">
      <w:pPr>
        <w:adjustRightInd w:val="0"/>
        <w:snapToGrid w:val="0"/>
        <w:spacing w:before="93" w:beforeLines="30" w:after="93" w:afterLines="30" w:line="360" w:lineRule="auto"/>
        <w:ind w:firstLine="420"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color w:val="auto"/>
          <w:szCs w:val="21"/>
          <w:highlight w:val="none"/>
        </w:rPr>
        <w:t>13、工作日/交易日：上海证券交易所、深圳证券交易所、</w:t>
      </w:r>
      <w:r>
        <w:rPr>
          <w:rFonts w:hint="eastAsia" w:ascii="宋体" w:hAnsi="宋体"/>
          <w:color w:val="auto"/>
          <w:szCs w:val="21"/>
          <w:highlight w:val="none"/>
        </w:rPr>
        <w:t>北京证券交易所、</w:t>
      </w:r>
      <w:r>
        <w:rPr>
          <w:rFonts w:hint="eastAsia" w:asciiTheme="minorEastAsia" w:hAnsiTheme="minorEastAsia" w:eastAsiaTheme="minorEastAsia"/>
          <w:color w:val="auto"/>
          <w:szCs w:val="21"/>
          <w:highlight w:val="none"/>
        </w:rPr>
        <w:t>上海期货交易所、大连商品交易所、郑州商品交易所、中国金融期货交易所、广州期货交易所的共同正常交易日。</w:t>
      </w:r>
    </w:p>
    <w:p w14:paraId="37783F7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kern w:val="0"/>
          <w:szCs w:val="21"/>
          <w:highlight w:val="none"/>
        </w:rPr>
        <w:t>14、</w:t>
      </w:r>
      <w:r>
        <w:rPr>
          <w:rFonts w:hint="eastAsia" w:asciiTheme="minorEastAsia" w:hAnsiTheme="minorEastAsia" w:eastAsiaTheme="minorEastAsia"/>
          <w:color w:val="auto"/>
          <w:szCs w:val="21"/>
          <w:highlight w:val="none"/>
        </w:rPr>
        <w:t>开放日：基金管理人办理基金申购和/或赎回业务的工作日。</w:t>
      </w:r>
    </w:p>
    <w:p w14:paraId="4BD2FCB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15、T日：本基金的开放日，包括临时开放日（如有）。</w:t>
      </w:r>
    </w:p>
    <w:p w14:paraId="2B4C5EF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16、T+n日：T日后的第n个工作日，当n为负数时表示T日前的第n个工作日。</w:t>
      </w:r>
    </w:p>
    <w:p w14:paraId="5E088B6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17、基金财产：基金份额持有人拥有合法处分权、基金管理人管理并由基金托管人托管的作为本合同标的的财产。</w:t>
      </w:r>
    </w:p>
    <w:p w14:paraId="5A85160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kern w:val="0"/>
          <w:szCs w:val="21"/>
          <w:highlight w:val="none"/>
        </w:rPr>
        <w:t>18、</w:t>
      </w:r>
      <w:r>
        <w:rPr>
          <w:rFonts w:hint="eastAsia" w:asciiTheme="minorEastAsia" w:hAnsiTheme="minorEastAsia" w:eastAsiaTheme="minorEastAsia"/>
          <w:color w:val="auto"/>
          <w:szCs w:val="21"/>
          <w:highlight w:val="none"/>
        </w:rPr>
        <w:t>募集结算资金专用账户（简称“募集账户”）：指本基金募集期开始前由服务机构为本基金在商业银行开立的募集结算资金归集账户以及注册登记账户。除非另有约定，本合同中的“募集账户”不包括代理销售机构募集资金归集账户。</w:t>
      </w:r>
    </w:p>
    <w:p w14:paraId="1100B9F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19</w:t>
      </w:r>
      <w:r>
        <w:rPr>
          <w:rFonts w:hint="eastAsia" w:asciiTheme="minorEastAsia" w:hAnsiTheme="minorEastAsia" w:eastAsiaTheme="minorEastAsia"/>
          <w:color w:val="auto"/>
          <w:szCs w:val="21"/>
          <w:highlight w:val="none"/>
        </w:rPr>
        <w:t>、托管资金专门账户（简称“托管资金账户”）：基金托管人为基金财产在具有基金托管资格的商业银行开立的银行结算账户，用于基金财产中现金资产的归集、存放与支付，该账户不得存放其他性质资金。</w:t>
      </w:r>
    </w:p>
    <w:p w14:paraId="22277D9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0</w:t>
      </w:r>
      <w:r>
        <w:rPr>
          <w:rFonts w:hint="eastAsia" w:asciiTheme="minorEastAsia" w:hAnsiTheme="minorEastAsia" w:eastAsiaTheme="minorEastAsia"/>
          <w:color w:val="auto"/>
          <w:szCs w:val="21"/>
          <w:highlight w:val="none"/>
        </w:rPr>
        <w:t>、证券账户：根据中国证监会有关规定和</w:t>
      </w:r>
      <w:bookmarkStart w:id="11" w:name="OLE_LINK2"/>
      <w:r>
        <w:rPr>
          <w:rFonts w:hint="eastAsia" w:asciiTheme="minorEastAsia" w:hAnsiTheme="minorEastAsia" w:eastAsiaTheme="minorEastAsia"/>
          <w:color w:val="auto"/>
          <w:szCs w:val="21"/>
          <w:highlight w:val="none"/>
        </w:rPr>
        <w:t>中国证券登记结算有限责任公司</w:t>
      </w:r>
      <w:bookmarkEnd w:id="11"/>
      <w:r>
        <w:rPr>
          <w:rFonts w:hint="eastAsia" w:asciiTheme="minorEastAsia" w:hAnsiTheme="minorEastAsia" w:eastAsiaTheme="minorEastAsia"/>
          <w:color w:val="auto"/>
          <w:szCs w:val="21"/>
          <w:highlight w:val="none"/>
        </w:rPr>
        <w:t>（下称“中登公司”）等相关机构的有关业务规则，由基金托管人（或基金管理人）为基金财产在中登公司上海分公司、深圳分公司开设的证券账户。</w:t>
      </w:r>
    </w:p>
    <w:p w14:paraId="2AF0E6C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snapToGrid w:val="0"/>
          <w:color w:val="auto"/>
          <w:kern w:val="0"/>
          <w:szCs w:val="21"/>
          <w:highlight w:val="none"/>
        </w:rPr>
        <w:t>2</w:t>
      </w:r>
      <w:r>
        <w:rPr>
          <w:rFonts w:asciiTheme="minorEastAsia" w:hAnsiTheme="minorEastAsia" w:eastAsiaTheme="minorEastAsia"/>
          <w:snapToGrid w:val="0"/>
          <w:color w:val="auto"/>
          <w:kern w:val="0"/>
          <w:szCs w:val="21"/>
          <w:highlight w:val="none"/>
        </w:rPr>
        <w:t>1</w:t>
      </w:r>
      <w:r>
        <w:rPr>
          <w:rFonts w:hint="eastAsia" w:asciiTheme="minorEastAsia" w:hAnsiTheme="minorEastAsia" w:eastAsiaTheme="minorEastAsia"/>
          <w:snapToGrid w:val="0"/>
          <w:color w:val="auto"/>
          <w:kern w:val="0"/>
          <w:szCs w:val="21"/>
          <w:highlight w:val="none"/>
        </w:rPr>
        <w:t>、证券交易资金账户：</w:t>
      </w:r>
      <w:r>
        <w:rPr>
          <w:rFonts w:hint="eastAsia" w:asciiTheme="minorEastAsia" w:hAnsiTheme="minorEastAsia" w:eastAsiaTheme="minorEastAsia"/>
          <w:color w:val="auto"/>
          <w:szCs w:val="21"/>
          <w:highlight w:val="none"/>
        </w:rPr>
        <w:t>基金管理人为基金财产在证券经纪机构下属的证券营业部开立的</w:t>
      </w:r>
      <w:r>
        <w:rPr>
          <w:rFonts w:hint="eastAsia" w:asciiTheme="minorEastAsia" w:hAnsiTheme="minorEastAsia" w:eastAsiaTheme="minorEastAsia"/>
          <w:snapToGrid w:val="0"/>
          <w:color w:val="auto"/>
          <w:kern w:val="0"/>
          <w:szCs w:val="21"/>
          <w:highlight w:val="none"/>
        </w:rPr>
        <w:t>证券资金账户</w:t>
      </w:r>
      <w:r>
        <w:rPr>
          <w:rFonts w:hint="eastAsia" w:asciiTheme="minorEastAsia" w:hAnsiTheme="minorEastAsia" w:eastAsiaTheme="minorEastAsia"/>
          <w:color w:val="auto"/>
          <w:szCs w:val="21"/>
          <w:highlight w:val="none"/>
        </w:rPr>
        <w:t>，用于基金财产</w:t>
      </w:r>
      <w:r>
        <w:rPr>
          <w:rFonts w:hint="eastAsia" w:asciiTheme="minorEastAsia" w:hAnsiTheme="minorEastAsia" w:eastAsiaTheme="minorEastAsia"/>
          <w:snapToGrid w:val="0"/>
          <w:color w:val="auto"/>
          <w:kern w:val="0"/>
          <w:szCs w:val="21"/>
          <w:highlight w:val="none"/>
        </w:rPr>
        <w:t>证券交易结算资金的存管、记载交易结算资金的变动明细</w:t>
      </w:r>
      <w:r>
        <w:rPr>
          <w:rFonts w:hint="eastAsia" w:asciiTheme="minorEastAsia" w:hAnsiTheme="minorEastAsia" w:eastAsiaTheme="minorEastAsia"/>
          <w:color w:val="auto"/>
          <w:szCs w:val="21"/>
          <w:highlight w:val="none"/>
        </w:rPr>
        <w:t>以及场内证券交易清算。证券交易资金账户按照“第三方存管</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模式与托管资金账户建立一一对应关系，由基金托管人通过银证转账的方式完成资金划付。</w:t>
      </w:r>
    </w:p>
    <w:p w14:paraId="61460D1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、期货账户：基金管理人为基金财产在期货经纪机构开立的期货保证金账户，用于基金财产期货交易结算资金的存管、记载交易结算资金的变动明细以及期货交易清算。</w:t>
      </w:r>
      <w:r>
        <w:rPr>
          <w:rFonts w:hint="eastAsia" w:asciiTheme="minorEastAsia" w:hAnsiTheme="minorEastAsia" w:eastAsiaTheme="minorEastAsia"/>
          <w:snapToGrid w:val="0"/>
          <w:color w:val="auto"/>
          <w:kern w:val="0"/>
          <w:szCs w:val="21"/>
          <w:highlight w:val="none"/>
        </w:rPr>
        <w:t>期货保证金账户应与</w:t>
      </w:r>
      <w:r>
        <w:rPr>
          <w:rFonts w:hint="eastAsia" w:asciiTheme="minorEastAsia" w:hAnsiTheme="minorEastAsia" w:eastAsiaTheme="minorEastAsia"/>
          <w:color w:val="auto"/>
          <w:szCs w:val="21"/>
          <w:highlight w:val="none"/>
        </w:rPr>
        <w:t>托管资金账户</w:t>
      </w:r>
      <w:r>
        <w:rPr>
          <w:rFonts w:hint="eastAsia" w:asciiTheme="minorEastAsia" w:hAnsiTheme="minorEastAsia" w:eastAsiaTheme="minorEastAsia"/>
          <w:snapToGrid w:val="0"/>
          <w:color w:val="auto"/>
          <w:kern w:val="0"/>
          <w:szCs w:val="21"/>
          <w:highlight w:val="none"/>
        </w:rPr>
        <w:t>建立一一对应关系，基金托管人可通过银期转账或手工出入金的方式办理期货交易的出入金。</w:t>
      </w:r>
    </w:p>
    <w:p w14:paraId="2589B05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基金资产总值：本基金拥有的各类有价证券、银行存款本息及其他资产的价值总和</w:t>
      </w:r>
      <w:r>
        <w:rPr>
          <w:rFonts w:hint="eastAsia" w:asciiTheme="minorEastAsia" w:hAnsiTheme="minorEastAsia" w:eastAsiaTheme="minorEastAsia"/>
          <w:color w:val="auto"/>
          <w:szCs w:val="21"/>
          <w:highlight w:val="none"/>
        </w:rPr>
        <w:t>。</w:t>
      </w:r>
    </w:p>
    <w:p w14:paraId="7794113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4</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基金资产净值：本基金资产总值减去负债后的价值</w:t>
      </w:r>
      <w:r>
        <w:rPr>
          <w:rFonts w:hint="eastAsia" w:asciiTheme="minorEastAsia" w:hAnsiTheme="minorEastAsia" w:eastAsiaTheme="minorEastAsia"/>
          <w:color w:val="auto"/>
          <w:szCs w:val="21"/>
          <w:highlight w:val="none"/>
        </w:rPr>
        <w:t>。</w:t>
      </w:r>
    </w:p>
    <w:p w14:paraId="4996574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5</w:t>
      </w:r>
      <w:r>
        <w:rPr>
          <w:rFonts w:hint="eastAsia" w:asciiTheme="minorEastAsia" w:hAnsiTheme="minorEastAsia" w:eastAsiaTheme="minorEastAsia"/>
          <w:color w:val="auto"/>
          <w:szCs w:val="21"/>
          <w:highlight w:val="none"/>
        </w:rPr>
        <w:t>、基金份额净值、整体基金份额净值：计算日基金资产净值除以计算日基金份额总数所得的数值，其不代表某个特定类别份额的基金份额净值。</w:t>
      </w:r>
    </w:p>
    <w:p w14:paraId="3E3ACF5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6</w:t>
      </w:r>
      <w:r>
        <w:rPr>
          <w:rFonts w:hint="eastAsia" w:asciiTheme="minorEastAsia" w:hAnsiTheme="minorEastAsia" w:eastAsiaTheme="minorEastAsia"/>
          <w:color w:val="auto"/>
          <w:szCs w:val="21"/>
          <w:highlight w:val="none"/>
        </w:rPr>
        <w:t>、基金资产估值：计算、评估基金资产和负债的价值，以确定本基金的基金资产净值、基金份额净值、各类别基金份额净值的过程。</w:t>
      </w:r>
    </w:p>
    <w:p w14:paraId="33E1F2A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7</w:t>
      </w:r>
      <w:r>
        <w:rPr>
          <w:rFonts w:hint="eastAsia" w:asciiTheme="minorEastAsia" w:hAnsiTheme="minorEastAsia" w:eastAsiaTheme="minorEastAsia"/>
          <w:color w:val="auto"/>
          <w:szCs w:val="21"/>
          <w:highlight w:val="none"/>
        </w:rPr>
        <w:t>、募集期：指本基金的初始销售期限。</w:t>
      </w:r>
    </w:p>
    <w:p w14:paraId="6F6C608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28</w:t>
      </w:r>
      <w:r>
        <w:rPr>
          <w:rFonts w:hint="eastAsia" w:asciiTheme="minorEastAsia" w:hAnsiTheme="minorEastAsia" w:eastAsiaTheme="minorEastAsia"/>
          <w:color w:val="auto"/>
          <w:szCs w:val="21"/>
          <w:highlight w:val="none"/>
        </w:rPr>
        <w:t>、存续期：指本基金成立至基金终止之间的期限。</w:t>
      </w:r>
    </w:p>
    <w:p w14:paraId="0E680E1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29</w:t>
      </w:r>
      <w:r>
        <w:rPr>
          <w:rFonts w:hint="eastAsia" w:asciiTheme="minorEastAsia" w:hAnsiTheme="minorEastAsia" w:eastAsiaTheme="minorEastAsia"/>
          <w:color w:val="auto"/>
          <w:szCs w:val="21"/>
          <w:highlight w:val="none"/>
        </w:rPr>
        <w:t>、认购：指在募集期间，基金投资者按照本合同的约定购买本基金份额的行为。</w:t>
      </w:r>
    </w:p>
    <w:p w14:paraId="206D5EC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w:t>
      </w:r>
      <w:r>
        <w:rPr>
          <w:rFonts w:asciiTheme="minorEastAsia" w:hAnsiTheme="minorEastAsia" w:eastAsiaTheme="minorEastAsia"/>
          <w:color w:val="auto"/>
          <w:szCs w:val="21"/>
          <w:highlight w:val="none"/>
        </w:rPr>
        <w:t>0</w:t>
      </w:r>
      <w:r>
        <w:rPr>
          <w:rFonts w:hint="eastAsia" w:asciiTheme="minorEastAsia" w:hAnsiTheme="minorEastAsia" w:eastAsiaTheme="minorEastAsia"/>
          <w:color w:val="auto"/>
          <w:szCs w:val="21"/>
          <w:highlight w:val="none"/>
        </w:rPr>
        <w:t>、申购：指在基金开放日，基金投资者按照本合同的规定购买本基金份额的行为。</w:t>
      </w:r>
    </w:p>
    <w:p w14:paraId="2A30294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w:t>
      </w: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、赎回：指在基金开放日，基金投资者按照本合同的规定将本基金份额兑换为现金的行为。</w:t>
      </w:r>
    </w:p>
    <w:p w14:paraId="1ACC297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w:t>
      </w: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、不可抗力：指本合同当事人不能预见、不能避免、不能克服的客观情况。</w:t>
      </w:r>
    </w:p>
    <w:p w14:paraId="3DC39FE4">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w:t>
      </w: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、各类别基金份额净值：计算日各类别基金资产净值除以计算日对应各类别基金份额总数所得的数值。</w:t>
      </w:r>
    </w:p>
    <w:p w14:paraId="18F54CB8">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w:t>
      </w:r>
      <w:r>
        <w:rPr>
          <w:rFonts w:asciiTheme="minorEastAsia" w:hAnsiTheme="minorEastAsia" w:eastAsiaTheme="minorEastAsia"/>
          <w:color w:val="auto"/>
          <w:szCs w:val="21"/>
          <w:highlight w:val="none"/>
        </w:rPr>
        <w:t>4</w:t>
      </w:r>
      <w:r>
        <w:rPr>
          <w:rFonts w:hint="eastAsia" w:asciiTheme="minorEastAsia" w:hAnsiTheme="minorEastAsia" w:eastAsiaTheme="minorEastAsia"/>
          <w:color w:val="auto"/>
          <w:szCs w:val="21"/>
          <w:highlight w:val="none"/>
        </w:rPr>
        <w:t>、各类别基金份额累计净值：各类别基金份额净值加上该类份额历史上累计单位派息金额。</w:t>
      </w:r>
    </w:p>
    <w:p w14:paraId="790E4926">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w:t>
      </w:r>
      <w:r>
        <w:rPr>
          <w:rFonts w:asciiTheme="minorEastAsia" w:hAnsiTheme="minorEastAsia" w:eastAsiaTheme="minorEastAsia"/>
          <w:color w:val="auto"/>
          <w:szCs w:val="21"/>
          <w:highlight w:val="none"/>
        </w:rPr>
        <w:t>5</w:t>
      </w:r>
      <w:r>
        <w:rPr>
          <w:rFonts w:hint="eastAsia" w:asciiTheme="minorEastAsia" w:hAnsiTheme="minorEastAsia" w:eastAsiaTheme="minorEastAsia"/>
          <w:color w:val="auto"/>
          <w:szCs w:val="21"/>
          <w:highlight w:val="none"/>
        </w:rPr>
        <w:t>、基金份额分类：本基金以【不同的特定募集对象】为依据将基金份额分成【四】个类别，即A类份额、B类份额、C类份额和D类份额，各类份额类别之间的具体区别详见“基金的基本情况”章节之“基金的份额分类”以及本合同中的其他相关约定。</w:t>
      </w:r>
    </w:p>
    <w:p w14:paraId="76C14829">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36</w:t>
      </w:r>
      <w:r>
        <w:rPr>
          <w:rFonts w:hint="eastAsia" w:asciiTheme="minorEastAsia" w:hAnsiTheme="minorEastAsia" w:eastAsiaTheme="minorEastAsia"/>
          <w:color w:val="auto"/>
          <w:szCs w:val="21"/>
          <w:highlight w:val="none"/>
        </w:rPr>
        <w:t>、A类份额、A类基金份额：指向由基金管理人委托的代销机构向自然人合格投资者进行代销募集的基金份额。私募基金管理人应当在基金募集过程中对A类基金份额持有人是否符合资质要求承担审核义务，托管人和份额登记机构对此不承担任何审核或监督义务。</w:t>
      </w:r>
    </w:p>
    <w:p w14:paraId="3C422EAA">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37</w:t>
      </w:r>
      <w:r>
        <w:rPr>
          <w:rFonts w:hint="eastAsia" w:asciiTheme="minorEastAsia" w:hAnsiTheme="minorEastAsia" w:eastAsiaTheme="minorEastAsia"/>
          <w:color w:val="auto"/>
          <w:szCs w:val="21"/>
          <w:highlight w:val="none"/>
        </w:rPr>
        <w:t>、B类份额、B类基金份额：指由基金管理人委托的代销机构向除自然人合格投资者以外的其他合格投资者进行代销募集的基金份额。私募基金管理人应当在基金募集过程中对B类基金份额持有人是否符合资质要求承担审核义务，托管人和份额登记机构对此不承担任何审核或监督义务。</w:t>
      </w:r>
    </w:p>
    <w:p w14:paraId="532CC1F8">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8、C类份额、C类基金份额：指向除A、B、D类份额投资者以外的其他合格投资者募集的基金份额。私募基金管理人应当在基金募集过程中对C类基金份额持有人是否符合资质要求承担审核义务，托管人和份额登记机构对此不承担任何审核或监督义务。</w:t>
      </w:r>
    </w:p>
    <w:p w14:paraId="11FFEC49">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9、D类份额、D类基金份额：指通过管理人直销渠道向本基金管理人管理的其他私募基金、本基金管理人、本基金管理人员工以及本基金管理人担任投资顾问的资管产品募集的基金份额。私募基金管理人应当在基金募集过程中对D类基金份额持有人是否符合资质要求承担审核义务，托管人和份额登记机构对此不承担任何审核或监督义务。</w:t>
      </w:r>
    </w:p>
    <w:p w14:paraId="4202818A">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40、A类基金份额净值：指计算日A类份额基金资产净值除以计算日A类份额基金份额总数所得的数值。</w:t>
      </w:r>
    </w:p>
    <w:p w14:paraId="6362879E">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41、B类基金份额净值：指计算日B类份额基金资产净值除以计算日B类份额基金份额总数所得的数值。</w:t>
      </w:r>
    </w:p>
    <w:p w14:paraId="25B7981E">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42、C类基金份额净值：指计算日C类份额基金资产净值除以计算日C类份额基金份额总数所得的数值。</w:t>
      </w:r>
    </w:p>
    <w:p w14:paraId="4327CE0B">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43、D类基金份额净值：指计算日D类份额基金资产净值除以计算日D类份额基金份额总数所得的数值。</w:t>
      </w:r>
    </w:p>
    <w:p w14:paraId="1FB8FD29">
      <w:pPr>
        <w:adjustRightInd w:val="0"/>
        <w:snapToGrid w:val="0"/>
        <w:spacing w:before="93" w:beforeLines="30" w:after="93" w:afterLines="30" w:line="372" w:lineRule="auto"/>
        <w:ind w:firstLine="420" w:firstLineChars="200"/>
        <w:rPr>
          <w:rFonts w:ascii="宋体" w:hAnsi="宋体" w:cs="宋体"/>
          <w:color w:val="auto"/>
          <w:kern w:val="0"/>
          <w:szCs w:val="21"/>
          <w:highlight w:val="none"/>
        </w:rPr>
      </w:pPr>
      <w:r>
        <w:rPr>
          <w:rFonts w:hint="eastAsia" w:asciiTheme="minorEastAsia" w:hAnsiTheme="minorEastAsia" w:eastAsiaTheme="minorEastAsia"/>
          <w:color w:val="auto"/>
          <w:szCs w:val="21"/>
          <w:highlight w:val="none"/>
        </w:rPr>
        <w:t>44、</w:t>
      </w:r>
      <w:bookmarkStart w:id="12" w:name="_Hlk43319678"/>
      <w:r>
        <w:rPr>
          <w:rFonts w:hint="eastAsia" w:ascii="宋体" w:hAnsi="宋体" w:cs="宋体"/>
          <w:color w:val="auto"/>
          <w:kern w:val="0"/>
          <w:szCs w:val="21"/>
          <w:highlight w:val="none"/>
        </w:rPr>
        <w:t>虚拟单位净值</w:t>
      </w:r>
      <w:bookmarkEnd w:id="12"/>
      <w:r>
        <w:rPr>
          <w:rFonts w:hint="eastAsia" w:ascii="宋体" w:hAnsi="宋体" w:cs="宋体"/>
          <w:color w:val="auto"/>
          <w:kern w:val="0"/>
          <w:szCs w:val="21"/>
          <w:highlight w:val="none"/>
        </w:rPr>
        <w:t>：指资产管理计划、私募基金等场外资产管理产品类标的的份额净值扣除估值当日预计内含的业绩报酬后的份额净值。</w:t>
      </w:r>
    </w:p>
    <w:p w14:paraId="63EDBBA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45、现金管理工具：</w:t>
      </w:r>
      <w:r>
        <w:rPr>
          <w:rFonts w:asciiTheme="minorEastAsia" w:hAnsiTheme="minorEastAsia" w:eastAsiaTheme="minorEastAsia"/>
          <w:color w:val="auto"/>
          <w:szCs w:val="21"/>
          <w:highlight w:val="none"/>
        </w:rPr>
        <w:t>是指银行活期存款、国债、中央银行票据、政策性金融债、地方政府债券、货币市场基金等中国证监会认可的现金管理工具。</w:t>
      </w:r>
    </w:p>
    <w:p w14:paraId="1C8BC6A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46、同一资产：1.标准化股权类资产按照单一上市公</w:t>
      </w:r>
      <w:r>
        <w:rPr>
          <w:rFonts w:asciiTheme="minorEastAsia" w:hAnsiTheme="minorEastAsia" w:eastAsiaTheme="minorEastAsia"/>
          <w:color w:val="auto"/>
          <w:szCs w:val="21"/>
          <w:highlight w:val="none"/>
        </w:rPr>
        <w:t>司公开发行的股票、存托凭证，视为同一资产；2.标准化债权类资产按照单只债券、中央银行票据、资产支持证券、非金融企业债务融资工具，视为同一资产；3.非标准化债权类资产（如证券公司发行的保本型收益凭证、质押式报价回购、质押式协议回购、标准化票据）按照同一“融资主体”及其关联方视为同一资产；4.基金类资产按照单只证券投资基金或者资产管理产品视为同一资产；5.标准化期货和衍生品类资产按照单只期货或者期权合约视为同一资产；6.场外衍生品类资产：（1）场外期权及证券公司发行的非保本型收益凭证按照同一“交易对手方”视为同一资产；（2）收益互换按照合约挂钩具体标的视为同一资产。</w:t>
      </w:r>
    </w:p>
    <w:p w14:paraId="3F8A426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47、流动性受限资产：</w:t>
      </w:r>
      <w:r>
        <w:rPr>
          <w:rFonts w:asciiTheme="minorEastAsia" w:hAnsiTheme="minorEastAsia" w:eastAsiaTheme="minorEastAsia"/>
          <w:color w:val="auto"/>
          <w:szCs w:val="21"/>
          <w:highlight w:val="none"/>
        </w:rPr>
        <w:t>是指由于法律法规、监管、合同或操作障碍等原因无法以合理价格予以变现的资产，包括到期日在10个交易日以上的逆回购与银行定期存款（含协议约定有条件提前支取的银行存款）、资产支持证券（票据）、流动受限的新股以及非公开发行股票、停牌股票、因发行人债务违约无法进行转让或交易的债券和非金融企业债务融资工具</w:t>
      </w:r>
      <w:r>
        <w:rPr>
          <w:rFonts w:hint="eastAsia" w:asciiTheme="minorEastAsia" w:hAnsiTheme="minorEastAsia" w:eastAsiaTheme="minorEastAsia"/>
          <w:color w:val="auto"/>
          <w:szCs w:val="21"/>
          <w:highlight w:val="none"/>
        </w:rPr>
        <w:t>、场外衍生品、私募证券投资基金、资管产品</w:t>
      </w:r>
      <w:r>
        <w:rPr>
          <w:rFonts w:asciiTheme="minorEastAsia" w:hAnsiTheme="minorEastAsia" w:eastAsiaTheme="minorEastAsia"/>
          <w:color w:val="auto"/>
          <w:szCs w:val="21"/>
          <w:highlight w:val="none"/>
        </w:rPr>
        <w:t>等资产。</w:t>
      </w:r>
    </w:p>
    <w:p w14:paraId="7B5A82C6">
      <w:pPr>
        <w:adjustRightInd w:val="0"/>
        <w:snapToGrid w:val="0"/>
        <w:spacing w:before="93" w:beforeLines="30" w:after="93" w:afterLines="30" w:line="372" w:lineRule="auto"/>
        <w:ind w:firstLine="420" w:firstLineChars="200"/>
        <w:rPr>
          <w:rFonts w:ascii="宋体" w:hAnsi="宋体" w:cs="宋体"/>
          <w:color w:val="auto"/>
          <w:kern w:val="0"/>
          <w:szCs w:val="21"/>
          <w:highlight w:val="none"/>
        </w:rPr>
      </w:pPr>
      <w:r>
        <w:rPr>
          <w:rFonts w:hint="eastAsia" w:asciiTheme="minorEastAsia" w:hAnsiTheme="minorEastAsia" w:eastAsiaTheme="minorEastAsia"/>
          <w:color w:val="auto"/>
          <w:szCs w:val="21"/>
          <w:highlight w:val="none"/>
        </w:rPr>
        <w:t>48、场外衍生品交易文件：是指基金参与场外衍生品交易时，与交易对手方签署的衍生品交易主协议、补充协议、交易确认书以及履约保障协议等文件。</w:t>
      </w:r>
    </w:p>
    <w:p w14:paraId="3649509A">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13" w:name="_Toc342036187"/>
      <w:bookmarkStart w:id="14" w:name="_Toc459392405"/>
      <w:r>
        <w:rPr>
          <w:rFonts w:hint="eastAsia" w:asciiTheme="minorEastAsia" w:hAnsiTheme="minorEastAsia" w:eastAsiaTheme="minorEastAsia"/>
          <w:color w:val="auto"/>
          <w:sz w:val="28"/>
          <w:szCs w:val="28"/>
          <w:highlight w:val="none"/>
        </w:rPr>
        <w:t>三、声明与承诺</w:t>
      </w:r>
      <w:bookmarkEnd w:id="13"/>
      <w:bookmarkEnd w:id="14"/>
    </w:p>
    <w:p w14:paraId="12907263">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（一）私募基金管理人的声明与承诺</w:t>
      </w:r>
    </w:p>
    <w:p w14:paraId="39D1831A">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1、私募基金管理人保证在募集资金前已在中国基金业协会登记为私募基金管理人【管理人登记编码：P1061585】。</w:t>
      </w:r>
    </w:p>
    <w:p w14:paraId="73CEECB2">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2、私募基金管理人声明，中国基金业协会为私募基金管理人和私募基金办理登记备案不构成对私募基金管理人投资能力、持续合规情况的认可；不作为对基金财产安全的保证。</w:t>
      </w:r>
    </w:p>
    <w:p w14:paraId="0BB54385">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3、私募基金管理人保证已在签订本合同前揭示了相关风险；已经了解私募基金投资者的风险偏好、风险认知能力和承受能力。</w:t>
      </w:r>
    </w:p>
    <w:p w14:paraId="6094F615">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4、私募基金管理人承诺按照恪尽职守、诚实信用、谨慎勤勉的原则管理运用基金财产，不对基金活动的盈利性和最低收益作出承诺。</w:t>
      </w:r>
    </w:p>
    <w:p w14:paraId="108B6236">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5、私募基金管理人承诺已向私募基金投资者明确介绍私募基金托管人所承担的职责与义务，未对私募基金托管人所承担的责任进行虚假宣传，私募基金管理人亦承诺不以私募基金托管人名义或利用私募基金托管人的商誉进行非法募集资金、承诺投资收益等违法违规活动。</w:t>
      </w:r>
    </w:p>
    <w:p w14:paraId="1D8209B9">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6、私募基金管理人同意并承诺</w:t>
      </w:r>
      <w:r>
        <w:rPr>
          <w:rFonts w:asciiTheme="minorEastAsia" w:hAnsiTheme="minorEastAsia" w:eastAsiaTheme="minorEastAsia"/>
          <w:b/>
          <w:color w:val="auto"/>
          <w:szCs w:val="21"/>
          <w:highlight w:val="none"/>
        </w:rPr>
        <w:t>，一经</w:t>
      </w:r>
      <w:r>
        <w:rPr>
          <w:rFonts w:hint="eastAsia" w:asciiTheme="minorEastAsia" w:hAnsiTheme="minorEastAsia" w:eastAsiaTheme="minorEastAsia"/>
          <w:b/>
          <w:color w:val="auto"/>
          <w:szCs w:val="21"/>
          <w:highlight w:val="none"/>
        </w:rPr>
        <w:t>私募</w:t>
      </w:r>
      <w:r>
        <w:rPr>
          <w:rFonts w:asciiTheme="minorEastAsia" w:hAnsiTheme="minorEastAsia" w:eastAsiaTheme="minorEastAsia"/>
          <w:b/>
          <w:color w:val="auto"/>
          <w:szCs w:val="21"/>
          <w:highlight w:val="none"/>
        </w:rPr>
        <w:t>基金托管人要求，</w:t>
      </w:r>
      <w:r>
        <w:rPr>
          <w:rFonts w:hint="eastAsia" w:asciiTheme="minorEastAsia" w:hAnsiTheme="minorEastAsia" w:eastAsiaTheme="minorEastAsia"/>
          <w:b/>
          <w:color w:val="auto"/>
          <w:szCs w:val="21"/>
          <w:highlight w:val="none"/>
        </w:rPr>
        <w:t>私募</w:t>
      </w:r>
      <w:r>
        <w:rPr>
          <w:rFonts w:asciiTheme="minorEastAsia" w:hAnsiTheme="minorEastAsia" w:eastAsiaTheme="minorEastAsia"/>
          <w:b/>
          <w:color w:val="auto"/>
          <w:szCs w:val="21"/>
          <w:highlight w:val="none"/>
        </w:rPr>
        <w:t>基金管理人立即向</w:t>
      </w:r>
      <w:r>
        <w:rPr>
          <w:rFonts w:hint="eastAsia" w:asciiTheme="minorEastAsia" w:hAnsiTheme="minorEastAsia" w:eastAsiaTheme="minorEastAsia"/>
          <w:b/>
          <w:color w:val="auto"/>
          <w:szCs w:val="21"/>
          <w:highlight w:val="none"/>
        </w:rPr>
        <w:t>私募</w:t>
      </w:r>
      <w:r>
        <w:rPr>
          <w:rFonts w:asciiTheme="minorEastAsia" w:hAnsiTheme="minorEastAsia" w:eastAsiaTheme="minorEastAsia"/>
          <w:b/>
          <w:color w:val="auto"/>
          <w:szCs w:val="21"/>
          <w:highlight w:val="none"/>
        </w:rPr>
        <w:t>基金托管人提供</w:t>
      </w:r>
      <w:r>
        <w:rPr>
          <w:rFonts w:hint="eastAsia" w:asciiTheme="minorEastAsia" w:hAnsiTheme="minorEastAsia" w:eastAsiaTheme="minorEastAsia"/>
          <w:b/>
          <w:color w:val="auto"/>
          <w:szCs w:val="21"/>
          <w:highlight w:val="none"/>
        </w:rPr>
        <w:t>私募</w:t>
      </w:r>
      <w:r>
        <w:rPr>
          <w:rFonts w:asciiTheme="minorEastAsia" w:hAnsiTheme="minorEastAsia" w:eastAsiaTheme="minorEastAsia"/>
          <w:b/>
          <w:color w:val="auto"/>
          <w:szCs w:val="21"/>
          <w:highlight w:val="none"/>
        </w:rPr>
        <w:t>基金管理人所持有的以反洗钱为目的的</w:t>
      </w:r>
      <w:r>
        <w:rPr>
          <w:rFonts w:hint="eastAsia" w:asciiTheme="minorEastAsia" w:hAnsiTheme="minorEastAsia" w:eastAsiaTheme="minorEastAsia"/>
          <w:b/>
          <w:color w:val="auto"/>
          <w:szCs w:val="21"/>
          <w:highlight w:val="none"/>
        </w:rPr>
        <w:t>私募</w:t>
      </w:r>
      <w:r>
        <w:rPr>
          <w:rFonts w:asciiTheme="minorEastAsia" w:hAnsiTheme="minorEastAsia" w:eastAsiaTheme="minorEastAsia"/>
          <w:b/>
          <w:color w:val="auto"/>
          <w:szCs w:val="21"/>
          <w:highlight w:val="none"/>
        </w:rPr>
        <w:t>基金投资者的客户资料。如因</w:t>
      </w:r>
      <w:r>
        <w:rPr>
          <w:rFonts w:hint="eastAsia" w:asciiTheme="minorEastAsia" w:hAnsiTheme="minorEastAsia" w:eastAsiaTheme="minorEastAsia"/>
          <w:b/>
          <w:color w:val="auto"/>
          <w:szCs w:val="21"/>
          <w:highlight w:val="none"/>
        </w:rPr>
        <w:t>私募</w:t>
      </w:r>
      <w:r>
        <w:rPr>
          <w:rFonts w:asciiTheme="minorEastAsia" w:hAnsiTheme="minorEastAsia" w:eastAsiaTheme="minorEastAsia"/>
          <w:b/>
          <w:color w:val="auto"/>
          <w:szCs w:val="21"/>
          <w:highlight w:val="none"/>
        </w:rPr>
        <w:t>基金管理人未履行</w:t>
      </w:r>
      <w:r>
        <w:rPr>
          <w:rFonts w:hint="eastAsia" w:asciiTheme="minorEastAsia" w:hAnsiTheme="minorEastAsia" w:eastAsiaTheme="minorEastAsia"/>
          <w:b/>
          <w:color w:val="auto"/>
          <w:szCs w:val="21"/>
          <w:highlight w:val="none"/>
        </w:rPr>
        <w:t>相关法律法规规定的</w:t>
      </w:r>
      <w:r>
        <w:rPr>
          <w:rFonts w:asciiTheme="minorEastAsia" w:hAnsiTheme="minorEastAsia" w:eastAsiaTheme="minorEastAsia"/>
          <w:b/>
          <w:color w:val="auto"/>
          <w:szCs w:val="21"/>
          <w:highlight w:val="none"/>
        </w:rPr>
        <w:t>反洗钱义务而导致</w:t>
      </w:r>
      <w:r>
        <w:rPr>
          <w:rFonts w:hint="eastAsia" w:asciiTheme="minorEastAsia" w:hAnsiTheme="minorEastAsia" w:eastAsiaTheme="minorEastAsia"/>
          <w:b/>
          <w:color w:val="auto"/>
          <w:szCs w:val="21"/>
          <w:highlight w:val="none"/>
        </w:rPr>
        <w:t>私募</w:t>
      </w:r>
      <w:r>
        <w:rPr>
          <w:rFonts w:asciiTheme="minorEastAsia" w:hAnsiTheme="minorEastAsia" w:eastAsiaTheme="minorEastAsia"/>
          <w:b/>
          <w:color w:val="auto"/>
          <w:szCs w:val="21"/>
          <w:highlight w:val="none"/>
        </w:rPr>
        <w:t>基金托管人遭受包括监管处罚在内的任何损失，</w:t>
      </w:r>
      <w:r>
        <w:rPr>
          <w:rFonts w:hint="eastAsia" w:asciiTheme="minorEastAsia" w:hAnsiTheme="minorEastAsia" w:eastAsiaTheme="minorEastAsia"/>
          <w:b/>
          <w:color w:val="auto"/>
          <w:szCs w:val="21"/>
          <w:highlight w:val="none"/>
        </w:rPr>
        <w:t>私募</w:t>
      </w:r>
      <w:r>
        <w:rPr>
          <w:rFonts w:asciiTheme="minorEastAsia" w:hAnsiTheme="minorEastAsia" w:eastAsiaTheme="minorEastAsia"/>
          <w:b/>
          <w:color w:val="auto"/>
          <w:szCs w:val="21"/>
          <w:highlight w:val="none"/>
        </w:rPr>
        <w:t>基金管理人应向</w:t>
      </w:r>
      <w:r>
        <w:rPr>
          <w:rFonts w:hint="eastAsia" w:asciiTheme="minorEastAsia" w:hAnsiTheme="minorEastAsia" w:eastAsiaTheme="minorEastAsia"/>
          <w:b/>
          <w:color w:val="auto"/>
          <w:szCs w:val="21"/>
          <w:highlight w:val="none"/>
        </w:rPr>
        <w:t>私募</w:t>
      </w:r>
      <w:r>
        <w:rPr>
          <w:rFonts w:asciiTheme="minorEastAsia" w:hAnsiTheme="minorEastAsia" w:eastAsiaTheme="minorEastAsia"/>
          <w:b/>
          <w:color w:val="auto"/>
          <w:szCs w:val="21"/>
          <w:highlight w:val="none"/>
        </w:rPr>
        <w:t>基金托管人承担赔偿责任。</w:t>
      </w:r>
    </w:p>
    <w:p w14:paraId="403A635C">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（二）私募基金托管人的声明与承诺</w:t>
      </w:r>
    </w:p>
    <w:p w14:paraId="6CE059A4">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私募基金托管人承诺按照恪尽职守、诚实信用、谨慎勤勉的原则安全保管基金财产，并履行合同约定的其他义务。</w:t>
      </w:r>
    </w:p>
    <w:p w14:paraId="2E9E5AD5">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（三）私募基金投资者的声明与承诺</w:t>
      </w:r>
    </w:p>
    <w:p w14:paraId="1284A256">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t>1、</w:t>
      </w:r>
      <w:r>
        <w:rPr>
          <w:rFonts w:hint="eastAsia" w:asciiTheme="minorEastAsia" w:hAnsiTheme="minorEastAsia" w:eastAsiaTheme="minorEastAsia"/>
          <w:b/>
          <w:color w:val="auto"/>
          <w:szCs w:val="21"/>
          <w:highlight w:val="none"/>
        </w:rPr>
        <w:t>私募基金投资者声明其为符合《私募办法》规定的合格投资者，保证财产的来源及用途符合国家有关规定，并已充分理解本合同条款，了解相关权利义务，了解有关法律法规及所投资基金的风险收益特征，愿意承担相应的投资风险。</w:t>
      </w:r>
    </w:p>
    <w:p w14:paraId="0B14E352">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t>2、</w:t>
      </w:r>
      <w:r>
        <w:rPr>
          <w:rFonts w:hint="eastAsia" w:asciiTheme="minorEastAsia" w:hAnsiTheme="minorEastAsia" w:eastAsiaTheme="minorEastAsia"/>
          <w:b/>
          <w:color w:val="auto"/>
          <w:szCs w:val="21"/>
          <w:highlight w:val="none"/>
        </w:rPr>
        <w:t>私募基金投资者承诺其向私募基金管理人提供的有关投资目的、投资偏好、投资限制、财产收入情况和风险承受能力等基本情况真实、完整、准确、合法，不存在任何重大遗漏或误导。</w:t>
      </w:r>
    </w:p>
    <w:p w14:paraId="0B210648">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t>3、</w:t>
      </w:r>
      <w:r>
        <w:rPr>
          <w:rFonts w:hint="eastAsia" w:asciiTheme="minorEastAsia" w:hAnsiTheme="minorEastAsia" w:eastAsiaTheme="minorEastAsia"/>
          <w:b/>
          <w:color w:val="auto"/>
          <w:szCs w:val="21"/>
          <w:highlight w:val="none"/>
        </w:rPr>
        <w:t>前述信息资料如发生任何实质性变更，应当及时告知私募基金管理人或代销机构；</w:t>
      </w:r>
    </w:p>
    <w:p w14:paraId="005A36BD">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t>4、</w:t>
      </w:r>
      <w:r>
        <w:rPr>
          <w:rFonts w:hint="eastAsia" w:asciiTheme="minorEastAsia" w:hAnsiTheme="minorEastAsia" w:eastAsiaTheme="minorEastAsia"/>
          <w:b/>
          <w:color w:val="auto"/>
          <w:szCs w:val="21"/>
          <w:highlight w:val="none"/>
        </w:rPr>
        <w:t>私募基金投资者知晓，私募基金管理人、私募基金托管人及相关机构不应对基金财产的收益状况做出任何承诺或担保。</w:t>
      </w:r>
    </w:p>
    <w:p w14:paraId="7CBB1D92">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5、为实现本合同目的，私募基金投资者理解并同意私募基金管理人收集、使用、留存、及处理本合同涉及到的必要个人信息，包括但不限于私募基金投资者的姓名、身份证号、出生日期、住址、电话号码、电子邮箱等。私募基金投资者知晓，根据法律法规的规定，私募基金管理人需处理投资者信息中的与法定代表人、受益所有人、经办人有关的个人信息，私募基金投资者承诺其提供的前述个人信息真实、准确、完整，且已履行《个人信息保护法》下个人信息处理者应履行的程序。</w:t>
      </w:r>
    </w:p>
    <w:p w14:paraId="038A2AB9">
      <w:pPr>
        <w:spacing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6、</w:t>
      </w:r>
      <w:r>
        <w:rPr>
          <w:rFonts w:hint="eastAsia" w:ascii="宋体" w:hAnsi="宋体"/>
          <w:b/>
          <w:color w:val="auto"/>
          <w:szCs w:val="21"/>
          <w:highlight w:val="none"/>
        </w:rPr>
        <w:t>私募基金投资者知晓，中国基金业协会为私募投资基金办理备案不构成对私募基金管理人投资能力的认可，亦不构成对管理人和私募投资基金合规情况的认可，不作为对私募投资基金财产安全的保证。投资者承诺自行识别私募投资基金投资风险并承担投资行为可能出现的损失。</w:t>
      </w:r>
    </w:p>
    <w:p w14:paraId="09AE95F8">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15" w:name="_Toc459392406"/>
      <w:bookmarkStart w:id="16" w:name="_Toc194741907"/>
      <w:r>
        <w:rPr>
          <w:rFonts w:hint="eastAsia" w:asciiTheme="minorEastAsia" w:hAnsiTheme="minorEastAsia" w:eastAsiaTheme="minorEastAsia"/>
          <w:color w:val="auto"/>
          <w:sz w:val="28"/>
          <w:szCs w:val="28"/>
          <w:highlight w:val="none"/>
        </w:rPr>
        <w:t>四、基金的基本情况</w:t>
      </w:r>
      <w:bookmarkEnd w:id="15"/>
    </w:p>
    <w:p w14:paraId="2C9D22B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（一）基金的名称：</w:t>
      </w:r>
      <w:r>
        <w:rPr>
          <w:rFonts w:hint="eastAsia" w:asciiTheme="minorEastAsia" w:hAnsiTheme="minorEastAsia" w:eastAsiaTheme="minorEastAsia"/>
          <w:color w:val="auto"/>
          <w:szCs w:val="21"/>
          <w:highlight w:val="none"/>
          <w:lang w:eastAsia="zh-CN"/>
        </w:rPr>
        <w:t>石云中证1000资产进取一号私募证券投资基金</w:t>
      </w:r>
      <w:r>
        <w:rPr>
          <w:rFonts w:hint="eastAsia" w:asciiTheme="minorEastAsia" w:hAnsiTheme="minorEastAsia" w:eastAsiaTheme="minorEastAsia"/>
          <w:color w:val="auto"/>
          <w:szCs w:val="21"/>
          <w:highlight w:val="none"/>
        </w:rPr>
        <w:t>。</w:t>
      </w:r>
    </w:p>
    <w:p w14:paraId="3EA284AF">
      <w:pPr>
        <w:pStyle w:val="13"/>
        <w:tabs>
          <w:tab w:val="left" w:pos="1134"/>
        </w:tabs>
        <w:adjustRightInd w:val="0"/>
        <w:snapToGrid w:val="0"/>
        <w:spacing w:before="93" w:beforeLines="30" w:after="93" w:afterLines="30" w:line="324" w:lineRule="auto"/>
        <w:ind w:left="420" w:firstLine="0" w:firstLineChars="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（二）基金的类型：权益类。</w:t>
      </w:r>
    </w:p>
    <w:p w14:paraId="4554536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（三）基金的运作方式：开放式。</w:t>
      </w:r>
    </w:p>
    <w:p w14:paraId="4D7E287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（四）基金的投资目标和投资范围：</w:t>
      </w:r>
    </w:p>
    <w:p w14:paraId="6CDF871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投资目标和投资范围请参见合同第十一章“基金的投资”。</w:t>
      </w:r>
    </w:p>
    <w:p w14:paraId="44A96EA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（五）基金的存续期限：</w:t>
      </w:r>
    </w:p>
    <w:p w14:paraId="2081A87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本基金自成立之日起计算的20</w:t>
      </w:r>
      <w:r>
        <w:rPr>
          <w:rFonts w:asciiTheme="minorEastAsia" w:hAnsiTheme="minorEastAsia" w:eastAsiaTheme="minorEastAsia"/>
          <w:color w:val="auto"/>
          <w:szCs w:val="21"/>
          <w:highlight w:val="none"/>
        </w:rPr>
        <w:t>年为固定存续期限，</w:t>
      </w:r>
      <w:r>
        <w:rPr>
          <w:rFonts w:hint="eastAsia" w:asciiTheme="minorEastAsia" w:hAnsiTheme="minorEastAsia" w:eastAsiaTheme="minorEastAsia"/>
          <w:color w:val="auto"/>
          <w:szCs w:val="21"/>
          <w:highlight w:val="none"/>
        </w:rPr>
        <w:t>20</w:t>
      </w:r>
      <w:r>
        <w:rPr>
          <w:rFonts w:asciiTheme="minorEastAsia" w:hAnsiTheme="minorEastAsia" w:eastAsiaTheme="minorEastAsia"/>
          <w:color w:val="auto"/>
          <w:szCs w:val="21"/>
          <w:highlight w:val="none"/>
        </w:rPr>
        <w:t>年后的对应月对应日的前一天即为到期日，如到期日为非工作日的，非工作日后的第1个工作日视为到期日。</w:t>
      </w:r>
    </w:p>
    <w:p w14:paraId="3E1AC2E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（六）基金份额的初始募集面值：人民币1.00元。</w:t>
      </w:r>
    </w:p>
    <w:p w14:paraId="1D0123F5">
      <w:pPr>
        <w:pStyle w:val="14"/>
        <w:spacing w:line="360" w:lineRule="auto"/>
        <w:ind w:firstLine="420" w:firstLineChars="200"/>
        <w:rPr>
          <w:rFonts w:ascii="宋体" w:hAnsi="宋体"/>
          <w:color w:val="auto"/>
          <w:szCs w:val="21"/>
          <w:highlight w:val="none"/>
        </w:rPr>
      </w:pPr>
      <w:bookmarkStart w:id="17" w:name="OLE_LINK34"/>
      <w:bookmarkStart w:id="18" w:name="OLE_LINK33"/>
      <w:r>
        <w:rPr>
          <w:rFonts w:hint="eastAsia" w:ascii="宋体" w:hAnsi="宋体"/>
          <w:color w:val="auto"/>
          <w:szCs w:val="21"/>
          <w:highlight w:val="none"/>
        </w:rPr>
        <w:t>本基金存在不同类别份额</w:t>
      </w:r>
      <w:bookmarkEnd w:id="17"/>
      <w:bookmarkEnd w:id="18"/>
      <w:r>
        <w:rPr>
          <w:rFonts w:hint="eastAsia" w:ascii="宋体" w:hAnsi="宋体"/>
          <w:color w:val="auto"/>
          <w:szCs w:val="21"/>
          <w:highlight w:val="none"/>
        </w:rPr>
        <w:t>，除本合同另有约定外，同类别的每份基金份额具有同等的合法权益。</w:t>
      </w:r>
    </w:p>
    <w:p w14:paraId="3359847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（七）基金的托管事项：本基金财产由基金托管人进行托管。本基金托管人为华福证券股份有限公司。</w:t>
      </w:r>
    </w:p>
    <w:p w14:paraId="4D816B5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（八）基金的服务事项：本基金的服务机构为本基金提供份额登记、估值核算等外包事项服务。</w:t>
      </w:r>
    </w:p>
    <w:p w14:paraId="1DE920C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Cs/>
          <w:color w:val="auto"/>
          <w:szCs w:val="21"/>
          <w:highlight w:val="none"/>
        </w:rPr>
        <w:t>本基金的</w:t>
      </w:r>
      <w:r>
        <w:rPr>
          <w:rFonts w:hint="eastAsia" w:asciiTheme="minorEastAsia" w:hAnsiTheme="minorEastAsia" w:eastAsiaTheme="minorEastAsia"/>
          <w:color w:val="auto"/>
          <w:szCs w:val="21"/>
          <w:highlight w:val="none"/>
        </w:rPr>
        <w:t>服务机构为国泰</w:t>
      </w:r>
      <w:r>
        <w:rPr>
          <w:rFonts w:hint="eastAsia" w:asciiTheme="minorEastAsia" w:hAnsiTheme="minorEastAsia" w:eastAsiaTheme="minorEastAsia"/>
          <w:color w:val="auto"/>
          <w:highlight w:val="none"/>
        </w:rPr>
        <w:t>海通</w:t>
      </w:r>
      <w:r>
        <w:rPr>
          <w:rFonts w:hint="eastAsia" w:asciiTheme="minorEastAsia" w:hAnsiTheme="minorEastAsia" w:eastAsiaTheme="minorEastAsia"/>
          <w:color w:val="auto"/>
          <w:szCs w:val="21"/>
          <w:highlight w:val="none"/>
        </w:rPr>
        <w:t>证券股份有限公司。本基金的服务机构已完成在基金业协会的备案，编号为A00005。</w:t>
      </w:r>
    </w:p>
    <w:p w14:paraId="1F210261">
      <w:pPr>
        <w:adjustRightInd w:val="0"/>
        <w:snapToGrid w:val="0"/>
        <w:spacing w:before="93" w:beforeLines="30" w:after="93" w:afterLines="30" w:line="360" w:lineRule="auto"/>
        <w:ind w:firstLine="422"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
          <w:color w:val="auto"/>
          <w:szCs w:val="21"/>
          <w:highlight w:val="none"/>
        </w:rPr>
        <w:t>特别提示：本基金的托管人以及服务机构分别由华福证券股份有限公司、国泰</w:t>
      </w:r>
      <w:r>
        <w:rPr>
          <w:rFonts w:hint="eastAsia" w:asciiTheme="minorEastAsia" w:hAnsiTheme="minorEastAsia" w:eastAsiaTheme="minorEastAsia"/>
          <w:b/>
          <w:color w:val="auto"/>
          <w:highlight w:val="none"/>
        </w:rPr>
        <w:t>海通</w:t>
      </w:r>
      <w:r>
        <w:rPr>
          <w:rFonts w:hint="eastAsia" w:asciiTheme="minorEastAsia" w:hAnsiTheme="minorEastAsia" w:eastAsiaTheme="minorEastAsia"/>
          <w:b/>
          <w:color w:val="auto"/>
          <w:szCs w:val="21"/>
          <w:highlight w:val="none"/>
        </w:rPr>
        <w:t>证券股份有限公司担任，托管职能和基金服务职能分别由两家公司履行，能够按照法律法规的要求采取有效措施恰当的识别、管理、监控潜在的利益冲突。</w:t>
      </w:r>
    </w:p>
    <w:p w14:paraId="3EC01C8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（九）基金的预警与止损：</w:t>
      </w:r>
    </w:p>
    <w:p w14:paraId="3461D1E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本基金不设置预警线、止损线。</w:t>
      </w:r>
    </w:p>
    <w:p w14:paraId="4A552AB6">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由于上述情况对基金财产或基金份额持有人造成的损失，基金托管人不承担责任。</w:t>
      </w:r>
    </w:p>
    <w:p w14:paraId="784FE6E2">
      <w:pPr>
        <w:spacing w:line="360" w:lineRule="auto"/>
        <w:ind w:firstLine="420" w:firstLineChars="200"/>
        <w:rPr>
          <w:rFonts w:ascii="宋体" w:hAnsi="宋体"/>
          <w:color w:val="auto"/>
          <w:szCs w:val="21"/>
          <w:highlight w:val="none"/>
        </w:rPr>
      </w:pPr>
      <w:r>
        <w:rPr>
          <w:rFonts w:hint="eastAsia" w:asciiTheme="minorEastAsia" w:hAnsiTheme="minorEastAsia" w:eastAsiaTheme="minorEastAsia"/>
          <w:color w:val="auto"/>
          <w:szCs w:val="21"/>
          <w:highlight w:val="none"/>
        </w:rPr>
        <w:t>（十）</w:t>
      </w:r>
      <w:r>
        <w:rPr>
          <w:rFonts w:hint="eastAsia" w:ascii="宋体" w:hAnsi="宋体"/>
          <w:color w:val="auto"/>
          <w:szCs w:val="21"/>
          <w:highlight w:val="none"/>
        </w:rPr>
        <w:t>基金的份额分类：</w:t>
      </w:r>
    </w:p>
    <w:p w14:paraId="33597F7B">
      <w:pPr>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1、基金份额的不同类别</w:t>
      </w:r>
    </w:p>
    <w:p w14:paraId="294EB23E">
      <w:pPr>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私募基金管理人【以不同的特定募集对象】为依据，将份额分为【</w:t>
      </w:r>
      <w:r>
        <w:rPr>
          <w:rFonts w:ascii="宋体" w:hAnsi="宋体"/>
          <w:color w:val="auto"/>
          <w:szCs w:val="21"/>
          <w:highlight w:val="none"/>
        </w:rPr>
        <w:t>A</w:t>
      </w:r>
      <w:r>
        <w:rPr>
          <w:rFonts w:hint="eastAsia" w:ascii="宋体" w:hAnsi="宋体"/>
          <w:color w:val="auto"/>
          <w:szCs w:val="21"/>
          <w:highlight w:val="none"/>
        </w:rPr>
        <w:t>类份额、B类份额、C类份额和D类份额】。本基金的份额分类安排并非结构化或分级安排，不存在一类份额为其他份额提供风险补偿的情形。任意一类份额的申购和赎回均不影响本基金的存续，但所有类别份额全部被赎回的情况除外。除在以下具体列示方面以及合同约定的其他方面存在差异外，各类份额持有人享有相同的权利和义务。</w:t>
      </w:r>
    </w:p>
    <w:p w14:paraId="3D6E6DCE">
      <w:pPr>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私募基金管理人应对投资者是否符合其拟认</w:t>
      </w:r>
      <w:r>
        <w:rPr>
          <w:rFonts w:ascii="宋体" w:hAnsi="宋体"/>
          <w:color w:val="auto"/>
          <w:szCs w:val="21"/>
          <w:highlight w:val="none"/>
        </w:rPr>
        <w:t>/</w:t>
      </w:r>
      <w:r>
        <w:rPr>
          <w:rFonts w:hint="eastAsia" w:ascii="宋体" w:hAnsi="宋体"/>
          <w:color w:val="auto"/>
          <w:szCs w:val="21"/>
          <w:highlight w:val="none"/>
        </w:rPr>
        <w:t>申购的特定基金份额的资质要求进行妥善审核，托管人和份额登记机构对此不承担任何审核、复核职责，份额登记操作仅以管理人提交的申请为准。如因管理人允许不符合【</w:t>
      </w:r>
      <w:r>
        <w:rPr>
          <w:rFonts w:ascii="宋体" w:hAnsi="宋体"/>
          <w:color w:val="auto"/>
          <w:szCs w:val="21"/>
          <w:highlight w:val="none"/>
        </w:rPr>
        <w:t>A</w:t>
      </w:r>
      <w:r>
        <w:rPr>
          <w:rFonts w:hint="eastAsia" w:ascii="宋体" w:hAnsi="宋体"/>
          <w:color w:val="auto"/>
          <w:szCs w:val="21"/>
          <w:highlight w:val="none"/>
        </w:rPr>
        <w:t>类或</w:t>
      </w:r>
      <w:r>
        <w:rPr>
          <w:rFonts w:ascii="宋体" w:hAnsi="宋体"/>
          <w:color w:val="auto"/>
          <w:szCs w:val="21"/>
          <w:highlight w:val="none"/>
        </w:rPr>
        <w:t>B</w:t>
      </w:r>
      <w:r>
        <w:rPr>
          <w:rFonts w:hint="eastAsia" w:ascii="宋体" w:hAnsi="宋体"/>
          <w:color w:val="auto"/>
          <w:szCs w:val="21"/>
          <w:highlight w:val="none"/>
        </w:rPr>
        <w:t>类或C类或D类份额】要求的投资者认购、申购该等份额，对任何一方造成损失的，份额登记机构以及私募基金托管人不承担任何赔偿责任。</w:t>
      </w:r>
    </w:p>
    <w:p w14:paraId="305AE726">
      <w:pPr>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本基金对【A类份额和B类份额】的部分分类约定如下：</w:t>
      </w:r>
    </w:p>
    <w:tbl>
      <w:tblPr>
        <w:tblStyle w:val="8"/>
        <w:tblW w:w="90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33"/>
        <w:gridCol w:w="2115"/>
        <w:gridCol w:w="2041"/>
        <w:gridCol w:w="1649"/>
        <w:gridCol w:w="1684"/>
      </w:tblGrid>
      <w:tr w14:paraId="3AB1AE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3" w:type="dxa"/>
          </w:tcPr>
          <w:p w14:paraId="1A563BDE">
            <w:pPr>
              <w:spacing w:line="360" w:lineRule="auto"/>
              <w:jc w:val="left"/>
              <w:rPr>
                <w:rFonts w:ascii="宋体" w:hAnsi="宋体"/>
                <w:color w:val="auto"/>
                <w:szCs w:val="21"/>
                <w:highlight w:val="none"/>
              </w:rPr>
            </w:pPr>
          </w:p>
        </w:tc>
        <w:tc>
          <w:tcPr>
            <w:tcW w:w="2115" w:type="dxa"/>
          </w:tcPr>
          <w:p w14:paraId="22279B8D">
            <w:pPr>
              <w:spacing w:line="360" w:lineRule="auto"/>
              <w:jc w:val="left"/>
              <w:rPr>
                <w:rFonts w:ascii="宋体" w:hAnsi="宋体"/>
                <w:color w:val="auto"/>
                <w:szCs w:val="21"/>
                <w:highlight w:val="none"/>
              </w:rPr>
            </w:pPr>
            <w:r>
              <w:rPr>
                <w:rFonts w:hint="eastAsia" w:ascii="宋体" w:hAnsi="宋体"/>
                <w:color w:val="auto"/>
                <w:szCs w:val="21"/>
                <w:highlight w:val="none"/>
              </w:rPr>
              <w:t>A类份额</w:t>
            </w:r>
          </w:p>
        </w:tc>
        <w:tc>
          <w:tcPr>
            <w:tcW w:w="2041" w:type="dxa"/>
          </w:tcPr>
          <w:p w14:paraId="630568BB">
            <w:pPr>
              <w:spacing w:line="360" w:lineRule="auto"/>
              <w:jc w:val="left"/>
              <w:rPr>
                <w:rFonts w:ascii="宋体" w:hAnsi="宋体"/>
                <w:color w:val="auto"/>
                <w:szCs w:val="21"/>
                <w:highlight w:val="none"/>
              </w:rPr>
            </w:pPr>
            <w:r>
              <w:rPr>
                <w:rFonts w:hint="eastAsia" w:ascii="宋体" w:hAnsi="宋体"/>
                <w:color w:val="auto"/>
                <w:szCs w:val="21"/>
                <w:highlight w:val="none"/>
              </w:rPr>
              <w:t>B类份额</w:t>
            </w:r>
          </w:p>
        </w:tc>
        <w:tc>
          <w:tcPr>
            <w:tcW w:w="1649" w:type="dxa"/>
          </w:tcPr>
          <w:p w14:paraId="7658977E">
            <w:pPr>
              <w:spacing w:line="360" w:lineRule="auto"/>
              <w:jc w:val="left"/>
              <w:rPr>
                <w:rFonts w:ascii="宋体" w:hAnsi="宋体"/>
                <w:color w:val="auto"/>
                <w:szCs w:val="21"/>
                <w:highlight w:val="none"/>
              </w:rPr>
            </w:pPr>
            <w:r>
              <w:rPr>
                <w:rFonts w:hint="eastAsia" w:ascii="宋体" w:hAnsi="宋体"/>
                <w:color w:val="auto"/>
                <w:szCs w:val="21"/>
                <w:highlight w:val="none"/>
              </w:rPr>
              <w:t>C类份额</w:t>
            </w:r>
          </w:p>
        </w:tc>
        <w:tc>
          <w:tcPr>
            <w:tcW w:w="1684" w:type="dxa"/>
          </w:tcPr>
          <w:p w14:paraId="764A6799">
            <w:pPr>
              <w:spacing w:line="360" w:lineRule="auto"/>
              <w:jc w:val="left"/>
              <w:rPr>
                <w:rFonts w:ascii="宋体" w:hAnsi="宋体"/>
                <w:color w:val="auto"/>
                <w:szCs w:val="21"/>
                <w:highlight w:val="none"/>
              </w:rPr>
            </w:pPr>
            <w:r>
              <w:rPr>
                <w:rFonts w:hint="eastAsia" w:ascii="宋体" w:hAnsi="宋体"/>
                <w:color w:val="auto"/>
                <w:szCs w:val="21"/>
                <w:highlight w:val="none"/>
              </w:rPr>
              <w:t>D类份额</w:t>
            </w:r>
          </w:p>
        </w:tc>
      </w:tr>
      <w:tr w14:paraId="2B5AB2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3" w:type="dxa"/>
          </w:tcPr>
          <w:p w14:paraId="0C8202EE">
            <w:pPr>
              <w:spacing w:line="360" w:lineRule="auto"/>
              <w:jc w:val="left"/>
              <w:rPr>
                <w:rFonts w:ascii="宋体" w:hAnsi="宋体"/>
                <w:color w:val="auto"/>
                <w:szCs w:val="21"/>
                <w:highlight w:val="none"/>
              </w:rPr>
            </w:pPr>
            <w:r>
              <w:rPr>
                <w:rFonts w:hint="eastAsia" w:ascii="宋体" w:hAnsi="宋体"/>
                <w:color w:val="auto"/>
                <w:szCs w:val="21"/>
                <w:highlight w:val="none"/>
              </w:rPr>
              <w:t>分类标准</w:t>
            </w:r>
          </w:p>
        </w:tc>
        <w:tc>
          <w:tcPr>
            <w:tcW w:w="2115" w:type="dxa"/>
          </w:tcPr>
          <w:p w14:paraId="3E3CB9CB">
            <w:pPr>
              <w:spacing w:line="360" w:lineRule="auto"/>
              <w:jc w:val="left"/>
              <w:rPr>
                <w:rFonts w:ascii="宋体" w:hAnsi="宋体"/>
                <w:color w:val="auto"/>
                <w:szCs w:val="21"/>
                <w:highlight w:val="none"/>
              </w:rPr>
            </w:pPr>
            <w:r>
              <w:rPr>
                <w:rFonts w:hint="eastAsia" w:ascii="宋体" w:hAnsi="宋体"/>
                <w:color w:val="auto"/>
                <w:szCs w:val="21"/>
                <w:highlight w:val="none"/>
              </w:rPr>
              <w:t>向由基金管理人委托的代销机构向自然人合格投资者进行代销募集的基金份额。</w:t>
            </w:r>
          </w:p>
        </w:tc>
        <w:tc>
          <w:tcPr>
            <w:tcW w:w="2041" w:type="dxa"/>
          </w:tcPr>
          <w:p w14:paraId="3D6D67C8">
            <w:pPr>
              <w:spacing w:line="360" w:lineRule="auto"/>
              <w:jc w:val="left"/>
              <w:rPr>
                <w:rFonts w:ascii="宋体" w:hAnsi="宋体"/>
                <w:color w:val="auto"/>
                <w:szCs w:val="21"/>
                <w:highlight w:val="none"/>
              </w:rPr>
            </w:pPr>
            <w:r>
              <w:rPr>
                <w:rFonts w:hint="eastAsia" w:ascii="宋体" w:hAnsi="宋体"/>
                <w:color w:val="auto"/>
                <w:szCs w:val="21"/>
                <w:highlight w:val="none"/>
              </w:rPr>
              <w:t>向由基金管理人委托的代销机构向除自然人合格投资者以外的其他合格投资者进行代销募集的基金份额。</w:t>
            </w:r>
          </w:p>
        </w:tc>
        <w:tc>
          <w:tcPr>
            <w:tcW w:w="1649" w:type="dxa"/>
          </w:tcPr>
          <w:p w14:paraId="76C349C1">
            <w:pPr>
              <w:spacing w:line="360" w:lineRule="auto"/>
              <w:jc w:val="left"/>
              <w:rPr>
                <w:rFonts w:ascii="宋体" w:hAnsi="宋体"/>
                <w:color w:val="auto"/>
                <w:szCs w:val="21"/>
                <w:highlight w:val="none"/>
              </w:rPr>
            </w:pPr>
            <w:r>
              <w:rPr>
                <w:rFonts w:hint="eastAsia" w:ascii="宋体" w:hAnsi="宋体"/>
                <w:color w:val="auto"/>
                <w:szCs w:val="21"/>
                <w:highlight w:val="none"/>
              </w:rPr>
              <w:t>向除A、B、D类份额投资者以外的其他合格投资者募集的基金份额。</w:t>
            </w:r>
          </w:p>
        </w:tc>
        <w:tc>
          <w:tcPr>
            <w:tcW w:w="1684" w:type="dxa"/>
          </w:tcPr>
          <w:p w14:paraId="6201E588">
            <w:pPr>
              <w:spacing w:line="360" w:lineRule="auto"/>
              <w:jc w:val="left"/>
              <w:rPr>
                <w:rFonts w:ascii="宋体" w:hAnsi="宋体"/>
                <w:color w:val="auto"/>
                <w:szCs w:val="21"/>
                <w:highlight w:val="none"/>
              </w:rPr>
            </w:pPr>
            <w:r>
              <w:rPr>
                <w:rFonts w:hint="eastAsia" w:ascii="宋体" w:hAnsi="宋体"/>
                <w:color w:val="auto"/>
                <w:szCs w:val="21"/>
                <w:highlight w:val="none"/>
              </w:rPr>
              <w:t>通过管理人直销渠道向本基金管理人管理的其他私募基金、本基金管理人、本基金管理人员工以及本基金管理人担任投资顾问的资管产品募集的基金份额。</w:t>
            </w:r>
          </w:p>
        </w:tc>
      </w:tr>
      <w:tr w14:paraId="3D0B8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3" w:type="dxa"/>
          </w:tcPr>
          <w:p w14:paraId="42B8DB73">
            <w:pPr>
              <w:spacing w:line="360" w:lineRule="auto"/>
              <w:jc w:val="left"/>
              <w:rPr>
                <w:rFonts w:ascii="宋体" w:hAnsi="宋体"/>
                <w:color w:val="auto"/>
                <w:szCs w:val="21"/>
                <w:highlight w:val="none"/>
              </w:rPr>
            </w:pPr>
            <w:r>
              <w:rPr>
                <w:rFonts w:hint="eastAsia" w:ascii="宋体" w:hAnsi="宋体"/>
                <w:color w:val="auto"/>
                <w:szCs w:val="21"/>
                <w:highlight w:val="none"/>
              </w:rPr>
              <w:t>认购费率</w:t>
            </w:r>
          </w:p>
        </w:tc>
        <w:tc>
          <w:tcPr>
            <w:tcW w:w="2115" w:type="dxa"/>
          </w:tcPr>
          <w:p w14:paraId="1B668584">
            <w:pPr>
              <w:spacing w:line="360" w:lineRule="auto"/>
              <w:jc w:val="left"/>
              <w:rPr>
                <w:rFonts w:ascii="宋体" w:hAnsi="宋体"/>
                <w:color w:val="auto"/>
                <w:szCs w:val="21"/>
                <w:highlight w:val="none"/>
              </w:rPr>
            </w:pPr>
            <w:r>
              <w:rPr>
                <w:rFonts w:hint="eastAsia" w:ascii="宋体" w:hAnsi="宋体"/>
                <w:color w:val="auto"/>
                <w:szCs w:val="21"/>
                <w:highlight w:val="none"/>
              </w:rPr>
              <w:t xml:space="preserve">【0.5%】 </w:t>
            </w:r>
          </w:p>
        </w:tc>
        <w:tc>
          <w:tcPr>
            <w:tcW w:w="2041" w:type="dxa"/>
          </w:tcPr>
          <w:p w14:paraId="52755047">
            <w:pPr>
              <w:spacing w:line="360" w:lineRule="auto"/>
              <w:jc w:val="left"/>
              <w:rPr>
                <w:rFonts w:ascii="宋体" w:hAnsi="宋体"/>
                <w:color w:val="auto"/>
                <w:szCs w:val="21"/>
                <w:highlight w:val="none"/>
              </w:rPr>
            </w:pPr>
            <w:r>
              <w:rPr>
                <w:rFonts w:hint="eastAsia" w:ascii="宋体" w:hAnsi="宋体"/>
                <w:color w:val="auto"/>
                <w:szCs w:val="21"/>
                <w:highlight w:val="none"/>
              </w:rPr>
              <w:t>【0%】</w:t>
            </w:r>
          </w:p>
        </w:tc>
        <w:tc>
          <w:tcPr>
            <w:tcW w:w="1649" w:type="dxa"/>
          </w:tcPr>
          <w:p w14:paraId="62946F15">
            <w:pPr>
              <w:spacing w:line="360" w:lineRule="auto"/>
              <w:jc w:val="left"/>
              <w:rPr>
                <w:rFonts w:ascii="宋体" w:hAnsi="宋体"/>
                <w:color w:val="auto"/>
                <w:szCs w:val="21"/>
                <w:highlight w:val="none"/>
              </w:rPr>
            </w:pPr>
            <w:r>
              <w:rPr>
                <w:rFonts w:hint="eastAsia" w:ascii="宋体" w:hAnsi="宋体"/>
                <w:color w:val="auto"/>
                <w:szCs w:val="21"/>
                <w:highlight w:val="none"/>
              </w:rPr>
              <w:t>【0%】</w:t>
            </w:r>
          </w:p>
        </w:tc>
        <w:tc>
          <w:tcPr>
            <w:tcW w:w="1684" w:type="dxa"/>
          </w:tcPr>
          <w:p w14:paraId="25B7C121">
            <w:pPr>
              <w:spacing w:line="360" w:lineRule="auto"/>
              <w:jc w:val="left"/>
              <w:rPr>
                <w:rFonts w:ascii="宋体" w:hAnsi="宋体"/>
                <w:color w:val="auto"/>
                <w:szCs w:val="21"/>
                <w:highlight w:val="none"/>
              </w:rPr>
            </w:pPr>
            <w:r>
              <w:rPr>
                <w:rFonts w:hint="eastAsia" w:ascii="宋体" w:hAnsi="宋体"/>
                <w:color w:val="auto"/>
                <w:szCs w:val="21"/>
                <w:highlight w:val="none"/>
              </w:rPr>
              <w:t>【0%】</w:t>
            </w:r>
          </w:p>
        </w:tc>
      </w:tr>
      <w:tr w14:paraId="0B31C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3" w:type="dxa"/>
          </w:tcPr>
          <w:p w14:paraId="251AB11D">
            <w:pPr>
              <w:spacing w:line="360" w:lineRule="auto"/>
              <w:jc w:val="left"/>
              <w:rPr>
                <w:rFonts w:ascii="宋体" w:hAnsi="宋体"/>
                <w:color w:val="auto"/>
                <w:szCs w:val="21"/>
                <w:highlight w:val="none"/>
              </w:rPr>
            </w:pPr>
            <w:r>
              <w:rPr>
                <w:rFonts w:hint="eastAsia" w:ascii="宋体" w:hAnsi="宋体"/>
                <w:color w:val="auto"/>
                <w:szCs w:val="21"/>
                <w:highlight w:val="none"/>
              </w:rPr>
              <w:t>申购费率</w:t>
            </w:r>
          </w:p>
        </w:tc>
        <w:tc>
          <w:tcPr>
            <w:tcW w:w="2115" w:type="dxa"/>
          </w:tcPr>
          <w:p w14:paraId="74DDDA2E">
            <w:pPr>
              <w:spacing w:line="360" w:lineRule="auto"/>
              <w:jc w:val="left"/>
              <w:rPr>
                <w:rFonts w:ascii="宋体" w:hAnsi="宋体"/>
                <w:color w:val="auto"/>
                <w:szCs w:val="21"/>
                <w:highlight w:val="none"/>
              </w:rPr>
            </w:pPr>
            <w:r>
              <w:rPr>
                <w:rFonts w:hint="eastAsia" w:ascii="宋体" w:hAnsi="宋体"/>
                <w:color w:val="auto"/>
                <w:szCs w:val="21"/>
                <w:highlight w:val="none"/>
              </w:rPr>
              <w:t xml:space="preserve">【0.5%】 </w:t>
            </w:r>
          </w:p>
        </w:tc>
        <w:tc>
          <w:tcPr>
            <w:tcW w:w="2041" w:type="dxa"/>
          </w:tcPr>
          <w:p w14:paraId="61129FD8">
            <w:pPr>
              <w:spacing w:line="360" w:lineRule="auto"/>
              <w:jc w:val="left"/>
              <w:rPr>
                <w:rFonts w:ascii="宋体" w:hAnsi="宋体"/>
                <w:color w:val="auto"/>
                <w:szCs w:val="21"/>
                <w:highlight w:val="none"/>
              </w:rPr>
            </w:pPr>
            <w:r>
              <w:rPr>
                <w:rFonts w:hint="eastAsia" w:ascii="宋体" w:hAnsi="宋体"/>
                <w:color w:val="auto"/>
                <w:szCs w:val="21"/>
                <w:highlight w:val="none"/>
              </w:rPr>
              <w:t>【0%】</w:t>
            </w:r>
          </w:p>
        </w:tc>
        <w:tc>
          <w:tcPr>
            <w:tcW w:w="1649" w:type="dxa"/>
          </w:tcPr>
          <w:p w14:paraId="1803357A">
            <w:pPr>
              <w:spacing w:line="360" w:lineRule="auto"/>
              <w:jc w:val="left"/>
              <w:rPr>
                <w:rFonts w:ascii="宋体" w:hAnsi="宋体"/>
                <w:color w:val="auto"/>
                <w:szCs w:val="21"/>
                <w:highlight w:val="none"/>
              </w:rPr>
            </w:pPr>
            <w:r>
              <w:rPr>
                <w:rFonts w:hint="eastAsia" w:ascii="宋体" w:hAnsi="宋体"/>
                <w:color w:val="auto"/>
                <w:szCs w:val="21"/>
                <w:highlight w:val="none"/>
              </w:rPr>
              <w:t>【0%】</w:t>
            </w:r>
          </w:p>
        </w:tc>
        <w:tc>
          <w:tcPr>
            <w:tcW w:w="1684" w:type="dxa"/>
          </w:tcPr>
          <w:p w14:paraId="730526B6">
            <w:pPr>
              <w:spacing w:line="360" w:lineRule="auto"/>
              <w:jc w:val="left"/>
              <w:rPr>
                <w:rFonts w:ascii="宋体" w:hAnsi="宋体"/>
                <w:color w:val="auto"/>
                <w:szCs w:val="21"/>
                <w:highlight w:val="none"/>
              </w:rPr>
            </w:pPr>
            <w:r>
              <w:rPr>
                <w:rFonts w:hint="eastAsia" w:ascii="宋体" w:hAnsi="宋体"/>
                <w:color w:val="auto"/>
                <w:szCs w:val="21"/>
                <w:highlight w:val="none"/>
              </w:rPr>
              <w:t>【0%】</w:t>
            </w:r>
          </w:p>
        </w:tc>
      </w:tr>
      <w:tr w14:paraId="586CD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3" w:type="dxa"/>
          </w:tcPr>
          <w:p w14:paraId="1A211F47">
            <w:pPr>
              <w:spacing w:line="360" w:lineRule="auto"/>
              <w:jc w:val="left"/>
              <w:rPr>
                <w:rFonts w:ascii="宋体" w:hAnsi="宋体"/>
                <w:color w:val="auto"/>
                <w:szCs w:val="21"/>
                <w:highlight w:val="none"/>
              </w:rPr>
            </w:pPr>
            <w:r>
              <w:rPr>
                <w:rFonts w:hint="eastAsia" w:ascii="宋体" w:hAnsi="宋体"/>
                <w:color w:val="auto"/>
                <w:szCs w:val="21"/>
                <w:highlight w:val="none"/>
              </w:rPr>
              <w:t>赎回费用</w:t>
            </w:r>
          </w:p>
        </w:tc>
        <w:tc>
          <w:tcPr>
            <w:tcW w:w="2115" w:type="dxa"/>
          </w:tcPr>
          <w:p w14:paraId="379DABCE">
            <w:pPr>
              <w:spacing w:line="360" w:lineRule="auto"/>
              <w:jc w:val="left"/>
              <w:rPr>
                <w:rFonts w:ascii="宋体" w:hAnsi="宋体"/>
                <w:color w:val="auto"/>
                <w:szCs w:val="21"/>
                <w:highlight w:val="none"/>
              </w:rPr>
            </w:pPr>
            <w:r>
              <w:rPr>
                <w:rFonts w:hint="eastAsia" w:ascii="宋体" w:hAnsi="宋体"/>
                <w:color w:val="auto"/>
                <w:szCs w:val="21"/>
                <w:highlight w:val="none"/>
              </w:rPr>
              <w:t>【0%】</w:t>
            </w:r>
          </w:p>
        </w:tc>
        <w:tc>
          <w:tcPr>
            <w:tcW w:w="2041" w:type="dxa"/>
          </w:tcPr>
          <w:p w14:paraId="0300A0AE">
            <w:pPr>
              <w:spacing w:line="360" w:lineRule="auto"/>
              <w:jc w:val="left"/>
              <w:rPr>
                <w:rFonts w:ascii="宋体" w:hAnsi="宋体"/>
                <w:color w:val="auto"/>
                <w:szCs w:val="21"/>
                <w:highlight w:val="none"/>
              </w:rPr>
            </w:pPr>
            <w:r>
              <w:rPr>
                <w:rFonts w:hint="eastAsia" w:ascii="宋体" w:hAnsi="宋体"/>
                <w:color w:val="auto"/>
                <w:szCs w:val="21"/>
                <w:highlight w:val="none"/>
              </w:rPr>
              <w:t>【0%】</w:t>
            </w:r>
          </w:p>
        </w:tc>
        <w:tc>
          <w:tcPr>
            <w:tcW w:w="1649" w:type="dxa"/>
          </w:tcPr>
          <w:p w14:paraId="0BB419AA">
            <w:pPr>
              <w:spacing w:line="360" w:lineRule="auto"/>
              <w:jc w:val="left"/>
              <w:rPr>
                <w:rFonts w:ascii="宋体" w:hAnsi="宋体"/>
                <w:color w:val="auto"/>
                <w:szCs w:val="21"/>
                <w:highlight w:val="none"/>
              </w:rPr>
            </w:pPr>
            <w:r>
              <w:rPr>
                <w:rFonts w:hint="eastAsia" w:ascii="宋体" w:hAnsi="宋体"/>
                <w:color w:val="auto"/>
                <w:szCs w:val="21"/>
                <w:highlight w:val="none"/>
              </w:rPr>
              <w:t>【0%】</w:t>
            </w:r>
          </w:p>
        </w:tc>
        <w:tc>
          <w:tcPr>
            <w:tcW w:w="1684" w:type="dxa"/>
          </w:tcPr>
          <w:p w14:paraId="749E5BDA">
            <w:pPr>
              <w:spacing w:line="360" w:lineRule="auto"/>
              <w:jc w:val="left"/>
              <w:rPr>
                <w:rFonts w:ascii="宋体" w:hAnsi="宋体"/>
                <w:color w:val="auto"/>
                <w:szCs w:val="21"/>
                <w:highlight w:val="none"/>
              </w:rPr>
            </w:pPr>
            <w:r>
              <w:rPr>
                <w:rFonts w:hint="eastAsia" w:ascii="宋体" w:hAnsi="宋体"/>
                <w:color w:val="auto"/>
                <w:szCs w:val="21"/>
                <w:highlight w:val="none"/>
              </w:rPr>
              <w:t>【0%】</w:t>
            </w:r>
          </w:p>
        </w:tc>
      </w:tr>
      <w:tr w14:paraId="5B00F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3" w:type="dxa"/>
          </w:tcPr>
          <w:p w14:paraId="384BC690">
            <w:pPr>
              <w:spacing w:line="360" w:lineRule="auto"/>
              <w:jc w:val="left"/>
              <w:rPr>
                <w:rFonts w:ascii="宋体" w:hAnsi="宋体"/>
                <w:color w:val="auto"/>
                <w:szCs w:val="21"/>
                <w:highlight w:val="none"/>
              </w:rPr>
            </w:pPr>
            <w:r>
              <w:rPr>
                <w:rFonts w:hint="eastAsia" w:ascii="宋体" w:hAnsi="宋体"/>
                <w:color w:val="auto"/>
                <w:szCs w:val="21"/>
                <w:highlight w:val="none"/>
              </w:rPr>
              <w:t>销售服务费率</w:t>
            </w:r>
          </w:p>
        </w:tc>
        <w:tc>
          <w:tcPr>
            <w:tcW w:w="2115" w:type="dxa"/>
          </w:tcPr>
          <w:p w14:paraId="5F74AE14">
            <w:pPr>
              <w:spacing w:line="360" w:lineRule="auto"/>
              <w:rPr>
                <w:rFonts w:ascii="宋体" w:hAnsi="Calibri"/>
                <w:color w:val="auto"/>
                <w:highlight w:val="none"/>
              </w:rPr>
            </w:pPr>
            <w:r>
              <w:rPr>
                <w:rFonts w:hint="eastAsia" w:ascii="宋体" w:hAnsi="宋体"/>
                <w:color w:val="auto"/>
                <w:szCs w:val="21"/>
                <w:highlight w:val="none"/>
              </w:rPr>
              <w:t>【0.5%】</w:t>
            </w:r>
          </w:p>
        </w:tc>
        <w:tc>
          <w:tcPr>
            <w:tcW w:w="2041" w:type="dxa"/>
          </w:tcPr>
          <w:p w14:paraId="4F38E9E0">
            <w:pPr>
              <w:spacing w:line="360" w:lineRule="auto"/>
              <w:jc w:val="left"/>
              <w:rPr>
                <w:rFonts w:ascii="Calibri" w:hAnsi="Calibri"/>
                <w:color w:val="auto"/>
                <w:highlight w:val="none"/>
              </w:rPr>
            </w:pPr>
            <w:r>
              <w:rPr>
                <w:rFonts w:hint="eastAsia" w:ascii="宋体" w:hAnsi="宋体"/>
                <w:color w:val="auto"/>
                <w:szCs w:val="21"/>
                <w:highlight w:val="none"/>
              </w:rPr>
              <w:t>【0%】</w:t>
            </w:r>
          </w:p>
        </w:tc>
        <w:tc>
          <w:tcPr>
            <w:tcW w:w="1649" w:type="dxa"/>
          </w:tcPr>
          <w:p w14:paraId="1A722C91">
            <w:pPr>
              <w:spacing w:line="360" w:lineRule="auto"/>
              <w:jc w:val="left"/>
              <w:rPr>
                <w:rFonts w:ascii="Calibri" w:hAnsi="Calibri"/>
                <w:color w:val="auto"/>
                <w:highlight w:val="none"/>
              </w:rPr>
            </w:pPr>
            <w:r>
              <w:rPr>
                <w:rFonts w:hint="eastAsia" w:ascii="宋体" w:hAnsi="宋体"/>
                <w:color w:val="auto"/>
                <w:szCs w:val="21"/>
                <w:highlight w:val="none"/>
              </w:rPr>
              <w:t>【0%】</w:t>
            </w:r>
          </w:p>
        </w:tc>
        <w:tc>
          <w:tcPr>
            <w:tcW w:w="1684" w:type="dxa"/>
          </w:tcPr>
          <w:p w14:paraId="1563A8EE">
            <w:pPr>
              <w:spacing w:line="360" w:lineRule="auto"/>
              <w:jc w:val="left"/>
              <w:rPr>
                <w:rFonts w:ascii="Calibri" w:hAnsi="Calibri"/>
                <w:color w:val="auto"/>
                <w:highlight w:val="none"/>
              </w:rPr>
            </w:pPr>
            <w:r>
              <w:rPr>
                <w:rFonts w:hint="eastAsia" w:ascii="宋体" w:hAnsi="宋体"/>
                <w:color w:val="auto"/>
                <w:szCs w:val="21"/>
                <w:highlight w:val="none"/>
              </w:rPr>
              <w:t>【0%】</w:t>
            </w:r>
          </w:p>
        </w:tc>
      </w:tr>
      <w:tr w14:paraId="256F4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3" w:type="dxa"/>
            <w:tcBorders>
              <w:top w:val="single" w:color="000000" w:sz="4" w:space="0"/>
              <w:left w:val="single" w:color="000000" w:sz="4" w:space="0"/>
              <w:bottom w:val="single" w:color="000000" w:sz="4" w:space="0"/>
              <w:right w:val="single" w:color="000000" w:sz="4" w:space="0"/>
            </w:tcBorders>
          </w:tcPr>
          <w:p w14:paraId="607F26C3">
            <w:pPr>
              <w:spacing w:line="360" w:lineRule="auto"/>
              <w:jc w:val="left"/>
              <w:rPr>
                <w:rFonts w:ascii="宋体" w:hAnsi="宋体"/>
                <w:color w:val="auto"/>
                <w:szCs w:val="21"/>
                <w:highlight w:val="none"/>
              </w:rPr>
            </w:pPr>
            <w:r>
              <w:rPr>
                <w:rFonts w:hint="eastAsia" w:ascii="宋体" w:hAnsi="宋体"/>
                <w:color w:val="auto"/>
                <w:szCs w:val="21"/>
                <w:highlight w:val="none"/>
              </w:rPr>
              <w:t>年管理费率（计算方式详见“基金的费用与税收”章节之“基金的管理费”）</w:t>
            </w:r>
          </w:p>
        </w:tc>
        <w:tc>
          <w:tcPr>
            <w:tcW w:w="2115" w:type="dxa"/>
            <w:tcBorders>
              <w:top w:val="single" w:color="000000" w:sz="4" w:space="0"/>
              <w:left w:val="single" w:color="000000" w:sz="4" w:space="0"/>
              <w:bottom w:val="single" w:color="000000" w:sz="4" w:space="0"/>
              <w:right w:val="single" w:color="000000" w:sz="4" w:space="0"/>
            </w:tcBorders>
          </w:tcPr>
          <w:p w14:paraId="28517DC2">
            <w:pPr>
              <w:spacing w:line="360" w:lineRule="auto"/>
              <w:jc w:val="left"/>
              <w:rPr>
                <w:rFonts w:ascii="宋体" w:hAnsi="宋体"/>
                <w:color w:val="auto"/>
                <w:szCs w:val="21"/>
                <w:highlight w:val="none"/>
              </w:rPr>
            </w:pPr>
            <w:r>
              <w:rPr>
                <w:rFonts w:hint="eastAsia" w:ascii="宋体" w:hAnsi="宋体"/>
                <w:color w:val="auto"/>
                <w:szCs w:val="21"/>
                <w:highlight w:val="none"/>
              </w:rPr>
              <w:t>【</w:t>
            </w:r>
            <w:r>
              <w:rPr>
                <w:rFonts w:ascii="宋体" w:hAnsi="宋体"/>
                <w:color w:val="auto"/>
                <w:szCs w:val="21"/>
                <w:highlight w:val="none"/>
              </w:rPr>
              <w:t>1</w:t>
            </w:r>
            <w:r>
              <w:rPr>
                <w:rFonts w:hint="eastAsia" w:ascii="宋体" w:hAnsi="宋体"/>
                <w:color w:val="auto"/>
                <w:szCs w:val="21"/>
                <w:highlight w:val="none"/>
              </w:rPr>
              <w:t>%】</w:t>
            </w:r>
          </w:p>
          <w:p w14:paraId="6C557B21">
            <w:pPr>
              <w:spacing w:line="360" w:lineRule="auto"/>
              <w:jc w:val="left"/>
              <w:rPr>
                <w:rFonts w:ascii="宋体" w:hAnsi="宋体"/>
                <w:color w:val="auto"/>
                <w:szCs w:val="21"/>
                <w:highlight w:val="none"/>
              </w:rPr>
            </w:pPr>
          </w:p>
          <w:p w14:paraId="762FAD8B">
            <w:pPr>
              <w:spacing w:line="360" w:lineRule="auto"/>
              <w:jc w:val="left"/>
              <w:rPr>
                <w:rFonts w:ascii="宋体" w:hAnsi="宋体"/>
                <w:color w:val="auto"/>
                <w:szCs w:val="21"/>
                <w:highlight w:val="none"/>
              </w:rPr>
            </w:pPr>
          </w:p>
        </w:tc>
        <w:tc>
          <w:tcPr>
            <w:tcW w:w="2041" w:type="dxa"/>
            <w:tcBorders>
              <w:top w:val="single" w:color="000000" w:sz="4" w:space="0"/>
              <w:left w:val="single" w:color="000000" w:sz="4" w:space="0"/>
              <w:bottom w:val="single" w:color="000000" w:sz="4" w:space="0"/>
              <w:right w:val="single" w:color="000000" w:sz="4" w:space="0"/>
            </w:tcBorders>
          </w:tcPr>
          <w:p w14:paraId="304CCD88">
            <w:pPr>
              <w:spacing w:line="360" w:lineRule="auto"/>
              <w:jc w:val="left"/>
              <w:rPr>
                <w:rFonts w:ascii="宋体" w:hAnsi="宋体"/>
                <w:color w:val="auto"/>
                <w:szCs w:val="21"/>
                <w:highlight w:val="none"/>
              </w:rPr>
            </w:pPr>
            <w:r>
              <w:rPr>
                <w:rFonts w:hint="eastAsia" w:ascii="宋体" w:hAnsi="宋体"/>
                <w:color w:val="auto"/>
                <w:szCs w:val="21"/>
                <w:highlight w:val="none"/>
              </w:rPr>
              <w:t>【</w:t>
            </w:r>
            <w:r>
              <w:rPr>
                <w:rFonts w:ascii="宋体" w:hAnsi="宋体"/>
                <w:color w:val="auto"/>
                <w:szCs w:val="21"/>
                <w:highlight w:val="none"/>
              </w:rPr>
              <w:t>1</w:t>
            </w:r>
            <w:r>
              <w:rPr>
                <w:rFonts w:hint="eastAsia" w:ascii="宋体" w:hAnsi="宋体"/>
                <w:color w:val="auto"/>
                <w:szCs w:val="21"/>
                <w:highlight w:val="none"/>
              </w:rPr>
              <w:t>%】</w:t>
            </w:r>
          </w:p>
          <w:p w14:paraId="188A6DCE">
            <w:pPr>
              <w:spacing w:line="360" w:lineRule="auto"/>
              <w:jc w:val="left"/>
              <w:rPr>
                <w:rFonts w:ascii="宋体" w:hAnsi="宋体"/>
                <w:color w:val="auto"/>
                <w:szCs w:val="21"/>
                <w:highlight w:val="none"/>
              </w:rPr>
            </w:pPr>
          </w:p>
          <w:p w14:paraId="14F0A7E7">
            <w:pPr>
              <w:spacing w:line="360" w:lineRule="auto"/>
              <w:jc w:val="left"/>
              <w:rPr>
                <w:rFonts w:ascii="宋体" w:hAnsi="宋体"/>
                <w:color w:val="auto"/>
                <w:szCs w:val="21"/>
                <w:highlight w:val="none"/>
              </w:rPr>
            </w:pPr>
          </w:p>
          <w:p w14:paraId="261C3DFB">
            <w:pPr>
              <w:spacing w:line="360" w:lineRule="auto"/>
              <w:jc w:val="left"/>
              <w:rPr>
                <w:rFonts w:ascii="宋体" w:hAnsi="宋体"/>
                <w:color w:val="auto"/>
                <w:szCs w:val="21"/>
                <w:highlight w:val="none"/>
              </w:rPr>
            </w:pPr>
          </w:p>
        </w:tc>
        <w:tc>
          <w:tcPr>
            <w:tcW w:w="1649" w:type="dxa"/>
            <w:tcBorders>
              <w:top w:val="single" w:color="000000" w:sz="4" w:space="0"/>
              <w:left w:val="single" w:color="000000" w:sz="4" w:space="0"/>
              <w:bottom w:val="single" w:color="000000" w:sz="4" w:space="0"/>
              <w:right w:val="single" w:color="000000" w:sz="4" w:space="0"/>
            </w:tcBorders>
          </w:tcPr>
          <w:p w14:paraId="6B6071A0">
            <w:pPr>
              <w:spacing w:line="360" w:lineRule="auto"/>
              <w:jc w:val="left"/>
              <w:rPr>
                <w:rFonts w:ascii="宋体" w:hAnsi="宋体"/>
                <w:color w:val="auto"/>
                <w:szCs w:val="21"/>
                <w:highlight w:val="none"/>
              </w:rPr>
            </w:pPr>
            <w:r>
              <w:rPr>
                <w:rFonts w:hint="eastAsia" w:ascii="宋体" w:hAnsi="宋体"/>
                <w:color w:val="auto"/>
                <w:szCs w:val="21"/>
                <w:highlight w:val="none"/>
              </w:rPr>
              <w:t>【</w:t>
            </w:r>
            <w:r>
              <w:rPr>
                <w:rFonts w:ascii="宋体" w:hAnsi="宋体"/>
                <w:color w:val="auto"/>
                <w:szCs w:val="21"/>
                <w:highlight w:val="none"/>
              </w:rPr>
              <w:t>1</w:t>
            </w:r>
            <w:r>
              <w:rPr>
                <w:rFonts w:hint="eastAsia" w:ascii="宋体" w:hAnsi="宋体"/>
                <w:color w:val="auto"/>
                <w:szCs w:val="21"/>
                <w:highlight w:val="none"/>
              </w:rPr>
              <w:t>%】</w:t>
            </w:r>
          </w:p>
          <w:p w14:paraId="14D16B1E">
            <w:pPr>
              <w:spacing w:line="360" w:lineRule="auto"/>
              <w:jc w:val="left"/>
              <w:rPr>
                <w:rFonts w:ascii="宋体" w:hAnsi="宋体"/>
                <w:color w:val="auto"/>
                <w:szCs w:val="21"/>
                <w:highlight w:val="none"/>
              </w:rPr>
            </w:pPr>
          </w:p>
        </w:tc>
        <w:tc>
          <w:tcPr>
            <w:tcW w:w="1684" w:type="dxa"/>
            <w:tcBorders>
              <w:top w:val="single" w:color="000000" w:sz="4" w:space="0"/>
              <w:left w:val="single" w:color="000000" w:sz="4" w:space="0"/>
              <w:bottom w:val="single" w:color="000000" w:sz="4" w:space="0"/>
              <w:right w:val="single" w:color="000000" w:sz="4" w:space="0"/>
            </w:tcBorders>
          </w:tcPr>
          <w:p w14:paraId="34CEA1B5">
            <w:pPr>
              <w:spacing w:line="360" w:lineRule="auto"/>
              <w:jc w:val="left"/>
              <w:rPr>
                <w:rFonts w:ascii="宋体" w:hAnsi="宋体"/>
                <w:color w:val="auto"/>
                <w:szCs w:val="21"/>
                <w:highlight w:val="none"/>
              </w:rPr>
            </w:pPr>
            <w:r>
              <w:rPr>
                <w:rFonts w:hint="eastAsia" w:ascii="宋体" w:hAnsi="宋体"/>
                <w:color w:val="auto"/>
                <w:szCs w:val="21"/>
                <w:highlight w:val="none"/>
              </w:rPr>
              <w:t>【0%】</w:t>
            </w:r>
          </w:p>
        </w:tc>
      </w:tr>
      <w:tr w14:paraId="64C47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3" w:type="dxa"/>
            <w:tcBorders>
              <w:top w:val="single" w:color="000000" w:sz="4" w:space="0"/>
              <w:left w:val="single" w:color="000000" w:sz="4" w:space="0"/>
              <w:bottom w:val="single" w:color="000000" w:sz="4" w:space="0"/>
              <w:right w:val="single" w:color="000000" w:sz="4" w:space="0"/>
            </w:tcBorders>
          </w:tcPr>
          <w:p w14:paraId="296D465E">
            <w:pPr>
              <w:spacing w:line="360" w:lineRule="auto"/>
              <w:jc w:val="left"/>
              <w:rPr>
                <w:rFonts w:ascii="宋体" w:hAnsi="宋体"/>
                <w:color w:val="auto"/>
                <w:szCs w:val="21"/>
                <w:highlight w:val="none"/>
              </w:rPr>
            </w:pPr>
            <w:r>
              <w:rPr>
                <w:rFonts w:hint="eastAsia" w:ascii="宋体" w:hAnsi="宋体"/>
                <w:color w:val="auto"/>
                <w:szCs w:val="21"/>
                <w:highlight w:val="none"/>
              </w:rPr>
              <w:t>业绩报酬（计算方式详见“基金的费用与税收”章节之“基金的业绩报酬”）</w:t>
            </w:r>
          </w:p>
        </w:tc>
        <w:tc>
          <w:tcPr>
            <w:tcW w:w="2115" w:type="dxa"/>
            <w:tcBorders>
              <w:top w:val="single" w:color="000000" w:sz="4" w:space="0"/>
              <w:left w:val="single" w:color="000000" w:sz="4" w:space="0"/>
              <w:bottom w:val="single" w:color="000000" w:sz="4" w:space="0"/>
              <w:right w:val="single" w:color="000000" w:sz="4" w:space="0"/>
            </w:tcBorders>
            <w:vAlign w:val="top"/>
          </w:tcPr>
          <w:p w14:paraId="20785217">
            <w:pPr>
              <w:spacing w:line="360" w:lineRule="auto"/>
              <w:jc w:val="left"/>
              <w:rPr>
                <w:rFonts w:ascii="宋体" w:hAnsi="宋体"/>
                <w:color w:val="auto"/>
                <w:szCs w:val="21"/>
                <w:highlight w:val="none"/>
              </w:rPr>
            </w:pPr>
            <w:r>
              <w:rPr>
                <w:rFonts w:hint="eastAsia" w:ascii="宋体" w:hAnsi="宋体"/>
                <w:color w:val="auto"/>
                <w:szCs w:val="21"/>
                <w:highlight w:val="none"/>
              </w:rPr>
              <w:t>超额计提（针对超过期间中证A500 年化收率乘以1.5，以上的部分计提20%）</w:t>
            </w:r>
          </w:p>
          <w:p w14:paraId="7FE68C00">
            <w:pPr>
              <w:spacing w:line="360" w:lineRule="auto"/>
              <w:jc w:val="left"/>
              <w:rPr>
                <w:rFonts w:ascii="宋体" w:hAnsi="宋体"/>
                <w:color w:val="auto"/>
                <w:szCs w:val="21"/>
                <w:highlight w:val="none"/>
              </w:rPr>
            </w:pPr>
          </w:p>
          <w:p w14:paraId="766B8939">
            <w:pPr>
              <w:spacing w:line="360" w:lineRule="auto"/>
              <w:jc w:val="left"/>
              <w:rPr>
                <w:rFonts w:ascii="宋体" w:hAnsi="宋体"/>
                <w:color w:val="auto"/>
                <w:szCs w:val="21"/>
                <w:highlight w:val="none"/>
              </w:rPr>
            </w:pPr>
          </w:p>
          <w:p w14:paraId="4B1AC988">
            <w:pPr>
              <w:spacing w:line="360" w:lineRule="auto"/>
              <w:jc w:val="left"/>
              <w:rPr>
                <w:rFonts w:ascii="宋体" w:hAnsi="宋体"/>
                <w:color w:val="auto"/>
                <w:szCs w:val="21"/>
                <w:highlight w:val="none"/>
              </w:rPr>
            </w:pPr>
          </w:p>
        </w:tc>
        <w:tc>
          <w:tcPr>
            <w:tcW w:w="2041" w:type="dxa"/>
            <w:tcBorders>
              <w:top w:val="single" w:color="000000" w:sz="4" w:space="0"/>
              <w:left w:val="single" w:color="000000" w:sz="4" w:space="0"/>
              <w:bottom w:val="single" w:color="000000" w:sz="4" w:space="0"/>
              <w:right w:val="single" w:color="000000" w:sz="4" w:space="0"/>
            </w:tcBorders>
            <w:vAlign w:val="top"/>
          </w:tcPr>
          <w:p w14:paraId="541C6870">
            <w:pPr>
              <w:spacing w:line="360" w:lineRule="auto"/>
              <w:jc w:val="left"/>
              <w:rPr>
                <w:rFonts w:ascii="宋体" w:hAnsi="宋体"/>
                <w:color w:val="auto"/>
                <w:szCs w:val="21"/>
                <w:highlight w:val="none"/>
              </w:rPr>
            </w:pPr>
            <w:r>
              <w:rPr>
                <w:rFonts w:hint="eastAsia" w:ascii="宋体" w:hAnsi="宋体"/>
                <w:color w:val="auto"/>
                <w:szCs w:val="21"/>
                <w:highlight w:val="none"/>
              </w:rPr>
              <w:t>超额计提（针对超过期间中证A500 年化收率乘以1.5，以上的部分计提20%）</w:t>
            </w:r>
          </w:p>
        </w:tc>
        <w:tc>
          <w:tcPr>
            <w:tcW w:w="1649" w:type="dxa"/>
            <w:tcBorders>
              <w:top w:val="single" w:color="000000" w:sz="4" w:space="0"/>
              <w:left w:val="single" w:color="000000" w:sz="4" w:space="0"/>
              <w:bottom w:val="single" w:color="000000" w:sz="4" w:space="0"/>
              <w:right w:val="single" w:color="000000" w:sz="4" w:space="0"/>
            </w:tcBorders>
            <w:vAlign w:val="top"/>
          </w:tcPr>
          <w:p w14:paraId="04790189">
            <w:pPr>
              <w:spacing w:line="360" w:lineRule="auto"/>
              <w:jc w:val="left"/>
              <w:rPr>
                <w:color w:val="auto"/>
                <w:highlight w:val="none"/>
              </w:rPr>
            </w:pPr>
            <w:r>
              <w:rPr>
                <w:rFonts w:hint="eastAsia" w:ascii="宋体" w:hAnsi="宋体"/>
                <w:color w:val="auto"/>
                <w:szCs w:val="21"/>
                <w:highlight w:val="none"/>
              </w:rPr>
              <w:t>超额计提（针对超过期间中证A500 年化收率乘以1.5，以上的部分计提20%）</w:t>
            </w:r>
          </w:p>
        </w:tc>
        <w:tc>
          <w:tcPr>
            <w:tcW w:w="1684" w:type="dxa"/>
            <w:tcBorders>
              <w:top w:val="single" w:color="000000" w:sz="4" w:space="0"/>
              <w:left w:val="single" w:color="000000" w:sz="4" w:space="0"/>
              <w:bottom w:val="single" w:color="000000" w:sz="4" w:space="0"/>
              <w:right w:val="single" w:color="000000" w:sz="4" w:space="0"/>
            </w:tcBorders>
            <w:vAlign w:val="top"/>
          </w:tcPr>
          <w:p w14:paraId="384E0A39">
            <w:pPr>
              <w:spacing w:line="360" w:lineRule="auto"/>
              <w:jc w:val="left"/>
              <w:rPr>
                <w:rFonts w:ascii="宋体" w:hAnsi="宋体"/>
                <w:color w:val="auto"/>
                <w:szCs w:val="21"/>
                <w:highlight w:val="none"/>
              </w:rPr>
            </w:pPr>
            <w:r>
              <w:rPr>
                <w:rFonts w:hint="eastAsia" w:ascii="宋体" w:hAnsi="宋体"/>
                <w:color w:val="auto"/>
                <w:szCs w:val="21"/>
                <w:highlight w:val="none"/>
              </w:rPr>
              <w:t>不计提业绩报酬</w:t>
            </w:r>
          </w:p>
        </w:tc>
      </w:tr>
    </w:tbl>
    <w:p w14:paraId="7AFFCBEE">
      <w:pPr>
        <w:adjustRightInd w:val="0"/>
        <w:snapToGrid w:val="0"/>
        <w:spacing w:before="93" w:beforeLines="30" w:after="93" w:afterLines="30" w:line="348" w:lineRule="auto"/>
        <w:ind w:firstLine="420" w:firstLineChars="200"/>
        <w:rPr>
          <w:rFonts w:ascii="宋体" w:hAnsi="宋体"/>
          <w:color w:val="auto"/>
          <w:szCs w:val="21"/>
          <w:highlight w:val="none"/>
        </w:rPr>
      </w:pPr>
      <w:r>
        <w:rPr>
          <w:rFonts w:hint="eastAsia" w:ascii="宋体" w:hAnsi="宋体"/>
          <w:color w:val="auto"/>
          <w:szCs w:val="21"/>
          <w:highlight w:val="none"/>
        </w:rPr>
        <w:t>对于【A类份额、B类份额、C类份额和D类份额】相关具体约定详见本合同各章节内容。</w:t>
      </w:r>
    </w:p>
    <w:p w14:paraId="7EC3D92F">
      <w:pPr>
        <w:spacing w:line="360" w:lineRule="auto"/>
        <w:ind w:firstLine="422" w:firstLineChars="200"/>
        <w:rPr>
          <w:rFonts w:ascii="宋体" w:hAnsi="宋体"/>
          <w:b/>
          <w:color w:val="auto"/>
          <w:szCs w:val="21"/>
          <w:highlight w:val="none"/>
        </w:rPr>
      </w:pPr>
      <w:r>
        <w:rPr>
          <w:rFonts w:ascii="宋体" w:hAnsi="宋体"/>
          <w:b/>
          <w:color w:val="auto"/>
          <w:szCs w:val="21"/>
          <w:highlight w:val="none"/>
        </w:rPr>
        <w:t>2</w:t>
      </w:r>
      <w:r>
        <w:rPr>
          <w:rFonts w:hint="eastAsia" w:ascii="宋体" w:hAnsi="宋体"/>
          <w:b/>
          <w:color w:val="auto"/>
          <w:szCs w:val="21"/>
          <w:highlight w:val="none"/>
        </w:rPr>
        <w:t>、份额权益变动情况</w:t>
      </w:r>
    </w:p>
    <w:p w14:paraId="1B2BBF5C">
      <w:pPr>
        <w:adjustRightInd w:val="0"/>
        <w:snapToGrid w:val="0"/>
        <w:spacing w:before="93" w:beforeLines="30" w:after="93" w:afterLines="30" w:line="348" w:lineRule="auto"/>
        <w:ind w:firstLine="422" w:firstLineChars="200"/>
        <w:rPr>
          <w:rFonts w:asciiTheme="minorEastAsia" w:hAnsiTheme="minorEastAsia" w:eastAsiaTheme="minorEastAsia"/>
          <w:b/>
          <w:color w:val="auto"/>
          <w:szCs w:val="21"/>
          <w:highlight w:val="none"/>
        </w:rPr>
      </w:pPr>
      <w:r>
        <w:rPr>
          <w:rFonts w:hint="eastAsia" w:ascii="宋体" w:hAnsi="宋体"/>
          <w:b/>
          <w:color w:val="auto"/>
          <w:szCs w:val="21"/>
          <w:highlight w:val="none"/>
        </w:rPr>
        <w:t>私募基金管理人兹此承诺：在存续期内，本基金各类份额不涉及除分红外的其他任何权益变动（如份额折算、份额拆分、份额合并等）。</w:t>
      </w:r>
    </w:p>
    <w:p w14:paraId="4902BFC1">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19" w:name="_Toc381953524"/>
      <w:bookmarkStart w:id="20" w:name="_Toc459392407"/>
      <w:r>
        <w:rPr>
          <w:rFonts w:hint="eastAsia" w:asciiTheme="minorEastAsia" w:hAnsiTheme="minorEastAsia" w:eastAsiaTheme="minorEastAsia"/>
          <w:color w:val="auto"/>
          <w:sz w:val="28"/>
          <w:szCs w:val="28"/>
          <w:highlight w:val="none"/>
        </w:rPr>
        <w:t>五、</w:t>
      </w:r>
      <w:bookmarkEnd w:id="19"/>
      <w:r>
        <w:rPr>
          <w:rFonts w:hint="eastAsia" w:asciiTheme="minorEastAsia" w:hAnsiTheme="minorEastAsia" w:eastAsiaTheme="minorEastAsia"/>
          <w:color w:val="auto"/>
          <w:sz w:val="28"/>
          <w:szCs w:val="28"/>
          <w:highlight w:val="none"/>
        </w:rPr>
        <w:t>基金的募集</w:t>
      </w:r>
      <w:bookmarkEnd w:id="20"/>
    </w:p>
    <w:p w14:paraId="17B5B8F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（一）基金的募集期限、募集机构、募集对象和募集方式</w:t>
      </w:r>
    </w:p>
    <w:p w14:paraId="6774626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1、募集期限</w:t>
      </w:r>
    </w:p>
    <w:p w14:paraId="00C39E2A">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本基金的募集期限</w:t>
      </w:r>
      <w:r>
        <w:rPr>
          <w:rFonts w:asciiTheme="minorEastAsia" w:hAnsiTheme="minorEastAsia" w:eastAsiaTheme="minorEastAsia"/>
          <w:color w:val="auto"/>
          <w:szCs w:val="21"/>
          <w:highlight w:val="none"/>
        </w:rPr>
        <w:t>由</w:t>
      </w:r>
      <w:r>
        <w:rPr>
          <w:rFonts w:hint="eastAsia" w:asciiTheme="minorEastAsia" w:hAnsiTheme="minorEastAsia" w:eastAsiaTheme="minorEastAsia"/>
          <w:color w:val="auto"/>
          <w:szCs w:val="21"/>
          <w:highlight w:val="none"/>
        </w:rPr>
        <w:t>基金</w:t>
      </w:r>
      <w:r>
        <w:rPr>
          <w:rFonts w:asciiTheme="minorEastAsia" w:hAnsiTheme="minorEastAsia" w:eastAsiaTheme="minorEastAsia"/>
          <w:color w:val="auto"/>
          <w:szCs w:val="21"/>
          <w:highlight w:val="none"/>
        </w:rPr>
        <w:t>管理人根据相关法律法规以及本合同的规定确定。</w:t>
      </w:r>
      <w:r>
        <w:rPr>
          <w:rFonts w:hint="eastAsia" w:asciiTheme="minorEastAsia" w:hAnsiTheme="minorEastAsia" w:eastAsiaTheme="minorEastAsia"/>
          <w:color w:val="auto"/>
          <w:szCs w:val="21"/>
          <w:highlight w:val="none"/>
        </w:rPr>
        <w:t>基金管理人有权根据本基金销售的实际情况按照相关程序延长或缩短初始销售期，此类变更适用于所有募集机构。延长或缩短募集期的相关信息将及时发布通知，即视为履行完毕延长或缩短募集期的程序。</w:t>
      </w:r>
    </w:p>
    <w:p w14:paraId="1B984C56">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2、募集机构</w:t>
      </w:r>
    </w:p>
    <w:p w14:paraId="458E6C1E">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本基金募集机构包括私募基金管理人（直销机构）、基金管理人委托的在中国证监会注册取得基金销售业务资格并已成为中国证券投资基金业协会会员的机构（代销机构）。</w:t>
      </w:r>
    </w:p>
    <w:p w14:paraId="1A53D94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3、募集方式</w:t>
      </w:r>
    </w:p>
    <w:p w14:paraId="7321653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本基金通过直销机构（基金管理人）和/或基金管理人委托的代销机构进行募集。本基金募集机构及其从业人员以非公开方式向投资者募集资金。</w:t>
      </w:r>
    </w:p>
    <w:p w14:paraId="58E07011">
      <w:pPr>
        <w:tabs>
          <w:tab w:val="left" w:pos="851"/>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4、募集对象</w:t>
      </w:r>
    </w:p>
    <w:p w14:paraId="196E296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本基金仅向符合《私募办法》规定的合格投资者发售。合格投资者包括“普通合格投资者”和“特殊合格投资者”。</w:t>
      </w:r>
    </w:p>
    <w:p w14:paraId="764373A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普通合格投资者”包括具备相应风险识别能力和风险承担能力，投资于单只私募基金的金额不低于100万元且符合下列相关标准的单位和个人：（1）净资产不低于1000万元的单位；（2）金融资产不低于300万元或者最近三年个人年均收入不低于50万元的个人。前款所称金融资产包括银行存款、股票、债券、基金份额、资产管理计划、银行理财产品、信托计划、保险产品、期货权益等。</w:t>
      </w:r>
    </w:p>
    <w:p w14:paraId="1D610D4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特殊合格投资者”包括下列投资者：（1）社会保障基金、企业年金等养老基金，慈善基金等社会公益基金；（2）投资于所管理私募证券基金的私募基金管理人及其员工；（3）中国证监会、协会规定的其他投资者。</w:t>
      </w:r>
    </w:p>
    <w:p w14:paraId="631E4F02">
      <w:pPr>
        <w:adjustRightInd w:val="0"/>
        <w:snapToGrid w:val="0"/>
        <w:spacing w:before="93" w:beforeLines="30" w:after="93" w:afterLines="30" w:line="360" w:lineRule="auto"/>
        <w:ind w:firstLine="420" w:firstLineChars="200"/>
        <w:rPr>
          <w:rFonts w:ascii="宋体" w:hAnsi="宋体"/>
          <w:color w:val="auto"/>
          <w:szCs w:val="21"/>
          <w:highlight w:val="none"/>
        </w:rPr>
      </w:pPr>
      <w:r>
        <w:rPr>
          <w:rFonts w:ascii="宋体" w:hAnsi="宋体"/>
          <w:color w:val="auto"/>
          <w:szCs w:val="21"/>
          <w:highlight w:val="none"/>
        </w:rPr>
        <w:t>本条所称</w:t>
      </w:r>
      <w:r>
        <w:rPr>
          <w:rFonts w:hint="eastAsia" w:ascii="宋体" w:hAnsi="宋体"/>
          <w:color w:val="auto"/>
          <w:szCs w:val="21"/>
          <w:highlight w:val="none"/>
        </w:rPr>
        <w:t>“</w:t>
      </w:r>
      <w:r>
        <w:rPr>
          <w:rFonts w:ascii="宋体" w:hAnsi="宋体"/>
          <w:color w:val="auto"/>
          <w:szCs w:val="21"/>
          <w:highlight w:val="none"/>
        </w:rPr>
        <w:t>私募基金管理人员工</w:t>
      </w:r>
      <w:r>
        <w:rPr>
          <w:rFonts w:hint="eastAsia" w:ascii="宋体" w:hAnsi="宋体"/>
          <w:color w:val="auto"/>
          <w:szCs w:val="21"/>
          <w:highlight w:val="none"/>
        </w:rPr>
        <w:t>”</w:t>
      </w:r>
      <w:r>
        <w:rPr>
          <w:rFonts w:ascii="宋体" w:hAnsi="宋体"/>
          <w:color w:val="auto"/>
          <w:szCs w:val="21"/>
          <w:highlight w:val="none"/>
        </w:rPr>
        <w:t>， 是指与私募基金管理人签订劳动合同并缴纳社保的正式员工，签订劳动合同或者劳务合同的外籍员工、 退休返聘员工， 国家机关、事业单位、 政府及其授权机构控制的企业委派的高级管理人员， 以及中国证监会和协会规定的其他从业人员</w:t>
      </w:r>
      <w:r>
        <w:rPr>
          <w:rFonts w:hint="eastAsia" w:ascii="宋体" w:hAnsi="宋体"/>
          <w:color w:val="auto"/>
          <w:szCs w:val="21"/>
          <w:highlight w:val="none"/>
        </w:rPr>
        <w:t>。</w:t>
      </w:r>
    </w:p>
    <w:p w14:paraId="6EA4ECC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如相关机构新颁布并实施关于“合格投资者”的法律、行政法规、部门规章、自律规则，则从其规定。</w:t>
      </w:r>
    </w:p>
    <w:p w14:paraId="77070389">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特别地：本基金管理人应识别本基金的投资者并承诺，本基金拟投资公募证券投资基金以外的资产管理产品（含私募基金）的，本基金不得向资产管理产品（含私募基金）募集或发售，符合法律法规规定的豁免要求的除外。</w:t>
      </w:r>
    </w:p>
    <w:p w14:paraId="5FA2D986">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基金管理人负责按照法律、行政法规、中国证监会及自律组织规定的投资层级要求，严格控制本基金投资嵌套层级，确保基金整体嵌套层数不超过1层，</w:t>
      </w:r>
      <w:r>
        <w:rPr>
          <w:rFonts w:hint="eastAsia" w:asciiTheme="minorEastAsia" w:hAnsiTheme="minorEastAsia" w:eastAsiaTheme="minorEastAsia"/>
          <w:b/>
          <w:color w:val="auto"/>
          <w:szCs w:val="21"/>
          <w:highlight w:val="none"/>
        </w:rPr>
        <w:t>后续符合</w:t>
      </w:r>
      <w:r>
        <w:rPr>
          <w:rFonts w:asciiTheme="minorEastAsia" w:hAnsiTheme="minorEastAsia" w:eastAsiaTheme="minorEastAsia"/>
          <w:b/>
          <w:color w:val="auto"/>
          <w:szCs w:val="21"/>
          <w:highlight w:val="none"/>
        </w:rPr>
        <w:t>中国</w:t>
      </w:r>
      <w:r>
        <w:rPr>
          <w:rFonts w:hint="eastAsia" w:asciiTheme="minorEastAsia" w:hAnsiTheme="minorEastAsia" w:eastAsiaTheme="minorEastAsia"/>
          <w:b/>
          <w:color w:val="auto"/>
          <w:szCs w:val="21"/>
          <w:highlight w:val="none"/>
        </w:rPr>
        <w:t>证监会出台母基金规则条件的可以豁免一层嵌套或者后续</w:t>
      </w:r>
      <w:r>
        <w:rPr>
          <w:rFonts w:asciiTheme="minorEastAsia" w:hAnsiTheme="minorEastAsia" w:eastAsiaTheme="minorEastAsia"/>
          <w:b/>
          <w:color w:val="auto"/>
          <w:szCs w:val="21"/>
          <w:highlight w:val="none"/>
        </w:rPr>
        <w:t>法律、行政法规、中国证监会</w:t>
      </w:r>
      <w:r>
        <w:rPr>
          <w:rFonts w:hint="eastAsia" w:asciiTheme="minorEastAsia" w:hAnsiTheme="minorEastAsia" w:eastAsiaTheme="minorEastAsia"/>
          <w:b/>
          <w:color w:val="auto"/>
          <w:szCs w:val="21"/>
          <w:highlight w:val="none"/>
        </w:rPr>
        <w:t>及协会</w:t>
      </w:r>
      <w:r>
        <w:rPr>
          <w:rFonts w:asciiTheme="minorEastAsia" w:hAnsiTheme="minorEastAsia" w:eastAsiaTheme="minorEastAsia"/>
          <w:b/>
          <w:color w:val="auto"/>
          <w:szCs w:val="21"/>
          <w:highlight w:val="none"/>
        </w:rPr>
        <w:t>规定的投资层级要求</w:t>
      </w:r>
      <w:r>
        <w:rPr>
          <w:rFonts w:hint="eastAsia" w:asciiTheme="minorEastAsia" w:hAnsiTheme="minorEastAsia" w:eastAsiaTheme="minorEastAsia"/>
          <w:b/>
          <w:color w:val="auto"/>
          <w:szCs w:val="21"/>
          <w:highlight w:val="none"/>
        </w:rPr>
        <w:t>有变化的，管理人与托管人可以协商一致进行调整。</w:t>
      </w:r>
    </w:p>
    <w:p w14:paraId="7F58E59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（二）募集账户信息</w:t>
      </w:r>
    </w:p>
    <w:p w14:paraId="63E99D0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1、直销募集账户</w:t>
      </w:r>
    </w:p>
    <w:p w14:paraId="3CD0FC9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基金投资者通过私募基金管理人直销渠道购买基金的，应将款项划入如下募集账户：</w:t>
      </w:r>
    </w:p>
    <w:p w14:paraId="26B91A5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募集账户名称：国泰海通运营服务募集专户</w:t>
      </w:r>
    </w:p>
    <w:p w14:paraId="067B4593">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val="en-US" w:eastAsia="zh-CN"/>
        </w:rPr>
      </w:pPr>
      <w:r>
        <w:rPr>
          <w:rFonts w:hint="eastAsia" w:asciiTheme="minorEastAsia" w:hAnsiTheme="minorEastAsia" w:eastAsiaTheme="minorEastAsia"/>
          <w:color w:val="auto"/>
          <w:szCs w:val="21"/>
          <w:highlight w:val="none"/>
        </w:rPr>
        <w:t>募集账户账号：</w:t>
      </w:r>
      <w:r>
        <w:rPr>
          <w:rFonts w:hint="eastAsia" w:asciiTheme="minorEastAsia" w:hAnsiTheme="minorEastAsia" w:eastAsiaTheme="minorEastAsia"/>
          <w:color w:val="auto"/>
          <w:szCs w:val="21"/>
          <w:highlight w:val="none"/>
          <w:lang w:val="en-US" w:eastAsia="zh-CN"/>
        </w:rPr>
        <w:t>2500112000000000</w:t>
      </w:r>
    </w:p>
    <w:p w14:paraId="737D186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募集账户开户银行名称：平安银行股份有限公司上海分行营业部</w:t>
      </w:r>
      <w:r>
        <w:rPr>
          <w:rFonts w:hint="eastAsia" w:asciiTheme="minorEastAsia" w:hAnsiTheme="minorEastAsia" w:eastAsiaTheme="minorEastAsia"/>
          <w:color w:val="auto"/>
          <w:szCs w:val="21"/>
          <w:highlight w:val="none"/>
        </w:rPr>
        <w:tab/>
      </w:r>
    </w:p>
    <w:p w14:paraId="3FE39BA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募集账户大额支付号：</w:t>
      </w:r>
      <w:r>
        <w:rPr>
          <w:rFonts w:hint="eastAsia" w:asciiTheme="minorEastAsia" w:hAnsiTheme="minorEastAsia" w:eastAsiaTheme="minorEastAsia"/>
          <w:color w:val="auto"/>
          <w:szCs w:val="21"/>
          <w:highlight w:val="none"/>
          <w:lang w:val="en-US" w:eastAsia="zh-CN"/>
        </w:rPr>
        <w:t>45202423004</w:t>
      </w:r>
      <w:r>
        <w:rPr>
          <w:rFonts w:asciiTheme="minorEastAsia" w:hAnsiTheme="minorEastAsia" w:eastAsiaTheme="minorEastAsia"/>
          <w:color w:val="auto"/>
          <w:szCs w:val="21"/>
          <w:highlight w:val="none"/>
        </w:rPr>
        <w:tab/>
      </w:r>
    </w:p>
    <w:p w14:paraId="6B9B711E">
      <w:pPr>
        <w:adjustRightInd w:val="0"/>
        <w:snapToGrid w:val="0"/>
        <w:spacing w:before="93" w:beforeLines="30" w:after="93" w:afterLines="30" w:line="360" w:lineRule="auto"/>
        <w:ind w:firstLine="420"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color w:val="auto"/>
          <w:szCs w:val="21"/>
          <w:highlight w:val="none"/>
        </w:rPr>
        <w:t>在基金募集行为结束之前，募集资金任何人不能动用。</w:t>
      </w:r>
      <w:r>
        <w:rPr>
          <w:rFonts w:hint="eastAsia" w:asciiTheme="minorEastAsia" w:hAnsiTheme="minorEastAsia" w:eastAsiaTheme="minorEastAsia"/>
          <w:b/>
          <w:bCs/>
          <w:color w:val="auto"/>
          <w:szCs w:val="21"/>
          <w:highlight w:val="none"/>
        </w:rPr>
        <w:t>对直销募集账户的监督由监督机构负责。全体基金份额持有人特别知悉且确认：根据监督机构与私募基金管理人签署的私募基金账户监督协议或者含有账户监督内容的其他协议（以下简称“监督协议”），在特定条件下监督机构有权单方面解除监督协议，自监督协议解除之日起不再担任本基金的募集账户监督机构；私募基金管理人应自行负责及时更换新的监督机构，并在上述事项发生之日起三个工作日内以本合同约定的方式之一告知全体基金份额持有人及私募基金托管人。</w:t>
      </w:r>
    </w:p>
    <w:p w14:paraId="731BF0E4">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Theme="minorEastAsia" w:hAnsiTheme="minorEastAsia" w:eastAsiaTheme="minorEastAsia"/>
          <w:color w:val="auto"/>
          <w:szCs w:val="21"/>
          <w:highlight w:val="none"/>
        </w:rPr>
        <w:t>基金投资者将委托资金划入本基金募集账户的汇出账户为投资者收益账户。</w:t>
      </w:r>
      <w:r>
        <w:rPr>
          <w:rFonts w:hint="eastAsia" w:ascii="宋体" w:hAnsi="宋体"/>
          <w:color w:val="auto"/>
          <w:szCs w:val="21"/>
          <w:highlight w:val="none"/>
        </w:rPr>
        <w:t>本章节所列明的募集账户内统一归集了本基金投资者的认购和申购资金、应向全体基金份额持有人分配的收益（如有）、赎回确认成功后应给付的赎回款项以及应向本基金清算时的全体基金份额持有人分配的基金清算后的剩余基金财产等，基金投资者仅对募集账户内归属于该基金投资者的委托资金和应得款项享有权益。</w:t>
      </w:r>
      <w:r>
        <w:rPr>
          <w:rFonts w:hint="eastAsia" w:asciiTheme="minorEastAsia" w:hAnsiTheme="minorEastAsia" w:eastAsiaTheme="minorEastAsia"/>
          <w:color w:val="auto"/>
          <w:szCs w:val="21"/>
          <w:highlight w:val="none"/>
        </w:rPr>
        <w:t>募集账户是监督机构接受私募基金管理人委托代为提供基金服务的专用账户，</w:t>
      </w:r>
      <w:r>
        <w:rPr>
          <w:rFonts w:hint="eastAsia" w:ascii="宋体" w:hAnsi="宋体"/>
          <w:color w:val="auto"/>
          <w:szCs w:val="21"/>
          <w:highlight w:val="none"/>
        </w:rPr>
        <w:t>募集账户的开立和使用</w:t>
      </w:r>
      <w:r>
        <w:rPr>
          <w:rFonts w:hint="eastAsia" w:asciiTheme="minorEastAsia" w:hAnsiTheme="minorEastAsia" w:eastAsiaTheme="minorEastAsia"/>
          <w:color w:val="auto"/>
          <w:szCs w:val="21"/>
          <w:highlight w:val="none"/>
        </w:rPr>
        <w:t>并不代表监督机构接受投资者的认购或申购资金，也不表明监督机构对本基金的价值和收益作出实质性判断或保证，也不表明投资于本基金没有风险。</w:t>
      </w:r>
      <w:r>
        <w:rPr>
          <w:rFonts w:hint="eastAsia" w:asciiTheme="minorEastAsia" w:hAnsiTheme="minorEastAsia" w:eastAsiaTheme="minorEastAsia"/>
          <w:b/>
          <w:bCs/>
          <w:color w:val="auto"/>
          <w:szCs w:val="21"/>
          <w:highlight w:val="none"/>
        </w:rPr>
        <w:t>募集账户内的财产独立于私募基金管理人、私募基金托管人、运营服务机构、基金销售机构或基金销售支付机构的自有财产，私募基金管理人、私募基金托管人、运营服务机构、基金销售机构、基金销售支付机构不得将基金财产归入其自有财产。私募基金管理人、私募基金托管人、运营服务机构、基金销售机构或基金销售支付机构破产或者清算时，募集账户内的财产不属于其破产财产或者清算财产。非因法律规定的情形，不得查封、冻结、扣划或者强制执行募集账户内归属该投资者自身的财产。</w:t>
      </w:r>
      <w:r>
        <w:rPr>
          <w:rFonts w:hint="eastAsia" w:asciiTheme="minorEastAsia" w:hAnsiTheme="minorEastAsia" w:eastAsiaTheme="minorEastAsia"/>
          <w:color w:val="auto"/>
          <w:szCs w:val="21"/>
          <w:highlight w:val="none"/>
        </w:rPr>
        <w:t>在募集账户的使用过程中，私募基金管理人应就其自身操作不当等原因所造成的损失承担相关责任，</w:t>
      </w:r>
      <w:r>
        <w:rPr>
          <w:rFonts w:hint="eastAsia" w:ascii="宋体" w:hAnsi="宋体"/>
          <w:color w:val="auto"/>
          <w:szCs w:val="21"/>
          <w:highlight w:val="none"/>
        </w:rPr>
        <w:t>除非有足够的证据证明是因</w:t>
      </w:r>
      <w:r>
        <w:rPr>
          <w:rFonts w:hint="eastAsia" w:ascii="宋体" w:hAnsi="宋体"/>
          <w:color w:val="auto"/>
          <w:highlight w:val="none"/>
        </w:rPr>
        <w:t>监督机构</w:t>
      </w:r>
      <w:r>
        <w:rPr>
          <w:rFonts w:hint="eastAsia" w:ascii="宋体" w:hAnsi="宋体"/>
          <w:color w:val="auto"/>
          <w:szCs w:val="21"/>
          <w:highlight w:val="none"/>
        </w:rPr>
        <w:t>的原因造成的损失外，监督机构</w:t>
      </w:r>
      <w:r>
        <w:rPr>
          <w:rFonts w:hint="eastAsia" w:ascii="宋体" w:hAnsi="宋体"/>
          <w:color w:val="auto"/>
          <w:highlight w:val="none"/>
        </w:rPr>
        <w:t>不承担任何责任。</w:t>
      </w:r>
    </w:p>
    <w:p w14:paraId="2796C9F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2、代销募集账户</w:t>
      </w:r>
    </w:p>
    <w:p w14:paraId="4B56500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本基金代销募集账户由基金管理人委托的</w:t>
      </w:r>
      <w:r>
        <w:rPr>
          <w:rFonts w:hint="eastAsia" w:asciiTheme="minorEastAsia" w:hAnsiTheme="minorEastAsia" w:eastAsiaTheme="minorEastAsia"/>
          <w:color w:val="auto"/>
          <w:szCs w:val="21"/>
          <w:highlight w:val="none"/>
        </w:rPr>
        <w:t>代销</w:t>
      </w:r>
      <w:r>
        <w:rPr>
          <w:rFonts w:asciiTheme="minorEastAsia" w:hAnsiTheme="minorEastAsia" w:eastAsiaTheme="minorEastAsia"/>
          <w:color w:val="auto"/>
          <w:szCs w:val="21"/>
          <w:highlight w:val="none"/>
        </w:rPr>
        <w:t>机构自行开立并自行聘请监督机构对其进行监督，代销募集账户的开户行、账户名称、账户号码及监督机构等信息以基金管理人</w:t>
      </w:r>
      <w:r>
        <w:rPr>
          <w:rFonts w:hint="eastAsia" w:asciiTheme="minorEastAsia" w:hAnsiTheme="minorEastAsia" w:eastAsiaTheme="minorEastAsia"/>
          <w:color w:val="auto"/>
          <w:szCs w:val="21"/>
          <w:highlight w:val="none"/>
        </w:rPr>
        <w:t>或代销机构</w:t>
      </w:r>
      <w:r>
        <w:rPr>
          <w:rFonts w:asciiTheme="minorEastAsia" w:hAnsiTheme="minorEastAsia" w:eastAsiaTheme="minorEastAsia"/>
          <w:color w:val="auto"/>
          <w:szCs w:val="21"/>
          <w:highlight w:val="none"/>
        </w:rPr>
        <w:t>届时公告为准。</w:t>
      </w:r>
    </w:p>
    <w:p w14:paraId="3F933E6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（三）基金份额的认购事项</w:t>
      </w:r>
    </w:p>
    <w:p w14:paraId="03666E0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投资者认购本基金，以人民币货币资金形式交付。基金不接受现金方式认购，在直销机构认购的投资者须将认购资金从在中国境内开立的自有银行账户划款至募集账户，在代销机构认购的投资者按代销机构的规定缴付资金。</w:t>
      </w:r>
    </w:p>
    <w:p w14:paraId="7F9AA16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1、基金份额持有人的人数上限</w:t>
      </w:r>
    </w:p>
    <w:p w14:paraId="6BC5D74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本基金向合格投资者募集，合格投资者人数累计不得超过二百人。</w:t>
      </w:r>
    </w:p>
    <w:p w14:paraId="1B990A6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2、基金份额的认购费用</w:t>
      </w:r>
    </w:p>
    <w:p w14:paraId="7109701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投资者在本基金初始销售期认购本基金按照以下公式支付认购费：</w:t>
      </w:r>
    </w:p>
    <w:p w14:paraId="67CADFE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1）净认购金额=认购金额/（1＋认购费率）；</w:t>
      </w:r>
    </w:p>
    <w:p w14:paraId="7C2460B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2）认购费用=认购金额-净认购金额；</w:t>
      </w:r>
    </w:p>
    <w:p w14:paraId="1E39ADD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本基金的认购费率详见“基金的基本情况”章节之“基金的份额分类”。</w:t>
      </w:r>
    </w:p>
    <w:p w14:paraId="3C0F4B2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经由直销机构办理认购的，本基金的认购费由</w:t>
      </w:r>
      <w:r>
        <w:rPr>
          <w:rFonts w:asciiTheme="minorEastAsia" w:hAnsiTheme="minorEastAsia" w:eastAsiaTheme="minorEastAsia"/>
          <w:color w:val="auto"/>
          <w:szCs w:val="21"/>
          <w:highlight w:val="none"/>
        </w:rPr>
        <w:t>基金管理人</w:t>
      </w:r>
      <w:r>
        <w:rPr>
          <w:rFonts w:hint="eastAsia" w:asciiTheme="minorEastAsia" w:hAnsiTheme="minorEastAsia" w:eastAsiaTheme="minorEastAsia"/>
          <w:color w:val="auto"/>
          <w:szCs w:val="21"/>
          <w:highlight w:val="none"/>
        </w:rPr>
        <w:t>支配使用</w:t>
      </w:r>
      <w:r>
        <w:rPr>
          <w:rFonts w:asciiTheme="minorEastAsia" w:hAnsiTheme="minorEastAsia" w:eastAsiaTheme="minorEastAsia"/>
          <w:color w:val="auto"/>
          <w:szCs w:val="21"/>
          <w:highlight w:val="none"/>
        </w:rPr>
        <w:t>，不列入基金财产</w:t>
      </w:r>
      <w:r>
        <w:rPr>
          <w:rFonts w:hint="eastAsia" w:asciiTheme="minorEastAsia" w:hAnsiTheme="minorEastAsia" w:eastAsiaTheme="minorEastAsia"/>
          <w:color w:val="auto"/>
          <w:szCs w:val="21"/>
          <w:highlight w:val="none"/>
        </w:rPr>
        <w:t>；经由基金代销机构（如有）办理认购的，本基金的认购费由基金代销机构支配，不列入基金财产，具体以基金代销协议的约定为准</w:t>
      </w:r>
      <w:r>
        <w:rPr>
          <w:rFonts w:asciiTheme="minorEastAsia" w:hAnsiTheme="minorEastAsia" w:eastAsiaTheme="minorEastAsia"/>
          <w:color w:val="auto"/>
          <w:szCs w:val="21"/>
          <w:highlight w:val="none"/>
        </w:rPr>
        <w:t>。</w:t>
      </w:r>
    </w:p>
    <w:p w14:paraId="0C39221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3、认购申请的确认</w:t>
      </w:r>
    </w:p>
    <w:p w14:paraId="432CA6E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认购申请受理完成后，不得撤销。</w:t>
      </w:r>
      <w:r>
        <w:rPr>
          <w:rFonts w:hint="eastAsia" w:asciiTheme="minorEastAsia" w:hAnsiTheme="minorEastAsia" w:eastAsiaTheme="minorEastAsia"/>
          <w:color w:val="auto"/>
          <w:szCs w:val="21"/>
          <w:highlight w:val="none"/>
        </w:rPr>
        <w:t>募集机构</w:t>
      </w:r>
      <w:r>
        <w:rPr>
          <w:rFonts w:asciiTheme="minorEastAsia" w:hAnsiTheme="minorEastAsia" w:eastAsiaTheme="minorEastAsia"/>
          <w:color w:val="auto"/>
          <w:szCs w:val="21"/>
          <w:highlight w:val="none"/>
        </w:rPr>
        <w:t>受理认购申请并不表示对该申请成功的确认，而仅代表</w:t>
      </w:r>
      <w:r>
        <w:rPr>
          <w:rFonts w:hint="eastAsia" w:asciiTheme="minorEastAsia" w:hAnsiTheme="minorEastAsia" w:eastAsiaTheme="minorEastAsia"/>
          <w:color w:val="auto"/>
          <w:szCs w:val="21"/>
          <w:highlight w:val="none"/>
        </w:rPr>
        <w:t>募集机构</w:t>
      </w:r>
      <w:r>
        <w:rPr>
          <w:rFonts w:asciiTheme="minorEastAsia" w:hAnsiTheme="minorEastAsia" w:eastAsiaTheme="minorEastAsia"/>
          <w:color w:val="auto"/>
          <w:szCs w:val="21"/>
          <w:highlight w:val="none"/>
        </w:rPr>
        <w:t>确实收到了认购申请。</w:t>
      </w:r>
      <w:r>
        <w:rPr>
          <w:rFonts w:hint="eastAsia" w:asciiTheme="minorEastAsia" w:hAnsiTheme="minorEastAsia" w:eastAsiaTheme="minorEastAsia"/>
          <w:color w:val="auto"/>
          <w:szCs w:val="21"/>
          <w:highlight w:val="none"/>
        </w:rPr>
        <w:t>认购的确认以份额登记机构的确认结果为准。若认购不成功，基金投资者已交付的款项将于基金成立后五个工作日内，无利息地退还基金投资者银行账户。</w:t>
      </w:r>
    </w:p>
    <w:p w14:paraId="30AF902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本基金的人数规模上限为200人。基金管理人在募集期间每个工作日可接受的人数限制内，按照“时间优先、金额优先”的原则确认有效认购申请。超出基金人数规模上限的认购申请为无效申请。</w:t>
      </w:r>
    </w:p>
    <w:p w14:paraId="7BA194D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通过代销机构进行认购的，人数规模控制以基金管理人和代销机构约定的方式为准。</w:t>
      </w:r>
    </w:p>
    <w:p w14:paraId="03AEF42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4、认购份额的计算方式</w:t>
      </w:r>
    </w:p>
    <w:p w14:paraId="12B58BE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认购份额</w:t>
      </w:r>
      <w:r>
        <w:rPr>
          <w:rFonts w:asciiTheme="minorEastAsia" w:hAnsiTheme="minorEastAsia" w:eastAsiaTheme="minorEastAsia"/>
          <w:color w:val="auto"/>
          <w:szCs w:val="21"/>
          <w:highlight w:val="none"/>
        </w:rPr>
        <w:t>=净认购金额/认购份额初始面值。</w:t>
      </w:r>
    </w:p>
    <w:p w14:paraId="4FDF16B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认购费用=认购金额*认购费率/（1+认购费率）。</w:t>
      </w:r>
    </w:p>
    <w:p w14:paraId="452E62E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净认购金额=认购金额/（1+认购费率）。</w:t>
      </w:r>
    </w:p>
    <w:p w14:paraId="71EFD34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认购份额保留到小数点后2位，小数点后第3位四舍五入，由此产生的收益和损失计入基金财产。</w:t>
      </w:r>
    </w:p>
    <w:p w14:paraId="3CAAF95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5、初始销售期间投资者资金的管理及利息处理方式</w:t>
      </w:r>
    </w:p>
    <w:p w14:paraId="2ADEBA7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募集机构应当将基金初始销售期间投资者的资金存入</w:t>
      </w:r>
      <w:r>
        <w:rPr>
          <w:rFonts w:hint="eastAsia" w:asciiTheme="minorEastAsia" w:hAnsiTheme="minorEastAsia" w:eastAsiaTheme="minorEastAsia"/>
          <w:color w:val="auto"/>
          <w:kern w:val="0"/>
          <w:szCs w:val="21"/>
          <w:highlight w:val="none"/>
        </w:rPr>
        <w:t>募集结算资金专用账户</w:t>
      </w:r>
      <w:r>
        <w:rPr>
          <w:rFonts w:hint="eastAsia" w:asciiTheme="minorEastAsia" w:hAnsiTheme="minorEastAsia" w:eastAsiaTheme="minorEastAsia"/>
          <w:color w:val="auto"/>
          <w:szCs w:val="21"/>
          <w:highlight w:val="none"/>
        </w:rPr>
        <w:t>，在基金初始销售行为结束前，任何机构和个人不得动用。基金成立前，认购款在募集结算资金专用账户产生的利息归入基金财产，利息金额按银行同期活期存款利率计息，具体金额以份额登记机构记录为准，基金托管人不承担监督职责。</w:t>
      </w:r>
    </w:p>
    <w:p w14:paraId="7B0ED0F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（四）基金份额认购金额及付款期限</w:t>
      </w:r>
    </w:p>
    <w:p w14:paraId="2E4EDEE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投资者在募集期间的首次</w:t>
      </w:r>
      <w:r>
        <w:rPr>
          <w:rFonts w:asciiTheme="minorEastAsia" w:hAnsiTheme="minorEastAsia" w:eastAsiaTheme="minorEastAsia"/>
          <w:color w:val="auto"/>
          <w:szCs w:val="21"/>
          <w:highlight w:val="none"/>
        </w:rPr>
        <w:t>净</w:t>
      </w:r>
      <w:r>
        <w:rPr>
          <w:rFonts w:hint="eastAsia" w:asciiTheme="minorEastAsia" w:hAnsiTheme="minorEastAsia" w:eastAsiaTheme="minorEastAsia"/>
          <w:color w:val="auto"/>
          <w:szCs w:val="21"/>
          <w:highlight w:val="none"/>
        </w:rPr>
        <w:t>认购金额应不低于</w:t>
      </w:r>
      <w:r>
        <w:rPr>
          <w:rFonts w:asciiTheme="minorEastAsia" w:hAnsiTheme="minorEastAsia" w:eastAsiaTheme="minorEastAsia"/>
          <w:color w:val="auto"/>
          <w:szCs w:val="21"/>
          <w:highlight w:val="none"/>
        </w:rPr>
        <w:t>100万元</w:t>
      </w:r>
      <w:r>
        <w:rPr>
          <w:rFonts w:hint="eastAsia" w:asciiTheme="minorEastAsia" w:hAnsiTheme="minorEastAsia" w:eastAsiaTheme="minorEastAsia"/>
          <w:color w:val="auto"/>
          <w:szCs w:val="21"/>
          <w:highlight w:val="none"/>
        </w:rPr>
        <w:t>人民币（不含认购费，且本合同“募集对象”中的“特殊合格投资者”不受此限制），并可在管理人规定的募集期限分多次缴款，募集期间每次追加认购金额应</w:t>
      </w:r>
      <w:r>
        <w:rPr>
          <w:rFonts w:hint="eastAsia" w:ascii="宋体" w:hAnsi="宋体"/>
          <w:color w:val="auto"/>
          <w:szCs w:val="21"/>
          <w:highlight w:val="none"/>
        </w:rPr>
        <w:t>不低于1</w:t>
      </w:r>
      <w:r>
        <w:rPr>
          <w:rFonts w:ascii="宋体" w:hAnsi="宋体"/>
          <w:color w:val="auto"/>
          <w:szCs w:val="21"/>
          <w:highlight w:val="none"/>
        </w:rPr>
        <w:t>万元</w:t>
      </w:r>
      <w:r>
        <w:rPr>
          <w:rFonts w:hint="eastAsia" w:ascii="宋体" w:hAnsi="宋体"/>
          <w:color w:val="auto"/>
          <w:szCs w:val="21"/>
          <w:highlight w:val="none"/>
        </w:rPr>
        <w:t>人民币</w:t>
      </w:r>
      <w:r>
        <w:rPr>
          <w:rFonts w:hint="eastAsia" w:asciiTheme="minorEastAsia" w:hAnsiTheme="minorEastAsia" w:eastAsiaTheme="minorEastAsia"/>
          <w:color w:val="auto"/>
          <w:szCs w:val="21"/>
          <w:highlight w:val="none"/>
        </w:rPr>
        <w:t>（不含认购费</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w:t>
      </w:r>
    </w:p>
    <w:p w14:paraId="6D2726E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（五）投资冷静期</w:t>
      </w:r>
    </w:p>
    <w:p w14:paraId="50B8BD6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基金投资者自签署本合同且全额缴纳认购份额款项后二十四小时内为本基金的认购投资冷静期，募集机构在投资冷静期内不得主动联系基金投资者。但是，</w:t>
      </w:r>
      <w:r>
        <w:rPr>
          <w:rFonts w:hint="eastAsia" w:ascii="宋体" w:hAnsi="宋体"/>
          <w:color w:val="auto"/>
          <w:szCs w:val="21"/>
          <w:highlight w:val="none"/>
        </w:rPr>
        <w:t>根据法律法规规定、部门规章、行业自律指引规定等可豁免适用投资冷静期的个人、机构或资产管理产品除外</w:t>
      </w:r>
      <w:r>
        <w:rPr>
          <w:rFonts w:hint="eastAsia" w:asciiTheme="minorEastAsia" w:hAnsiTheme="minorEastAsia" w:eastAsiaTheme="minorEastAsia"/>
          <w:color w:val="auto"/>
          <w:szCs w:val="21"/>
          <w:highlight w:val="none"/>
        </w:rPr>
        <w:t>。</w:t>
      </w:r>
    </w:p>
    <w:p w14:paraId="63E893D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（六）回访制度</w:t>
      </w:r>
    </w:p>
    <w:p w14:paraId="014C0F5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中国基金业协会正式要求私募基金的募集机构实施《私募投资基金募集行为管理办法》规定的回访制度之前，本基金直销机构暂不实施该回访制度，通过代理销售机构募集的（如有），代理销售机构是否适用回访确认制度以代理销售机构规则为准。</w:t>
      </w:r>
    </w:p>
    <w:p w14:paraId="532E5EE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中国基金业协会正式要求私募基金的募集机构实施《私募投资基金募集行为管理办法》规定的回访制度之后，募集机构应当在投资冷静期满后，指令本机构从事基金销售推介业务以外的人员以录音电话、电邮、信函等适当方式进行投资回访。未经回访确认成功，投资者交纳的认购基金款项不得由</w:t>
      </w:r>
      <w:r>
        <w:rPr>
          <w:rFonts w:hint="eastAsia" w:asciiTheme="minorEastAsia" w:hAnsiTheme="minorEastAsia" w:eastAsiaTheme="minorEastAsia"/>
          <w:color w:val="auto"/>
          <w:kern w:val="0"/>
          <w:szCs w:val="21"/>
          <w:highlight w:val="none"/>
        </w:rPr>
        <w:t>募集结算资金专用账户</w:t>
      </w:r>
      <w:r>
        <w:rPr>
          <w:rFonts w:hint="eastAsia" w:asciiTheme="minorEastAsia" w:hAnsiTheme="minorEastAsia" w:eastAsiaTheme="minorEastAsia"/>
          <w:color w:val="auto"/>
          <w:szCs w:val="21"/>
          <w:highlight w:val="none"/>
        </w:rPr>
        <w:t>划转到托管资金账户，基金管理人不得投资运作投资者交纳的认购基金款项。但是，</w:t>
      </w:r>
      <w:r>
        <w:rPr>
          <w:rFonts w:hint="eastAsia" w:ascii="宋体" w:hAnsi="宋体"/>
          <w:color w:val="auto"/>
          <w:szCs w:val="21"/>
          <w:highlight w:val="none"/>
        </w:rPr>
        <w:t>根据法律法规规定、部门规章、行业自律指引规定等可豁免适用回访制度的个人、机构或资产管理产品</w:t>
      </w:r>
      <w:r>
        <w:rPr>
          <w:rFonts w:hint="eastAsia" w:ascii="宋体" w:hAnsi="宋体" w:eastAsiaTheme="minorEastAsia"/>
          <w:color w:val="auto"/>
          <w:szCs w:val="21"/>
          <w:highlight w:val="none"/>
        </w:rPr>
        <w:t>除外</w:t>
      </w:r>
      <w:r>
        <w:rPr>
          <w:rFonts w:hint="eastAsia" w:asciiTheme="minorEastAsia" w:hAnsiTheme="minorEastAsia" w:eastAsiaTheme="minorEastAsia"/>
          <w:color w:val="auto"/>
          <w:szCs w:val="21"/>
          <w:highlight w:val="none"/>
        </w:rPr>
        <w:t>。在此情况下，基金管理人有权根据回访制度的实施需要而变更本合同项下的相关条款，但应提前通知基金投资者，对基金投资者履行告知义务。</w:t>
      </w:r>
    </w:p>
    <w:p w14:paraId="5FEA9E73">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21" w:name="_Toc459392408"/>
      <w:r>
        <w:rPr>
          <w:rFonts w:hint="eastAsia" w:asciiTheme="minorEastAsia" w:hAnsiTheme="minorEastAsia" w:eastAsiaTheme="minorEastAsia"/>
          <w:color w:val="auto"/>
          <w:sz w:val="28"/>
          <w:szCs w:val="28"/>
          <w:highlight w:val="none"/>
        </w:rPr>
        <w:t>六、基金的成立与备案</w:t>
      </w:r>
      <w:bookmarkEnd w:id="21"/>
    </w:p>
    <w:p w14:paraId="494504C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（一）本合同签署的方式</w:t>
      </w:r>
    </w:p>
    <w:p w14:paraId="361E515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投资者认购本基金，应当在与募集机构完成合格投资者确认程序后通过纸质合同和/或电子合同的方式签署本合同。</w:t>
      </w:r>
    </w:p>
    <w:p w14:paraId="14E89BD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（二）基金成立的条件</w:t>
      </w:r>
    </w:p>
    <w:p w14:paraId="0C34345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本基金募集期结束后，基金管理人或其委托的服务机构应将全部募集资金划入托管资金账户，初始实缴募集资金规模不低于</w:t>
      </w:r>
      <w:r>
        <w:rPr>
          <w:rFonts w:asciiTheme="minorEastAsia" w:hAnsiTheme="minorEastAsia" w:eastAsiaTheme="minorEastAsia"/>
          <w:color w:val="auto"/>
          <w:szCs w:val="21"/>
          <w:highlight w:val="none"/>
        </w:rPr>
        <w:t>100</w:t>
      </w:r>
      <w:r>
        <w:rPr>
          <w:rFonts w:hint="eastAsia" w:asciiTheme="minorEastAsia" w:hAnsiTheme="minorEastAsia" w:eastAsiaTheme="minorEastAsia"/>
          <w:color w:val="auto"/>
          <w:szCs w:val="21"/>
          <w:highlight w:val="none"/>
        </w:rPr>
        <w:t>0万元人民币，中国证监会另有规定的除外。基金托管人核实资金到账情况后，向基金管理人出具资金到账通知书，基金成立，基金具体的成立日期以资金到账通知书上载明的资金到达基金托管账户的日期为准。</w:t>
      </w:r>
    </w:p>
    <w:p w14:paraId="69A5D9F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基金管理人应于基金成立时向本基金的基金份额持有人发布基金成立通知。</w:t>
      </w:r>
    </w:p>
    <w:p w14:paraId="52D67B50">
      <w:pPr>
        <w:pStyle w:val="12"/>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基金托管人的职责自基金成立后开始。</w:t>
      </w:r>
    </w:p>
    <w:p w14:paraId="43F44A2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（三）募集失败的处理方式</w:t>
      </w:r>
    </w:p>
    <w:p w14:paraId="67074C4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募集期限届满，本基金未能成立的，基金管理人应当：</w:t>
      </w:r>
    </w:p>
    <w:p w14:paraId="7DA59CE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1、以其固有财产承担因销售行为而产生的债务和费用。</w:t>
      </w:r>
    </w:p>
    <w:p w14:paraId="64D38EC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2、在募集期限届满后30日内返还基金投资者已缴纳的款项，并加计银行同期活期存款利息，以份额登记机构的记录为准。</w:t>
      </w:r>
    </w:p>
    <w:p w14:paraId="551C149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（四）基金的备案</w:t>
      </w:r>
    </w:p>
    <w:p w14:paraId="432D61D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在基金募集完毕后20个工作日内，向中国基金业协会履行基金备案手续。本基金在成立日至完成备案前不得开展投资活动，以现金管理为目的，投资于符合本合同约定的投资范围的现金管理工具（包括银行活期存款、国债、中央银行票据、货币市场基金）除外。基金投资者可在本基金完成备案之后通过中国基金业协会网站查询本基金公示信息。基金的备案由基金管理人负责，若基金管理人未按照中国基金业协会规定履行基金备案手续，基金托管人不承担相关责任。</w:t>
      </w:r>
    </w:p>
    <w:p w14:paraId="05707EF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bookmarkStart w:id="22" w:name="_Hlt211344873"/>
      <w:bookmarkEnd w:id="22"/>
      <w:r>
        <w:rPr>
          <w:rFonts w:hint="eastAsia" w:asciiTheme="minorEastAsia" w:hAnsiTheme="minorEastAsia" w:eastAsiaTheme="minorEastAsia"/>
          <w:color w:val="auto"/>
          <w:szCs w:val="21"/>
          <w:highlight w:val="none"/>
        </w:rPr>
        <w:t>（五）基金未备案和备案未通过的处理方式</w:t>
      </w:r>
    </w:p>
    <w:p w14:paraId="2DB9AF9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本基金应该在基金业协会规定的期限内完成备案手续，不能满足基金备案条件或基金管理人放弃基金备案的，基金管理人应及时通知基金份额</w:t>
      </w:r>
      <w:r>
        <w:rPr>
          <w:rFonts w:asciiTheme="minorEastAsia" w:hAnsiTheme="minorEastAsia" w:eastAsiaTheme="minorEastAsia"/>
          <w:color w:val="auto"/>
          <w:szCs w:val="21"/>
          <w:highlight w:val="none"/>
        </w:rPr>
        <w:t>持有人</w:t>
      </w:r>
      <w:r>
        <w:rPr>
          <w:rFonts w:hint="eastAsia" w:asciiTheme="minorEastAsia" w:hAnsiTheme="minorEastAsia" w:eastAsiaTheme="minorEastAsia"/>
          <w:color w:val="auto"/>
          <w:szCs w:val="21"/>
          <w:highlight w:val="none"/>
        </w:rPr>
        <w:t>和基金托管人。若基金管理人放弃本基金备案或本基金未能成功通过备案，本合同相应终止，管理人需及时向全体基金份额持有人披露基金终止相关公告，同时书面通知基金托管人和服务机构，并对本基金财产进行终止清算，具体终止清算流程参见本合同“基金的清算”章节。</w:t>
      </w:r>
    </w:p>
    <w:p w14:paraId="3B2EF4A8">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23" w:name="_Toc381953526"/>
      <w:bookmarkStart w:id="24" w:name="_Toc459392409"/>
      <w:r>
        <w:rPr>
          <w:rFonts w:hint="eastAsia" w:asciiTheme="minorEastAsia" w:hAnsiTheme="minorEastAsia" w:eastAsiaTheme="minorEastAsia"/>
          <w:color w:val="auto"/>
          <w:sz w:val="28"/>
          <w:szCs w:val="28"/>
          <w:highlight w:val="none"/>
        </w:rPr>
        <w:t>七、基金的申购、赎回</w:t>
      </w:r>
      <w:bookmarkEnd w:id="23"/>
      <w:r>
        <w:rPr>
          <w:rFonts w:hint="eastAsia" w:asciiTheme="minorEastAsia" w:hAnsiTheme="minorEastAsia" w:eastAsiaTheme="minorEastAsia"/>
          <w:color w:val="auto"/>
          <w:sz w:val="28"/>
          <w:szCs w:val="28"/>
          <w:highlight w:val="none"/>
        </w:rPr>
        <w:t>与转让</w:t>
      </w:r>
      <w:bookmarkEnd w:id="24"/>
    </w:p>
    <w:p w14:paraId="03E28D6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（一）申购和赎回的开放日及时间</w:t>
      </w:r>
    </w:p>
    <w:p w14:paraId="2E4869C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投资者可在本基金开放日根据本合同相关约定申购和/或赎回本基金，但基金管理人根据法律法规、中国证监会的要求或本合同的规定发布暂停申购和/或赎回通知时除外。基金投资者须在开放日或开放日之前的工作日的9：00-15：00内根据募集机构的规定向募集机构及其销售网点提交书面申请文件（如募集机构另有规定的，遵循募集机构相关规定办理申请提交事宜）。未提交书面申请文件的，募集机构及其销售网点有权拒绝投资者的申购或赎回申请。</w:t>
      </w:r>
    </w:p>
    <w:p w14:paraId="34DC0C24">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1、大额赎回预约机制</w:t>
      </w:r>
    </w:p>
    <w:p w14:paraId="2AEAA50F">
      <w:pPr>
        <w:pStyle w:val="15"/>
        <w:adjustRightInd w:val="0"/>
        <w:snapToGrid w:val="0"/>
        <w:spacing w:before="93" w:beforeLines="30" w:after="93" w:afterLines="30" w:line="360" w:lineRule="auto"/>
        <w:ind w:firstLine="420" w:firstLineChars="200"/>
        <w:rPr>
          <w:rFonts w:asciiTheme="minorEastAsia" w:hAnsiTheme="minorEastAsia" w:eastAsiaTheme="minorEastAsia"/>
          <w:bCs/>
          <w:color w:val="auto"/>
          <w:szCs w:val="21"/>
          <w:highlight w:val="none"/>
        </w:rPr>
      </w:pPr>
      <w:r>
        <w:rPr>
          <w:rFonts w:asciiTheme="minorEastAsia" w:hAnsiTheme="minorEastAsia" w:eastAsiaTheme="minorEastAsia"/>
          <w:bCs/>
          <w:color w:val="auto"/>
          <w:szCs w:val="21"/>
          <w:highlight w:val="none"/>
        </w:rPr>
        <w:t>对单个投资者单</w:t>
      </w:r>
      <w:r>
        <w:rPr>
          <w:rFonts w:hint="eastAsia" w:asciiTheme="minorEastAsia" w:hAnsiTheme="minorEastAsia" w:eastAsiaTheme="minorEastAsia"/>
          <w:bCs/>
          <w:color w:val="auto"/>
          <w:szCs w:val="21"/>
          <w:highlight w:val="none"/>
        </w:rPr>
        <w:t>个开放日申请</w:t>
      </w:r>
      <w:r>
        <w:rPr>
          <w:rFonts w:asciiTheme="minorEastAsia" w:hAnsiTheme="minorEastAsia" w:eastAsiaTheme="minorEastAsia"/>
          <w:bCs/>
          <w:color w:val="auto"/>
          <w:szCs w:val="21"/>
          <w:highlight w:val="none"/>
        </w:rPr>
        <w:t>赎回份额超过</w:t>
      </w:r>
      <w:r>
        <w:rPr>
          <w:rFonts w:hint="eastAsia" w:asciiTheme="minorEastAsia" w:hAnsiTheme="minorEastAsia" w:eastAsiaTheme="minorEastAsia"/>
          <w:bCs/>
          <w:color w:val="auto"/>
          <w:szCs w:val="21"/>
          <w:highlight w:val="none"/>
          <w:u w:val="single"/>
        </w:rPr>
        <w:t>基金总份额的【 20 】%</w:t>
      </w:r>
      <w:r>
        <w:rPr>
          <w:rFonts w:asciiTheme="minorEastAsia" w:hAnsiTheme="minorEastAsia" w:eastAsiaTheme="minorEastAsia"/>
          <w:bCs/>
          <w:color w:val="auto"/>
          <w:szCs w:val="21"/>
          <w:highlight w:val="none"/>
        </w:rPr>
        <w:t>的,</w:t>
      </w:r>
      <w:r>
        <w:rPr>
          <w:rFonts w:hint="eastAsia" w:asciiTheme="minorEastAsia" w:hAnsiTheme="minorEastAsia" w:eastAsiaTheme="minorEastAsia"/>
          <w:bCs/>
          <w:color w:val="auto"/>
          <w:szCs w:val="21"/>
          <w:highlight w:val="none"/>
        </w:rPr>
        <w:t>本基金设置赎回申请预约机制</w:t>
      </w:r>
      <w:r>
        <w:rPr>
          <w:rFonts w:asciiTheme="minorEastAsia" w:hAnsiTheme="minorEastAsia" w:eastAsiaTheme="minorEastAsia"/>
          <w:bCs/>
          <w:color w:val="auto"/>
          <w:szCs w:val="21"/>
          <w:highlight w:val="none"/>
        </w:rPr>
        <w:t>。</w:t>
      </w:r>
      <w:r>
        <w:rPr>
          <w:rFonts w:hint="eastAsia" w:ascii="宋体" w:hAnsi="宋体"/>
          <w:bCs/>
          <w:color w:val="auto"/>
          <w:szCs w:val="21"/>
          <w:highlight w:val="none"/>
          <w:lang w:bidi="ar"/>
        </w:rPr>
        <w:t>大额赎回预约机制由管理人自行控制，基金服务机构以管理人提交的交易申请为准。</w:t>
      </w:r>
      <w:r>
        <w:rPr>
          <w:rFonts w:asciiTheme="minorEastAsia" w:hAnsiTheme="minorEastAsia" w:eastAsiaTheme="minorEastAsia"/>
          <w:bCs/>
          <w:color w:val="auto"/>
          <w:szCs w:val="21"/>
          <w:highlight w:val="none"/>
        </w:rPr>
        <w:t>投资者</w:t>
      </w:r>
      <w:r>
        <w:rPr>
          <w:rFonts w:hint="eastAsia" w:asciiTheme="minorEastAsia" w:hAnsiTheme="minorEastAsia" w:eastAsiaTheme="minorEastAsia"/>
          <w:bCs/>
          <w:color w:val="auto"/>
          <w:szCs w:val="21"/>
          <w:highlight w:val="none"/>
        </w:rPr>
        <w:t>应当于</w:t>
      </w:r>
      <w:r>
        <w:rPr>
          <w:rFonts w:asciiTheme="minorEastAsia" w:hAnsiTheme="minorEastAsia" w:eastAsiaTheme="minorEastAsia"/>
          <w:bCs/>
          <w:color w:val="auto"/>
          <w:szCs w:val="21"/>
          <w:highlight w:val="none"/>
        </w:rPr>
        <w:t>开放日前</w:t>
      </w:r>
      <w:r>
        <w:rPr>
          <w:rFonts w:hint="eastAsia" w:asciiTheme="minorEastAsia" w:hAnsiTheme="minorEastAsia" w:eastAsiaTheme="minorEastAsia"/>
          <w:bCs/>
          <w:color w:val="auto"/>
          <w:szCs w:val="21"/>
          <w:highlight w:val="none"/>
          <w:u w:val="single"/>
        </w:rPr>
        <w:t xml:space="preserve">  7  </w:t>
      </w:r>
      <w:r>
        <w:rPr>
          <w:rFonts w:asciiTheme="minorEastAsia" w:hAnsiTheme="minorEastAsia" w:eastAsiaTheme="minorEastAsia"/>
          <w:bCs/>
          <w:color w:val="auto"/>
          <w:szCs w:val="21"/>
          <w:highlight w:val="none"/>
        </w:rPr>
        <w:t>个工作日（含当天）至开放日前</w:t>
      </w:r>
      <w:r>
        <w:rPr>
          <w:rFonts w:hint="eastAsia" w:asciiTheme="minorEastAsia" w:hAnsiTheme="minorEastAsia" w:eastAsiaTheme="minorEastAsia"/>
          <w:bCs/>
          <w:color w:val="auto"/>
          <w:szCs w:val="21"/>
          <w:highlight w:val="none"/>
          <w:u w:val="single"/>
        </w:rPr>
        <w:t xml:space="preserve">  0  </w:t>
      </w:r>
      <w:r>
        <w:rPr>
          <w:rFonts w:asciiTheme="minorEastAsia" w:hAnsiTheme="minorEastAsia" w:eastAsiaTheme="minorEastAsia"/>
          <w:bCs/>
          <w:color w:val="auto"/>
          <w:szCs w:val="21"/>
          <w:highlight w:val="none"/>
        </w:rPr>
        <w:t>个工作日（含当天）</w:t>
      </w:r>
      <w:r>
        <w:rPr>
          <w:rFonts w:hint="eastAsia" w:asciiTheme="minorEastAsia" w:hAnsiTheme="minorEastAsia" w:eastAsiaTheme="minorEastAsia"/>
          <w:bCs/>
          <w:color w:val="auto"/>
          <w:szCs w:val="21"/>
          <w:highlight w:val="none"/>
        </w:rPr>
        <w:t>期间向募集机构</w:t>
      </w:r>
      <w:r>
        <w:rPr>
          <w:rFonts w:asciiTheme="minorEastAsia" w:hAnsiTheme="minorEastAsia" w:eastAsiaTheme="minorEastAsia"/>
          <w:bCs/>
          <w:color w:val="auto"/>
          <w:szCs w:val="21"/>
          <w:highlight w:val="none"/>
        </w:rPr>
        <w:t>提交预约</w:t>
      </w:r>
      <w:r>
        <w:rPr>
          <w:rFonts w:hint="eastAsia" w:asciiTheme="minorEastAsia" w:hAnsiTheme="minorEastAsia" w:eastAsiaTheme="minorEastAsia"/>
          <w:bCs/>
          <w:color w:val="auto"/>
          <w:szCs w:val="21"/>
          <w:highlight w:val="none"/>
        </w:rPr>
        <w:t>赎回。</w:t>
      </w:r>
      <w:r>
        <w:rPr>
          <w:rFonts w:asciiTheme="minorEastAsia" w:hAnsiTheme="minorEastAsia" w:eastAsiaTheme="minorEastAsia"/>
          <w:bCs/>
          <w:color w:val="auto"/>
          <w:szCs w:val="21"/>
          <w:highlight w:val="none"/>
        </w:rPr>
        <w:t>对于</w:t>
      </w:r>
      <w:r>
        <w:rPr>
          <w:rFonts w:hint="eastAsia" w:asciiTheme="minorEastAsia" w:hAnsiTheme="minorEastAsia" w:eastAsiaTheme="minorEastAsia"/>
          <w:bCs/>
          <w:color w:val="auto"/>
          <w:szCs w:val="21"/>
          <w:highlight w:val="none"/>
        </w:rPr>
        <w:t>未按照要求预约</w:t>
      </w:r>
      <w:r>
        <w:rPr>
          <w:rFonts w:asciiTheme="minorEastAsia" w:hAnsiTheme="minorEastAsia" w:eastAsiaTheme="minorEastAsia"/>
          <w:bCs/>
          <w:color w:val="auto"/>
          <w:szCs w:val="21"/>
          <w:highlight w:val="none"/>
        </w:rPr>
        <w:t>的大额赎回申请,</w:t>
      </w:r>
      <w:r>
        <w:rPr>
          <w:rFonts w:hint="eastAsia" w:asciiTheme="minorEastAsia" w:hAnsiTheme="minorEastAsia" w:eastAsiaTheme="minorEastAsia"/>
          <w:bCs/>
          <w:color w:val="auto"/>
          <w:szCs w:val="21"/>
          <w:highlight w:val="none"/>
        </w:rPr>
        <w:t>管理人可以</w:t>
      </w:r>
      <w:r>
        <w:rPr>
          <w:rFonts w:asciiTheme="minorEastAsia" w:hAnsiTheme="minorEastAsia" w:eastAsiaTheme="minorEastAsia"/>
          <w:bCs/>
          <w:color w:val="auto"/>
          <w:szCs w:val="21"/>
          <w:highlight w:val="none"/>
        </w:rPr>
        <w:t>拒绝确认其赎回申请</w:t>
      </w:r>
      <w:r>
        <w:rPr>
          <w:rFonts w:hint="eastAsia" w:asciiTheme="minorEastAsia" w:hAnsiTheme="minorEastAsia" w:eastAsiaTheme="minorEastAsia"/>
          <w:bCs/>
          <w:color w:val="auto"/>
          <w:szCs w:val="21"/>
          <w:highlight w:val="none"/>
        </w:rPr>
        <w:t>有效性</w:t>
      </w:r>
      <w:r>
        <w:rPr>
          <w:rFonts w:asciiTheme="minorEastAsia" w:hAnsiTheme="minorEastAsia" w:eastAsiaTheme="minorEastAsia"/>
          <w:bCs/>
          <w:color w:val="auto"/>
          <w:szCs w:val="21"/>
          <w:highlight w:val="none"/>
        </w:rPr>
        <w:t>。</w:t>
      </w:r>
    </w:p>
    <w:p w14:paraId="159348B8">
      <w:pPr>
        <w:pStyle w:val="15"/>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2、本基金的封闭期</w:t>
      </w:r>
    </w:p>
    <w:p w14:paraId="4794008F">
      <w:pPr>
        <w:pStyle w:val="15"/>
        <w:adjustRightInd w:val="0"/>
        <w:snapToGrid w:val="0"/>
        <w:spacing w:before="93" w:beforeLines="30" w:after="93" w:afterLines="30" w:line="360" w:lineRule="auto"/>
        <w:ind w:firstLine="420" w:firstLineChars="200"/>
        <w:rPr>
          <w:rFonts w:asciiTheme="minorEastAsia" w:hAnsiTheme="minorEastAsia" w:eastAsiaTheme="minorEastAsia"/>
          <w:bCs/>
          <w:color w:val="auto"/>
          <w:szCs w:val="21"/>
          <w:highlight w:val="none"/>
        </w:rPr>
      </w:pPr>
      <w:r>
        <w:rPr>
          <w:rFonts w:hint="eastAsia" w:asciiTheme="minorEastAsia" w:hAnsiTheme="minorEastAsia" w:eastAsiaTheme="minorEastAsia"/>
          <w:bCs/>
          <w:color w:val="auto"/>
          <w:szCs w:val="21"/>
          <w:highlight w:val="none"/>
        </w:rPr>
        <w:t>无。</w:t>
      </w:r>
    </w:p>
    <w:p w14:paraId="6EC0E22F">
      <w:pPr>
        <w:pStyle w:val="15"/>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3、份额锁定期</w:t>
      </w:r>
    </w:p>
    <w:p w14:paraId="6FAB9347">
      <w:pPr>
        <w:pStyle w:val="15"/>
        <w:adjustRightInd w:val="0"/>
        <w:snapToGrid w:val="0"/>
        <w:spacing w:before="93" w:beforeLines="30" w:after="93" w:afterLines="30" w:line="360" w:lineRule="auto"/>
        <w:ind w:firstLine="420" w:firstLineChars="200"/>
        <w:rPr>
          <w:rFonts w:ascii="宋体" w:hAnsi="宋体" w:cs="宋体"/>
          <w:b/>
          <w:bCs/>
          <w:color w:val="auto"/>
          <w:kern w:val="0"/>
          <w:szCs w:val="21"/>
          <w:highlight w:val="none"/>
        </w:rPr>
      </w:pPr>
      <w:r>
        <w:rPr>
          <w:rFonts w:hint="eastAsia" w:asciiTheme="minorEastAsia" w:hAnsiTheme="minorEastAsia" w:eastAsiaTheme="minorEastAsia"/>
          <w:color w:val="auto"/>
          <w:szCs w:val="21"/>
          <w:highlight w:val="none"/>
        </w:rPr>
        <w:t>本基金设置的份额锁定期限为180天（因红利再投资增加的份额不受限制），认购份额自基金成立日起算，申购份额自申购确认日起算。</w:t>
      </w:r>
      <w:r>
        <w:rPr>
          <w:rFonts w:hint="eastAsia" w:ascii="宋体" w:hAnsi="宋体" w:cs="宋体"/>
          <w:b/>
          <w:bCs/>
          <w:color w:val="auto"/>
          <w:kern w:val="0"/>
          <w:szCs w:val="21"/>
          <w:highlight w:val="none"/>
        </w:rPr>
        <w:t>特别地，本基金的管理人及其员工跟投本基金的，单笔认/申购份额的锁定期为6个月（180天）。</w:t>
      </w:r>
    </w:p>
    <w:p w14:paraId="0388E3C5">
      <w:pPr>
        <w:pStyle w:val="15"/>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4、申购赎回开放日</w:t>
      </w:r>
    </w:p>
    <w:p w14:paraId="1C586CD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开放日为基金成立之后每自然月的第一个、第三个周三，如遇非交易日，则不开放。基金投资者可在本基金的开放日申购或赎回本基金，但基金管理人根据法律法规、中国证监会的要求或本合同的规定公告暂停申购或赎回时除外。</w:t>
      </w:r>
    </w:p>
    <w:p w14:paraId="54C86DB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私募基金管理人设置临时开放日的，临时开放日的触发条件仅限于因法律、行政法规、监管政策调整、合同变更或解除等规范性文件规定情形。</w:t>
      </w:r>
    </w:p>
    <w:p w14:paraId="45C67A8E">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有下列情形的，投资者不得在临时开放日赎回该等基金份额：</w:t>
      </w:r>
    </w:p>
    <w:p w14:paraId="5B4A10D3">
      <w:pPr>
        <w:pStyle w:val="13"/>
        <w:numPr>
          <w:ilvl w:val="0"/>
          <w:numId w:val="2"/>
        </w:numPr>
        <w:adjustRightInd w:val="0"/>
        <w:snapToGrid w:val="0"/>
        <w:spacing w:before="93" w:beforeLines="30" w:after="93" w:afterLines="30" w:line="360" w:lineRule="auto"/>
        <w:ind w:firstLineChars="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本基金的管理人及其员工的份额持有期低于6个月（180天）；</w:t>
      </w:r>
    </w:p>
    <w:p w14:paraId="0BA8B6BE">
      <w:pPr>
        <w:pStyle w:val="13"/>
        <w:numPr>
          <w:ilvl w:val="0"/>
          <w:numId w:val="2"/>
        </w:numPr>
        <w:adjustRightInd w:val="0"/>
        <w:snapToGrid w:val="0"/>
        <w:spacing w:before="93" w:beforeLines="30" w:after="93" w:afterLines="30" w:line="360" w:lineRule="auto"/>
        <w:ind w:firstLineChars="0"/>
        <w:rPr>
          <w:rFonts w:asciiTheme="minorEastAsia" w:hAnsiTheme="minorEastAsia"/>
          <w:b/>
          <w:bCs/>
          <w:color w:val="auto"/>
          <w:szCs w:val="21"/>
          <w:highlight w:val="none"/>
        </w:rPr>
      </w:pPr>
      <w:r>
        <w:rPr>
          <w:rFonts w:hint="eastAsia" w:asciiTheme="minorEastAsia" w:hAnsiTheme="minorEastAsia" w:eastAsiaTheme="minorEastAsia"/>
          <w:b/>
          <w:bCs/>
          <w:color w:val="auto"/>
          <w:szCs w:val="21"/>
          <w:highlight w:val="none"/>
        </w:rPr>
        <w:t>其他投资者的份额持有期</w:t>
      </w:r>
      <w:r>
        <w:rPr>
          <w:rFonts w:hint="eastAsia" w:ascii="宋体" w:hAnsi="宋体"/>
          <w:b/>
          <w:bCs/>
          <w:color w:val="auto"/>
          <w:szCs w:val="21"/>
          <w:highlight w:val="none"/>
        </w:rPr>
        <w:t>低于</w:t>
      </w:r>
      <w:r>
        <w:rPr>
          <w:rFonts w:ascii="宋体" w:hAnsi="宋体"/>
          <w:b/>
          <w:bCs/>
          <w:color w:val="auto"/>
          <w:szCs w:val="21"/>
          <w:highlight w:val="none"/>
        </w:rPr>
        <w:t>6</w:t>
      </w:r>
      <w:r>
        <w:rPr>
          <w:rFonts w:hint="eastAsia" w:ascii="宋体" w:hAnsi="宋体"/>
          <w:b/>
          <w:bCs/>
          <w:color w:val="auto"/>
          <w:szCs w:val="21"/>
          <w:highlight w:val="none"/>
        </w:rPr>
        <w:t>个月（</w:t>
      </w:r>
      <w:r>
        <w:rPr>
          <w:rFonts w:ascii="宋体" w:hAnsi="宋体"/>
          <w:b/>
          <w:bCs/>
          <w:color w:val="auto"/>
          <w:szCs w:val="21"/>
          <w:highlight w:val="none"/>
        </w:rPr>
        <w:t>18</w:t>
      </w:r>
      <w:r>
        <w:rPr>
          <w:rFonts w:hint="eastAsia" w:ascii="宋体" w:hAnsi="宋体"/>
          <w:b/>
          <w:bCs/>
          <w:color w:val="auto"/>
          <w:szCs w:val="21"/>
          <w:highlight w:val="none"/>
        </w:rPr>
        <w:t>0天）（如本基金对其他投资者设置份额锁定期）。</w:t>
      </w:r>
    </w:p>
    <w:p w14:paraId="67B7F0EF">
      <w:pPr>
        <w:adjustRightInd w:val="0"/>
        <w:snapToGrid w:val="0"/>
        <w:spacing w:before="93" w:beforeLines="30" w:after="93" w:afterLines="30" w:line="360" w:lineRule="auto"/>
        <w:ind w:firstLine="420" w:firstLineChars="200"/>
        <w:rPr>
          <w:rFonts w:ascii="宋体" w:hAnsi="宋体"/>
          <w:b/>
          <w:color w:val="auto"/>
          <w:kern w:val="0"/>
          <w:highlight w:val="none"/>
        </w:rPr>
      </w:pPr>
      <w:r>
        <w:rPr>
          <w:rFonts w:hint="eastAsia" w:asciiTheme="minorEastAsia" w:hAnsiTheme="minorEastAsia" w:eastAsiaTheme="minorEastAsia"/>
          <w:color w:val="auto"/>
          <w:szCs w:val="21"/>
          <w:highlight w:val="none"/>
        </w:rPr>
        <w:t>临时开放日仅允许赎回。临时开放日可能存在计提业绩报酬的情况（如涉及）。</w:t>
      </w:r>
      <w:r>
        <w:rPr>
          <w:rFonts w:hint="eastAsia" w:ascii="宋体" w:hAnsi="宋体"/>
          <w:b/>
          <w:color w:val="auto"/>
          <w:kern w:val="0"/>
          <w:highlight w:val="none"/>
        </w:rPr>
        <w:t>私募基金管理人</w:t>
      </w:r>
      <w:r>
        <w:rPr>
          <w:rFonts w:hint="eastAsia" w:ascii="宋体" w:hAnsi="宋体"/>
          <w:b/>
          <w:bCs/>
          <w:color w:val="auto"/>
          <w:kern w:val="0"/>
          <w:szCs w:val="21"/>
          <w:highlight w:val="none"/>
        </w:rPr>
        <w:t>决定增设临时开放日的，应当</w:t>
      </w:r>
      <w:r>
        <w:rPr>
          <w:rFonts w:hint="eastAsia" w:ascii="宋体" w:hAnsi="宋体"/>
          <w:b/>
          <w:color w:val="auto"/>
          <w:kern w:val="0"/>
          <w:highlight w:val="none"/>
        </w:rPr>
        <w:t>提前</w:t>
      </w:r>
      <w:r>
        <w:rPr>
          <w:rFonts w:hint="eastAsia" w:ascii="宋体" w:hAnsi="宋体"/>
          <w:b/>
          <w:bCs/>
          <w:color w:val="auto"/>
          <w:kern w:val="0"/>
          <w:szCs w:val="21"/>
          <w:highlight w:val="none"/>
        </w:rPr>
        <w:t>两</w:t>
      </w:r>
      <w:r>
        <w:rPr>
          <w:rFonts w:hint="eastAsia" w:ascii="宋体" w:hAnsi="宋体"/>
          <w:b/>
          <w:color w:val="auto"/>
          <w:kern w:val="0"/>
          <w:highlight w:val="none"/>
        </w:rPr>
        <w:t>个交易日</w:t>
      </w:r>
      <w:r>
        <w:rPr>
          <w:rFonts w:hint="eastAsia" w:asciiTheme="minorEastAsia" w:hAnsiTheme="minorEastAsia" w:eastAsiaTheme="minorEastAsia"/>
          <w:color w:val="auto"/>
          <w:szCs w:val="21"/>
          <w:highlight w:val="none"/>
        </w:rPr>
        <w:t>在私募基金管理人网站公告或以本合同规定的其他形式</w:t>
      </w:r>
      <w:r>
        <w:rPr>
          <w:rFonts w:hint="eastAsia" w:ascii="宋体" w:hAnsi="宋体"/>
          <w:b/>
          <w:bCs/>
          <w:color w:val="auto"/>
          <w:kern w:val="0"/>
          <w:szCs w:val="21"/>
          <w:highlight w:val="none"/>
        </w:rPr>
        <w:t>通知全体</w:t>
      </w:r>
      <w:r>
        <w:rPr>
          <w:rFonts w:hint="eastAsia" w:ascii="宋体" w:hAnsi="宋体"/>
          <w:b/>
          <w:color w:val="auto"/>
          <w:kern w:val="0"/>
          <w:highlight w:val="none"/>
        </w:rPr>
        <w:t>份额持有人，并提前与</w:t>
      </w:r>
      <w:r>
        <w:rPr>
          <w:rFonts w:hint="eastAsia" w:ascii="宋体" w:hAnsi="宋体"/>
          <w:b/>
          <w:bCs/>
          <w:color w:val="auto"/>
          <w:kern w:val="0"/>
          <w:szCs w:val="21"/>
          <w:highlight w:val="none"/>
        </w:rPr>
        <w:t>运营</w:t>
      </w:r>
      <w:r>
        <w:rPr>
          <w:rFonts w:hint="eastAsia" w:ascii="宋体" w:hAnsi="宋体"/>
          <w:b/>
          <w:color w:val="auto"/>
          <w:kern w:val="0"/>
          <w:highlight w:val="none"/>
        </w:rPr>
        <w:t>服务机构确认临时开放的可行性。私募基金托管人、</w:t>
      </w:r>
      <w:r>
        <w:rPr>
          <w:rFonts w:hint="eastAsia" w:ascii="宋体" w:hAnsi="宋体"/>
          <w:b/>
          <w:bCs/>
          <w:color w:val="auto"/>
          <w:kern w:val="0"/>
          <w:szCs w:val="21"/>
          <w:highlight w:val="none"/>
        </w:rPr>
        <w:t>运营</w:t>
      </w:r>
      <w:r>
        <w:rPr>
          <w:rFonts w:hint="eastAsia" w:ascii="宋体" w:hAnsi="宋体"/>
          <w:b/>
          <w:color w:val="auto"/>
          <w:kern w:val="0"/>
          <w:highlight w:val="none"/>
        </w:rPr>
        <w:t>服务机构对于临时开放日的设置是否满足上述情形</w:t>
      </w:r>
      <w:r>
        <w:rPr>
          <w:rFonts w:hint="eastAsia" w:ascii="宋体" w:hAnsi="宋体"/>
          <w:b/>
          <w:bCs/>
          <w:color w:val="auto"/>
          <w:kern w:val="0"/>
          <w:szCs w:val="21"/>
          <w:highlight w:val="none"/>
        </w:rPr>
        <w:t>以及</w:t>
      </w:r>
      <w:r>
        <w:rPr>
          <w:rFonts w:hint="eastAsia" w:ascii="宋体" w:hAnsi="宋体"/>
          <w:b/>
          <w:color w:val="auto"/>
          <w:kern w:val="0"/>
          <w:highlight w:val="none"/>
        </w:rPr>
        <w:t>私募基金管理人</w:t>
      </w:r>
      <w:r>
        <w:rPr>
          <w:rFonts w:hint="eastAsia" w:ascii="宋体" w:hAnsi="宋体"/>
          <w:b/>
          <w:bCs/>
          <w:color w:val="auto"/>
          <w:kern w:val="0"/>
          <w:szCs w:val="21"/>
          <w:highlight w:val="none"/>
        </w:rPr>
        <w:t>是否</w:t>
      </w:r>
      <w:r>
        <w:rPr>
          <w:rFonts w:hint="eastAsia" w:ascii="宋体" w:hAnsi="宋体"/>
          <w:b/>
          <w:color w:val="auto"/>
          <w:kern w:val="0"/>
          <w:highlight w:val="none"/>
        </w:rPr>
        <w:t>通知</w:t>
      </w:r>
      <w:r>
        <w:rPr>
          <w:rFonts w:hint="eastAsia" w:ascii="宋体" w:hAnsi="宋体"/>
          <w:b/>
          <w:bCs/>
          <w:color w:val="auto"/>
          <w:kern w:val="0"/>
          <w:szCs w:val="21"/>
          <w:highlight w:val="none"/>
        </w:rPr>
        <w:t>份额持有人不负监督义务</w:t>
      </w:r>
      <w:r>
        <w:rPr>
          <w:rFonts w:hint="eastAsia" w:ascii="宋体" w:hAnsi="宋体"/>
          <w:b/>
          <w:color w:val="auto"/>
          <w:kern w:val="0"/>
          <w:highlight w:val="none"/>
        </w:rPr>
        <w:t>。</w:t>
      </w:r>
    </w:p>
    <w:p w14:paraId="67EED954">
      <w:pPr>
        <w:pStyle w:val="16"/>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私募基金管理人不得擅自变更投资者申购、赎回的时间、频率、程序以及限制事项（如锁定期、封闭期等）。如需变更，私募基金管理人应当及时通知全体基金份额持有人，若有基金份额持有人提出异议的，私募基金管理人应当及时通过设置临时开放日等方式供该等基金份额持有人赎回（本基金的管理人及其员工的份额持有期低于6个月（180天）、其他投资者的份额持有期低于</w:t>
      </w:r>
      <w:r>
        <w:rPr>
          <w:rFonts w:ascii="宋体" w:hAnsi="宋体"/>
          <w:color w:val="auto"/>
          <w:szCs w:val="21"/>
          <w:highlight w:val="none"/>
        </w:rPr>
        <w:t>6</w:t>
      </w:r>
      <w:r>
        <w:rPr>
          <w:rFonts w:hint="eastAsia" w:ascii="宋体" w:hAnsi="宋体"/>
          <w:color w:val="auto"/>
          <w:szCs w:val="21"/>
          <w:highlight w:val="none"/>
        </w:rPr>
        <w:t>个月（</w:t>
      </w:r>
      <w:r>
        <w:rPr>
          <w:rFonts w:ascii="宋体" w:hAnsi="宋体"/>
          <w:color w:val="auto"/>
          <w:szCs w:val="21"/>
          <w:highlight w:val="none"/>
        </w:rPr>
        <w:t>18</w:t>
      </w:r>
      <w:r>
        <w:rPr>
          <w:rFonts w:hint="eastAsia" w:ascii="宋体" w:hAnsi="宋体"/>
          <w:color w:val="auto"/>
          <w:szCs w:val="21"/>
          <w:highlight w:val="none"/>
        </w:rPr>
        <w:t>0天）（如本基金对其他投资者设置份额锁定期）的，不得赎回该等基金份额</w:t>
      </w:r>
      <w:r>
        <w:rPr>
          <w:rFonts w:hint="eastAsia"/>
          <w:color w:val="auto"/>
          <w:szCs w:val="21"/>
          <w:highlight w:val="none"/>
        </w:rPr>
        <w:t>）</w:t>
      </w:r>
      <w:r>
        <w:rPr>
          <w:rFonts w:hint="eastAsia" w:ascii="宋体" w:hAnsi="宋体"/>
          <w:color w:val="auto"/>
          <w:szCs w:val="21"/>
          <w:highlight w:val="none"/>
        </w:rPr>
        <w:t>，基金份额持有人未赎回基金份额的视为其同意前述变更。</w:t>
      </w:r>
    </w:p>
    <w:p w14:paraId="3BD250B6">
      <w:pPr>
        <w:adjustRightInd w:val="0"/>
        <w:snapToGrid w:val="0"/>
        <w:spacing w:before="93" w:beforeLines="30" w:after="93" w:afterLines="30" w:line="360" w:lineRule="auto"/>
        <w:ind w:firstLine="420" w:firstLineChars="200"/>
        <w:rPr>
          <w:rFonts w:cs="宋体" w:asciiTheme="minorEastAsia" w:hAnsiTheme="minorEastAsia" w:eastAsiaTheme="minorEastAsia"/>
          <w:color w:val="auto"/>
          <w:kern w:val="0"/>
          <w:szCs w:val="21"/>
          <w:highlight w:val="none"/>
        </w:rPr>
      </w:pPr>
      <w:r>
        <w:rPr>
          <w:rFonts w:hint="eastAsia" w:asciiTheme="minorEastAsia" w:hAnsiTheme="minorEastAsia" w:eastAsiaTheme="minorEastAsia"/>
          <w:color w:val="auto"/>
          <w:szCs w:val="21"/>
          <w:highlight w:val="none"/>
        </w:rPr>
        <w:t>（二）</w:t>
      </w:r>
      <w:r>
        <w:rPr>
          <w:rFonts w:hint="eastAsia" w:cs="宋体" w:asciiTheme="minorEastAsia" w:hAnsiTheme="minorEastAsia" w:eastAsiaTheme="minorEastAsia"/>
          <w:color w:val="auto"/>
          <w:kern w:val="0"/>
          <w:szCs w:val="21"/>
          <w:highlight w:val="none"/>
        </w:rPr>
        <w:t>申购和赎回的办理机构</w:t>
      </w:r>
    </w:p>
    <w:p w14:paraId="7A6D36F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本基金运作期间的募集机构包括直销机构（基金管理人）和/或基金管理人委托的代销机构。</w:t>
      </w:r>
    </w:p>
    <w:p w14:paraId="5AFEADD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基金投资者应当在募集机构办理基金销售业务的营业场所或按募集机构提供的其他方式办理基金份额的申购和赎回。基金管理人可根据情况变更或增减基金代销机构，并应当提前通知份额登记机构。</w:t>
      </w:r>
    </w:p>
    <w:p w14:paraId="3A00D94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（三）申购的出资方式</w:t>
      </w:r>
    </w:p>
    <w:p w14:paraId="6247565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本基金的申购以人民币货币资金形式交付，基金不接受现金方式申购。</w:t>
      </w:r>
    </w:p>
    <w:p w14:paraId="04768E8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在直销机构申购的投资者应将申购资金从在中国境内开立的自有银行账户划款至</w:t>
      </w:r>
      <w:r>
        <w:rPr>
          <w:rFonts w:hint="eastAsia" w:asciiTheme="minorEastAsia" w:hAnsiTheme="minorEastAsia" w:eastAsiaTheme="minorEastAsia"/>
          <w:color w:val="auto"/>
          <w:kern w:val="0"/>
          <w:szCs w:val="21"/>
          <w:highlight w:val="none"/>
        </w:rPr>
        <w:t>募集结算资金专用账户</w:t>
      </w:r>
      <w:r>
        <w:rPr>
          <w:rFonts w:hint="eastAsia" w:asciiTheme="minorEastAsia" w:hAnsiTheme="minorEastAsia" w:eastAsiaTheme="minorEastAsia"/>
          <w:color w:val="auto"/>
          <w:szCs w:val="21"/>
          <w:highlight w:val="none"/>
        </w:rPr>
        <w:t>，在代销机构申购的投资者按代销机构的规定缴付资金。</w:t>
      </w:r>
    </w:p>
    <w:p w14:paraId="656E7B9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（四）申购和赎回的方式、价格及程序</w:t>
      </w:r>
    </w:p>
    <w:p w14:paraId="03E304A4">
      <w:pPr>
        <w:spacing w:line="360" w:lineRule="auto"/>
        <w:ind w:firstLine="420" w:firstLineChars="200"/>
        <w:rPr>
          <w:rFonts w:ascii="宋体" w:hAnsi="宋体"/>
          <w:color w:val="auto"/>
          <w:szCs w:val="21"/>
          <w:highlight w:val="none"/>
        </w:rPr>
      </w:pPr>
      <w:r>
        <w:rPr>
          <w:rFonts w:ascii="宋体" w:hAnsi="宋体"/>
          <w:color w:val="auto"/>
          <w:szCs w:val="21"/>
          <w:highlight w:val="none"/>
        </w:rPr>
        <w:t>1、</w:t>
      </w:r>
      <w:r>
        <w:rPr>
          <w:rFonts w:hint="eastAsia" w:ascii="宋体" w:hAnsi="宋体"/>
          <w:color w:val="auto"/>
          <w:szCs w:val="21"/>
          <w:highlight w:val="none"/>
        </w:rPr>
        <w:t>本基金申购和赎回的价格</w:t>
      </w:r>
    </w:p>
    <w:p w14:paraId="74CF99CD">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宋体" w:hAnsi="宋体"/>
          <w:color w:val="auto"/>
          <w:szCs w:val="21"/>
          <w:highlight w:val="none"/>
        </w:rPr>
        <w:t>（1）申购价格</w:t>
      </w:r>
    </w:p>
    <w:p w14:paraId="25351BB5">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宋体" w:hAnsi="宋体"/>
          <w:color w:val="auto"/>
          <w:szCs w:val="21"/>
          <w:highlight w:val="none"/>
        </w:rPr>
        <w:t>若申购的某一类基金份额类别在当期开放日之前未成功确认过认购/申购申请，或申购时所对应的份额类别中的份额已经全部赎回，则该类基金份额的申购价格按基金投资者提交申购申请的开放日的整体基金份额净值为基准进行计算。</w:t>
      </w:r>
    </w:p>
    <w:p w14:paraId="04B27443">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宋体" w:hAnsi="宋体"/>
          <w:color w:val="auto"/>
          <w:szCs w:val="21"/>
          <w:highlight w:val="none"/>
        </w:rPr>
        <w:t>若申购的某一类基金份额类别在当期开放日之前已有对应份额存在于基金中，则该类基金份额的申购价格按当期开放日该类别基金份额净值计算。</w:t>
      </w:r>
    </w:p>
    <w:p w14:paraId="73528038">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宋体" w:hAnsi="宋体"/>
          <w:color w:val="auto"/>
          <w:szCs w:val="21"/>
          <w:highlight w:val="none"/>
        </w:rPr>
        <w:t>（2）赎回价格</w:t>
      </w:r>
    </w:p>
    <w:p w14:paraId="73E1445B">
      <w:pPr>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本基金某一类基金份额的赎回价格以当期开放日该类别基金份额净值为基准计算。</w:t>
      </w:r>
    </w:p>
    <w:p w14:paraId="1A8ED88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宋体" w:hAnsi="宋体" w:eastAsiaTheme="minorEastAsia"/>
          <w:color w:val="auto"/>
          <w:szCs w:val="21"/>
          <w:highlight w:val="none"/>
        </w:rPr>
        <w:t>私募基金投资者、私募基金管理人一致确认份额登记机构仅根据募集机构提交的申购和/或赎回申请中所载明的申请时间办理份额登记手续，对于募集机构提交的上述申请中所载明时间的准确性，私募基金托管人和份额登记机构不负有核实义务，且不承担任何责任。</w:t>
      </w:r>
    </w:p>
    <w:p w14:paraId="2EAD1C2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2、“未知价”原则，即基金的申购价格、赎回价格以开放日收市后计算的基金份额净值为基准进行计算。</w:t>
      </w:r>
    </w:p>
    <w:p w14:paraId="42EC41C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3、基金申购采用金额申请的方式，基金赎回采用份额申请的方式。</w:t>
      </w:r>
    </w:p>
    <w:p w14:paraId="1B32774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4、基金份额持有人赎回基金时，按先进先出的原则，即基金投资者认购、申购</w:t>
      </w:r>
      <w:r>
        <w:rPr>
          <w:rFonts w:asciiTheme="minorEastAsia" w:hAnsiTheme="minorEastAsia" w:eastAsiaTheme="minorEastAsia"/>
          <w:color w:val="auto"/>
          <w:szCs w:val="21"/>
          <w:highlight w:val="none"/>
        </w:rPr>
        <w:t>和红利再投资</w:t>
      </w:r>
      <w:r>
        <w:rPr>
          <w:rFonts w:hint="eastAsia" w:asciiTheme="minorEastAsia" w:hAnsiTheme="minorEastAsia" w:eastAsiaTheme="minorEastAsia"/>
          <w:color w:val="auto"/>
          <w:szCs w:val="21"/>
          <w:highlight w:val="none"/>
        </w:rPr>
        <w:t>所得份额的先后次序进行顺序赎回。</w:t>
      </w:r>
    </w:p>
    <w:p w14:paraId="60D26CE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w:t>
      </w:r>
      <w:r>
        <w:rPr>
          <w:rFonts w:asciiTheme="minorEastAsia" w:hAnsiTheme="minorEastAsia" w:eastAsiaTheme="minorEastAsia"/>
          <w:color w:val="auto"/>
          <w:szCs w:val="21"/>
          <w:highlight w:val="none"/>
        </w:rPr>
        <w:t>、基金投资者在提交申购申请时须按照</w:t>
      </w:r>
      <w:r>
        <w:rPr>
          <w:rFonts w:hint="eastAsia" w:asciiTheme="minorEastAsia" w:hAnsiTheme="minorEastAsia" w:eastAsiaTheme="minorEastAsia"/>
          <w:color w:val="auto"/>
          <w:szCs w:val="21"/>
          <w:highlight w:val="none"/>
        </w:rPr>
        <w:t>募集</w:t>
      </w:r>
      <w:r>
        <w:rPr>
          <w:rFonts w:asciiTheme="minorEastAsia" w:hAnsiTheme="minorEastAsia" w:eastAsiaTheme="minorEastAsia"/>
          <w:color w:val="auto"/>
          <w:szCs w:val="21"/>
          <w:highlight w:val="none"/>
        </w:rPr>
        <w:t>机构规定的方式全额支付申购资金，在提交赎回申请时须持有足够的基金份额余额，否则所提交的申购、赎回申请无效而不予确认。</w:t>
      </w:r>
    </w:p>
    <w:p w14:paraId="69D6E6E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（五）申购和赎回申请的确认</w:t>
      </w:r>
    </w:p>
    <w:p w14:paraId="2C85AAD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在正常情况下，基金管理人在</w:t>
      </w:r>
      <w:r>
        <w:rPr>
          <w:rFonts w:asciiTheme="minorEastAsia" w:hAnsiTheme="minorEastAsia" w:eastAsiaTheme="minorEastAsia"/>
          <w:color w:val="auto"/>
          <w:szCs w:val="21"/>
          <w:highlight w:val="none"/>
        </w:rPr>
        <w:t>T+2</w:t>
      </w:r>
      <w:r>
        <w:rPr>
          <w:rFonts w:hint="eastAsia" w:asciiTheme="minorEastAsia" w:hAnsiTheme="minorEastAsia" w:eastAsiaTheme="minorEastAsia"/>
          <w:color w:val="auto"/>
          <w:szCs w:val="21"/>
          <w:highlight w:val="none"/>
        </w:rPr>
        <w:t>日内对</w:t>
      </w:r>
      <w:r>
        <w:rPr>
          <w:rFonts w:asciiTheme="minorEastAsia" w:hAnsiTheme="minorEastAsia" w:eastAsiaTheme="minorEastAsia"/>
          <w:color w:val="auto"/>
          <w:szCs w:val="21"/>
          <w:highlight w:val="none"/>
        </w:rPr>
        <w:t>T日申购和赎回申请的有效性进行确认</w:t>
      </w:r>
      <w:r>
        <w:rPr>
          <w:rFonts w:hint="eastAsia" w:asciiTheme="minorEastAsia" w:hAnsiTheme="minorEastAsia" w:eastAsiaTheme="minorEastAsia"/>
          <w:color w:val="auto"/>
          <w:szCs w:val="21"/>
          <w:highlight w:val="none"/>
        </w:rPr>
        <w:t>。若申购不成功，则申购款项退还给投资者。</w:t>
      </w:r>
    </w:p>
    <w:p w14:paraId="565F27D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募集机构对申购、赎回的受理并不代表该申请一定成功，而仅代表募集机构确实接收到申请。申购、赎回的确认以份额登记机构的确认结果为准。</w:t>
      </w:r>
    </w:p>
    <w:p w14:paraId="0376903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私募基金管理人在可接受的人数限制内，按照“时间优先、金额优先”的原则确认有效申购申请。超出基金投资者人数规模上限的申购申请为无效申请。</w:t>
      </w:r>
    </w:p>
    <w:p w14:paraId="47AC251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（六）申购和赎回的金额限制</w:t>
      </w:r>
    </w:p>
    <w:p w14:paraId="102C409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基金投资者首次</w:t>
      </w:r>
      <w:r>
        <w:rPr>
          <w:rFonts w:asciiTheme="minorEastAsia" w:hAnsiTheme="minorEastAsia" w:eastAsiaTheme="minorEastAsia"/>
          <w:color w:val="auto"/>
          <w:szCs w:val="21"/>
          <w:highlight w:val="none"/>
        </w:rPr>
        <w:t>净</w:t>
      </w:r>
      <w:r>
        <w:rPr>
          <w:rFonts w:hint="eastAsia" w:asciiTheme="minorEastAsia" w:hAnsiTheme="minorEastAsia" w:eastAsiaTheme="minorEastAsia"/>
          <w:color w:val="auto"/>
          <w:szCs w:val="21"/>
          <w:highlight w:val="none"/>
        </w:rPr>
        <w:t>申购金额应不低于</w:t>
      </w:r>
      <w:r>
        <w:rPr>
          <w:rFonts w:asciiTheme="minorEastAsia" w:hAnsiTheme="minorEastAsia" w:eastAsiaTheme="minorEastAsia"/>
          <w:color w:val="auto"/>
          <w:szCs w:val="21"/>
          <w:highlight w:val="none"/>
        </w:rPr>
        <w:t>100万元</w:t>
      </w:r>
      <w:r>
        <w:rPr>
          <w:rFonts w:hint="eastAsia" w:asciiTheme="minorEastAsia" w:hAnsiTheme="minorEastAsia" w:eastAsiaTheme="minorEastAsia"/>
          <w:color w:val="auto"/>
          <w:szCs w:val="21"/>
          <w:highlight w:val="none"/>
        </w:rPr>
        <w:t>人民币（不含申购费，且本合同“募集对象”中的“特殊合格投资者”不受此限制），对于已持有私募基金份额的投资者在开放日内追加申购的，追加金额应</w:t>
      </w:r>
      <w:r>
        <w:rPr>
          <w:rFonts w:hint="eastAsia" w:ascii="宋体" w:hAnsi="宋体"/>
          <w:color w:val="auto"/>
          <w:szCs w:val="21"/>
          <w:highlight w:val="none"/>
        </w:rPr>
        <w:t>不低于1</w:t>
      </w:r>
      <w:r>
        <w:rPr>
          <w:rFonts w:ascii="宋体" w:hAnsi="宋体"/>
          <w:color w:val="auto"/>
          <w:szCs w:val="21"/>
          <w:highlight w:val="none"/>
        </w:rPr>
        <w:t>万元</w:t>
      </w:r>
      <w:r>
        <w:rPr>
          <w:rFonts w:hint="eastAsia" w:ascii="宋体" w:hAnsi="宋体"/>
          <w:color w:val="auto"/>
          <w:szCs w:val="21"/>
          <w:highlight w:val="none"/>
        </w:rPr>
        <w:t>人民币</w:t>
      </w:r>
      <w:r>
        <w:rPr>
          <w:rFonts w:hint="eastAsia" w:asciiTheme="minorEastAsia" w:hAnsiTheme="minorEastAsia" w:eastAsiaTheme="minorEastAsia"/>
          <w:color w:val="auto"/>
          <w:szCs w:val="21"/>
          <w:highlight w:val="none"/>
        </w:rPr>
        <w:t>（不含申购费</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w:t>
      </w:r>
    </w:p>
    <w:p w14:paraId="669D5DB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基金份额持有人持有的</w:t>
      </w:r>
      <w:r>
        <w:rPr>
          <w:rFonts w:asciiTheme="minorEastAsia" w:hAnsiTheme="minorEastAsia" w:eastAsiaTheme="minorEastAsia"/>
          <w:color w:val="auto"/>
          <w:szCs w:val="21"/>
          <w:highlight w:val="none"/>
        </w:rPr>
        <w:t>基金资产净值</w:t>
      </w:r>
      <w:r>
        <w:rPr>
          <w:rFonts w:hint="eastAsia" w:asciiTheme="minorEastAsia" w:hAnsiTheme="minorEastAsia" w:eastAsiaTheme="minorEastAsia"/>
          <w:color w:val="auto"/>
          <w:szCs w:val="21"/>
          <w:highlight w:val="none"/>
        </w:rPr>
        <w:t>高于【</w:t>
      </w:r>
      <w:r>
        <w:rPr>
          <w:rFonts w:asciiTheme="minorEastAsia" w:hAnsiTheme="minorEastAsia" w:eastAsiaTheme="minorEastAsia"/>
          <w:color w:val="auto"/>
          <w:szCs w:val="21"/>
          <w:highlight w:val="none"/>
        </w:rPr>
        <w:t>100</w:t>
      </w:r>
      <w:r>
        <w:rPr>
          <w:rFonts w:hint="eastAsia" w:asciiTheme="minorEastAsia" w:hAnsiTheme="minorEastAsia" w:eastAsiaTheme="minorEastAsia"/>
          <w:color w:val="auto"/>
          <w:szCs w:val="21"/>
          <w:highlight w:val="none"/>
        </w:rPr>
        <w:t>】万元人民币时，基金份额持有人可对份额全部赎回或者部分赎回；</w:t>
      </w:r>
      <w:r>
        <w:rPr>
          <w:rFonts w:asciiTheme="minorEastAsia" w:hAnsiTheme="minorEastAsia" w:eastAsiaTheme="minorEastAsia"/>
          <w:color w:val="auto"/>
          <w:szCs w:val="21"/>
          <w:highlight w:val="none"/>
        </w:rPr>
        <w:t>选择部分赎回基金份额的，</w:t>
      </w:r>
      <w:r>
        <w:rPr>
          <w:rFonts w:hint="eastAsia" w:asciiTheme="minorEastAsia" w:hAnsiTheme="minorEastAsia" w:eastAsiaTheme="minorEastAsia"/>
          <w:color w:val="auto"/>
          <w:szCs w:val="21"/>
          <w:highlight w:val="none"/>
        </w:rPr>
        <w:t>赎回后持有的</w:t>
      </w:r>
      <w:r>
        <w:rPr>
          <w:rFonts w:asciiTheme="minorEastAsia" w:hAnsiTheme="minorEastAsia" w:eastAsiaTheme="minorEastAsia"/>
          <w:color w:val="auto"/>
          <w:szCs w:val="21"/>
          <w:highlight w:val="none"/>
        </w:rPr>
        <w:t>基金资产净值</w:t>
      </w:r>
      <w:r>
        <w:rPr>
          <w:rFonts w:hint="eastAsia" w:asciiTheme="minorEastAsia" w:hAnsiTheme="minorEastAsia" w:eastAsiaTheme="minorEastAsia"/>
          <w:color w:val="auto"/>
          <w:szCs w:val="21"/>
          <w:highlight w:val="none"/>
        </w:rPr>
        <w:t>不得低于【</w:t>
      </w:r>
      <w:r>
        <w:rPr>
          <w:rFonts w:asciiTheme="minorEastAsia" w:hAnsiTheme="minorEastAsia" w:eastAsiaTheme="minorEastAsia"/>
          <w:color w:val="auto"/>
          <w:szCs w:val="21"/>
          <w:highlight w:val="none"/>
        </w:rPr>
        <w:t>100</w:t>
      </w:r>
      <w:r>
        <w:rPr>
          <w:rFonts w:hint="eastAsia" w:asciiTheme="minorEastAsia" w:hAnsiTheme="minorEastAsia" w:eastAsiaTheme="minorEastAsia"/>
          <w:color w:val="auto"/>
          <w:szCs w:val="21"/>
          <w:highlight w:val="none"/>
        </w:rPr>
        <w:t>】万元人民币。</w:t>
      </w:r>
    </w:p>
    <w:p w14:paraId="4F756E9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当</w:t>
      </w:r>
      <w:r>
        <w:rPr>
          <w:rFonts w:hint="eastAsia" w:asciiTheme="minorEastAsia" w:hAnsiTheme="minorEastAsia" w:eastAsiaTheme="minorEastAsia"/>
          <w:color w:val="auto"/>
          <w:szCs w:val="21"/>
          <w:highlight w:val="none"/>
        </w:rPr>
        <w:t>私募基金管理人确认</w:t>
      </w:r>
      <w:r>
        <w:rPr>
          <w:rFonts w:asciiTheme="minorEastAsia" w:hAnsiTheme="minorEastAsia" w:eastAsiaTheme="minorEastAsia"/>
          <w:color w:val="auto"/>
          <w:szCs w:val="21"/>
          <w:highlight w:val="none"/>
        </w:rPr>
        <w:t>基金</w:t>
      </w:r>
      <w:r>
        <w:rPr>
          <w:rFonts w:hint="eastAsia" w:asciiTheme="minorEastAsia" w:hAnsiTheme="minorEastAsia" w:eastAsiaTheme="minorEastAsia"/>
          <w:color w:val="auto"/>
          <w:szCs w:val="21"/>
          <w:highlight w:val="none"/>
        </w:rPr>
        <w:t>份额持有人</w:t>
      </w:r>
      <w:r>
        <w:rPr>
          <w:rFonts w:asciiTheme="minorEastAsia" w:hAnsiTheme="minorEastAsia" w:eastAsiaTheme="minorEastAsia"/>
          <w:color w:val="auto"/>
          <w:szCs w:val="21"/>
          <w:highlight w:val="none"/>
        </w:rPr>
        <w:t>申请部分赎回基金份额将致使部分赎回申请确认后其</w:t>
      </w:r>
      <w:r>
        <w:rPr>
          <w:rFonts w:hint="eastAsia" w:asciiTheme="minorEastAsia" w:hAnsiTheme="minorEastAsia" w:eastAsiaTheme="minorEastAsia"/>
          <w:color w:val="auto"/>
          <w:szCs w:val="21"/>
          <w:highlight w:val="none"/>
        </w:rPr>
        <w:t>所</w:t>
      </w:r>
      <w:r>
        <w:rPr>
          <w:rFonts w:asciiTheme="minorEastAsia" w:hAnsiTheme="minorEastAsia" w:eastAsiaTheme="minorEastAsia"/>
          <w:color w:val="auto"/>
          <w:szCs w:val="21"/>
          <w:highlight w:val="none"/>
        </w:rPr>
        <w:t>持有的基金资产净值低于</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100</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万元</w:t>
      </w:r>
      <w:r>
        <w:rPr>
          <w:rFonts w:hint="eastAsia" w:asciiTheme="minorEastAsia" w:hAnsiTheme="minorEastAsia" w:eastAsiaTheme="minorEastAsia"/>
          <w:color w:val="auto"/>
          <w:szCs w:val="21"/>
          <w:highlight w:val="none"/>
        </w:rPr>
        <w:t>人民币</w:t>
      </w:r>
      <w:r>
        <w:rPr>
          <w:rFonts w:asciiTheme="minorEastAsia" w:hAnsiTheme="minorEastAsia" w:eastAsiaTheme="minorEastAsia"/>
          <w:color w:val="auto"/>
          <w:szCs w:val="21"/>
          <w:highlight w:val="none"/>
        </w:rPr>
        <w:t>的</w:t>
      </w:r>
      <w:r>
        <w:rPr>
          <w:rFonts w:hint="eastAsia" w:asciiTheme="minorEastAsia" w:hAnsiTheme="minorEastAsia" w:eastAsiaTheme="minorEastAsia"/>
          <w:color w:val="auto"/>
          <w:szCs w:val="21"/>
          <w:highlight w:val="none"/>
        </w:rPr>
        <w:t>，私募基金管理人应当将该基金份额持有人所持剩余份额做全部赎回处理</w:t>
      </w:r>
      <w:r>
        <w:rPr>
          <w:rStyle w:val="11"/>
          <w:rFonts w:hint="eastAsia" w:asciiTheme="minorEastAsia" w:hAnsiTheme="minorEastAsia" w:eastAsiaTheme="minorEastAsia"/>
          <w:color w:val="auto"/>
          <w:highlight w:val="none"/>
        </w:rPr>
        <w:t>，该等赎回</w:t>
      </w:r>
      <w:r>
        <w:rPr>
          <w:rFonts w:hint="eastAsia" w:asciiTheme="minorEastAsia" w:hAnsiTheme="minorEastAsia" w:eastAsiaTheme="minorEastAsia"/>
          <w:bCs/>
          <w:color w:val="auto"/>
          <w:szCs w:val="21"/>
          <w:highlight w:val="none"/>
        </w:rPr>
        <w:t>不受本合同关于基金赎回的期限限制</w:t>
      </w:r>
      <w:r>
        <w:rPr>
          <w:rFonts w:hint="eastAsia" w:asciiTheme="minorEastAsia" w:hAnsiTheme="minorEastAsia" w:eastAsiaTheme="minorEastAsia"/>
          <w:color w:val="auto"/>
          <w:szCs w:val="21"/>
          <w:highlight w:val="none"/>
        </w:rPr>
        <w:t>。</w:t>
      </w:r>
    </w:p>
    <w:p w14:paraId="2D8FF88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基金份额持有人申请赎回基金份额时，持有</w:t>
      </w:r>
      <w:r>
        <w:rPr>
          <w:rFonts w:asciiTheme="minorEastAsia" w:hAnsiTheme="minorEastAsia" w:eastAsiaTheme="minorEastAsia"/>
          <w:color w:val="auto"/>
          <w:szCs w:val="21"/>
          <w:highlight w:val="none"/>
        </w:rPr>
        <w:t>基金资产净值</w:t>
      </w:r>
      <w:r>
        <w:rPr>
          <w:rFonts w:hint="eastAsia" w:asciiTheme="minorEastAsia" w:hAnsiTheme="minorEastAsia" w:eastAsiaTheme="minorEastAsia"/>
          <w:color w:val="auto"/>
          <w:szCs w:val="21"/>
          <w:highlight w:val="none"/>
        </w:rPr>
        <w:t>低于【</w:t>
      </w:r>
      <w:r>
        <w:rPr>
          <w:rFonts w:asciiTheme="minorEastAsia" w:hAnsiTheme="minorEastAsia" w:eastAsiaTheme="minorEastAsia"/>
          <w:color w:val="auto"/>
          <w:szCs w:val="21"/>
          <w:highlight w:val="none"/>
        </w:rPr>
        <w:t>100</w:t>
      </w:r>
      <w:r>
        <w:rPr>
          <w:rFonts w:hint="eastAsia" w:asciiTheme="minorEastAsia" w:hAnsiTheme="minorEastAsia" w:eastAsiaTheme="minorEastAsia"/>
          <w:color w:val="auto"/>
          <w:szCs w:val="21"/>
          <w:highlight w:val="none"/>
        </w:rPr>
        <w:t>】万元人民币的</w:t>
      </w:r>
      <w:r>
        <w:rPr>
          <w:rFonts w:asciiTheme="minorEastAsia" w:hAnsiTheme="minorEastAsia" w:eastAsiaTheme="minorEastAsia"/>
          <w:color w:val="auto"/>
          <w:szCs w:val="21"/>
          <w:highlight w:val="none"/>
        </w:rPr>
        <w:t>，持有人只能</w:t>
      </w:r>
      <w:r>
        <w:rPr>
          <w:rFonts w:hint="eastAsia" w:asciiTheme="minorEastAsia" w:hAnsiTheme="minorEastAsia" w:eastAsiaTheme="minorEastAsia"/>
          <w:color w:val="auto"/>
          <w:szCs w:val="21"/>
          <w:highlight w:val="none"/>
        </w:rPr>
        <w:t>一次性</w:t>
      </w:r>
      <w:r>
        <w:rPr>
          <w:rFonts w:asciiTheme="minorEastAsia" w:hAnsiTheme="minorEastAsia" w:eastAsiaTheme="minorEastAsia"/>
          <w:color w:val="auto"/>
          <w:szCs w:val="21"/>
          <w:highlight w:val="none"/>
        </w:rPr>
        <w:t>全部赎回持有份额</w:t>
      </w:r>
      <w:r>
        <w:rPr>
          <w:rFonts w:hint="eastAsia" w:asciiTheme="minorEastAsia" w:hAnsiTheme="minorEastAsia" w:eastAsiaTheme="minorEastAsia"/>
          <w:color w:val="auto"/>
          <w:szCs w:val="21"/>
          <w:highlight w:val="none"/>
        </w:rPr>
        <w:t>，基金份额持有人没有一次性全部赎回持有份额的，私募基金管理人应当将该基金份额持有人所持份额做全部赎回处理</w:t>
      </w:r>
      <w:r>
        <w:rPr>
          <w:rFonts w:asciiTheme="minorEastAsia" w:hAnsiTheme="minorEastAsia" w:eastAsiaTheme="minorEastAsia"/>
          <w:color w:val="auto"/>
          <w:szCs w:val="21"/>
          <w:highlight w:val="none"/>
        </w:rPr>
        <w:t>。</w:t>
      </w:r>
    </w:p>
    <w:p w14:paraId="0203461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本合同“募集对象”中的“特殊合格投资者”关于上述赎回金额限制按照相关</w:t>
      </w:r>
      <w:r>
        <w:rPr>
          <w:rFonts w:hint="eastAsia" w:ascii="宋体" w:hAnsi="宋体"/>
          <w:color w:val="auto"/>
          <w:szCs w:val="21"/>
          <w:highlight w:val="none"/>
        </w:rPr>
        <w:t>法律法规规定、部门规章、行业自律指引规定等</w:t>
      </w:r>
      <w:r>
        <w:rPr>
          <w:rFonts w:hint="eastAsia" w:asciiTheme="minorEastAsia" w:hAnsiTheme="minorEastAsia" w:eastAsiaTheme="minorEastAsia"/>
          <w:color w:val="auto"/>
          <w:szCs w:val="21"/>
          <w:highlight w:val="none"/>
        </w:rPr>
        <w:t>执行。</w:t>
      </w:r>
    </w:p>
    <w:p w14:paraId="745E281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（七）申购和赎回的费用</w:t>
      </w:r>
    </w:p>
    <w:p w14:paraId="5379656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1、申购费用</w:t>
      </w:r>
    </w:p>
    <w:p w14:paraId="5C5CD1D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投资者在本基金存续期申购本基金按照以下公式支付申购费：</w:t>
      </w:r>
    </w:p>
    <w:p w14:paraId="4D3EE48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1）净申购金额=申购金额/（1＋申购费率）；</w:t>
      </w:r>
    </w:p>
    <w:p w14:paraId="18B3A89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2）申购费用=申购金额-净申购金额；</w:t>
      </w:r>
    </w:p>
    <w:p w14:paraId="3007E76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本基金的申购费率详见“基金的基本情况”章节之“基金的份额分类”。</w:t>
      </w:r>
    </w:p>
    <w:p w14:paraId="40FF631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经由直销机构办理申购的，本基金的申购费由</w:t>
      </w:r>
      <w:r>
        <w:rPr>
          <w:rFonts w:asciiTheme="minorEastAsia" w:hAnsiTheme="minorEastAsia" w:eastAsiaTheme="minorEastAsia"/>
          <w:color w:val="auto"/>
          <w:szCs w:val="21"/>
          <w:highlight w:val="none"/>
        </w:rPr>
        <w:t>基金管理人</w:t>
      </w:r>
      <w:r>
        <w:rPr>
          <w:rFonts w:hint="eastAsia" w:asciiTheme="minorEastAsia" w:hAnsiTheme="minorEastAsia" w:eastAsiaTheme="minorEastAsia"/>
          <w:color w:val="auto"/>
          <w:szCs w:val="21"/>
          <w:highlight w:val="none"/>
        </w:rPr>
        <w:t>支配使用</w:t>
      </w:r>
      <w:r>
        <w:rPr>
          <w:rFonts w:asciiTheme="minorEastAsia" w:hAnsiTheme="minorEastAsia" w:eastAsiaTheme="minorEastAsia"/>
          <w:color w:val="auto"/>
          <w:szCs w:val="21"/>
          <w:highlight w:val="none"/>
        </w:rPr>
        <w:t>，不列入基金财产</w:t>
      </w:r>
      <w:r>
        <w:rPr>
          <w:rFonts w:hint="eastAsia" w:asciiTheme="minorEastAsia" w:hAnsiTheme="minorEastAsia" w:eastAsiaTheme="minorEastAsia"/>
          <w:color w:val="auto"/>
          <w:szCs w:val="21"/>
          <w:highlight w:val="none"/>
        </w:rPr>
        <w:t>；经由基金代销机构（如有）办理申购的，本基金的申购费由基金代销机构支配，不列入基金财产，具体以基金代销协议的约定为准</w:t>
      </w:r>
      <w:r>
        <w:rPr>
          <w:rFonts w:asciiTheme="minorEastAsia" w:hAnsiTheme="minorEastAsia" w:eastAsiaTheme="minorEastAsia"/>
          <w:color w:val="auto"/>
          <w:szCs w:val="21"/>
          <w:highlight w:val="none"/>
        </w:rPr>
        <w:t>。</w:t>
      </w:r>
    </w:p>
    <w:p w14:paraId="281E15F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2、赎回费用</w:t>
      </w:r>
    </w:p>
    <w:p w14:paraId="7B61987A">
      <w:pPr>
        <w:pStyle w:val="17"/>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（1）本基金的赎回费率详见“基金的基本情况”章节之“基金的份额分类”。</w:t>
      </w:r>
    </w:p>
    <w:p w14:paraId="0E065163">
      <w:pPr>
        <w:pStyle w:val="17"/>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（2）计算方法如下：</w:t>
      </w:r>
    </w:p>
    <w:p w14:paraId="26B865D0">
      <w:pPr>
        <w:adjustRightInd w:val="0"/>
        <w:snapToGrid w:val="0"/>
        <w:spacing w:before="30" w:after="30" w:line="360" w:lineRule="auto"/>
        <w:ind w:firstLine="420" w:firstLineChars="200"/>
        <w:rPr>
          <w:rStyle w:val="18"/>
          <w:rFonts w:asciiTheme="minorEastAsia" w:hAnsiTheme="minorEastAsia" w:eastAsiaTheme="minorEastAsia"/>
          <w:color w:val="auto"/>
          <w:sz w:val="21"/>
          <w:szCs w:val="21"/>
          <w:highlight w:val="none"/>
        </w:rPr>
      </w:pPr>
      <w:r>
        <w:rPr>
          <w:rFonts w:hint="eastAsia" w:ascii="宋体" w:hAnsi="宋体"/>
          <w:color w:val="auto"/>
          <w:szCs w:val="21"/>
          <w:highlight w:val="none"/>
        </w:rPr>
        <w:t>赎回费＝（赎回份额×赎回价格</w:t>
      </w:r>
      <w:r>
        <w:rPr>
          <w:rFonts w:ascii="宋体" w:hAnsi="宋体"/>
          <w:color w:val="auto"/>
          <w:szCs w:val="21"/>
          <w:highlight w:val="none"/>
        </w:rPr>
        <w:t>-</w:t>
      </w:r>
      <w:r>
        <w:rPr>
          <w:rFonts w:hint="eastAsia" w:ascii="宋体" w:hAnsi="宋体"/>
          <w:color w:val="auto"/>
          <w:szCs w:val="21"/>
          <w:highlight w:val="none"/>
        </w:rPr>
        <w:t>应计提业绩报酬（如有））×赎回费率</w:t>
      </w:r>
    </w:p>
    <w:p w14:paraId="57B6D06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（八）申购份额与赎回金额的计算方式</w:t>
      </w:r>
    </w:p>
    <w:p w14:paraId="55B8AD8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1、申购份额计算</w:t>
      </w:r>
    </w:p>
    <w:p w14:paraId="5145010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申购份额</w:t>
      </w:r>
      <w:r>
        <w:rPr>
          <w:rFonts w:asciiTheme="minorEastAsia" w:hAnsiTheme="minorEastAsia" w:eastAsiaTheme="minorEastAsia"/>
          <w:color w:val="auto"/>
          <w:szCs w:val="21"/>
          <w:highlight w:val="none"/>
        </w:rPr>
        <w:t>=净申购金额/申购价格。</w:t>
      </w:r>
    </w:p>
    <w:p w14:paraId="542F006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申购费用</w:t>
      </w:r>
      <w:r>
        <w:rPr>
          <w:rFonts w:asciiTheme="minorEastAsia" w:hAnsiTheme="minorEastAsia" w:eastAsiaTheme="minorEastAsia"/>
          <w:color w:val="auto"/>
          <w:szCs w:val="21"/>
          <w:highlight w:val="none"/>
        </w:rPr>
        <w:t>=申购金额×申购费率/</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1+申购费率</w:t>
      </w:r>
      <w:r>
        <w:rPr>
          <w:rFonts w:hint="eastAsia" w:asciiTheme="minorEastAsia" w:hAnsiTheme="minorEastAsia" w:eastAsiaTheme="minorEastAsia"/>
          <w:color w:val="auto"/>
          <w:szCs w:val="21"/>
          <w:highlight w:val="none"/>
        </w:rPr>
        <w:t>）。</w:t>
      </w:r>
    </w:p>
    <w:p w14:paraId="1CFD849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净申购金额</w:t>
      </w:r>
      <w:r>
        <w:rPr>
          <w:rFonts w:asciiTheme="minorEastAsia" w:hAnsiTheme="minorEastAsia" w:eastAsiaTheme="minorEastAsia"/>
          <w:color w:val="auto"/>
          <w:szCs w:val="21"/>
          <w:highlight w:val="none"/>
        </w:rPr>
        <w:t>=申购金额/</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1+申购费率</w:t>
      </w:r>
      <w:r>
        <w:rPr>
          <w:rFonts w:hint="eastAsia" w:asciiTheme="minorEastAsia" w:hAnsiTheme="minorEastAsia" w:eastAsiaTheme="minorEastAsia"/>
          <w:color w:val="auto"/>
          <w:szCs w:val="21"/>
          <w:highlight w:val="none"/>
        </w:rPr>
        <w:t>）。</w:t>
      </w:r>
    </w:p>
    <w:p w14:paraId="57B7754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申购价格为申购申请所对应开放日基金份额净值。</w:t>
      </w:r>
    </w:p>
    <w:p w14:paraId="0C01D37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申购份额保留到小数点后2位，小数点后第3位四舍五入，由此产生的收益和损失计入基金财产。</w:t>
      </w:r>
    </w:p>
    <w:p w14:paraId="0927D22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2、赎回金额计算</w:t>
      </w:r>
    </w:p>
    <w:p w14:paraId="0E7873A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赎回金额</w:t>
      </w:r>
      <w:r>
        <w:rPr>
          <w:rFonts w:asciiTheme="minorEastAsia" w:hAnsiTheme="minorEastAsia" w:eastAsiaTheme="minorEastAsia"/>
          <w:color w:val="auto"/>
          <w:szCs w:val="21"/>
          <w:highlight w:val="none"/>
        </w:rPr>
        <w:t>=赎回份数×赎回价格-</w:t>
      </w:r>
      <w:r>
        <w:rPr>
          <w:rFonts w:hint="eastAsia" w:asciiTheme="minorEastAsia" w:hAnsiTheme="minorEastAsia" w:eastAsiaTheme="minorEastAsia"/>
          <w:color w:val="auto"/>
          <w:szCs w:val="21"/>
          <w:highlight w:val="none"/>
        </w:rPr>
        <w:t>赎回费用</w:t>
      </w:r>
      <w:bookmarkStart w:id="25" w:name="OLE_LINK32"/>
      <w:bookmarkStart w:id="26" w:name="OLE_LINK31"/>
      <w:r>
        <w:rPr>
          <w:rFonts w:hint="eastAsia" w:asciiTheme="minorEastAsia" w:hAnsiTheme="minorEastAsia" w:eastAsiaTheme="minorEastAsia"/>
          <w:color w:val="auto"/>
          <w:szCs w:val="21"/>
          <w:highlight w:val="none"/>
        </w:rPr>
        <w:t>（如有）</w:t>
      </w:r>
      <w:bookmarkEnd w:id="25"/>
      <w:bookmarkEnd w:id="26"/>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应计提</w:t>
      </w:r>
      <w:r>
        <w:rPr>
          <w:rFonts w:asciiTheme="minorEastAsia" w:hAnsiTheme="minorEastAsia" w:eastAsiaTheme="minorEastAsia"/>
          <w:color w:val="auto"/>
          <w:szCs w:val="21"/>
          <w:highlight w:val="none"/>
        </w:rPr>
        <w:t>业绩报酬</w:t>
      </w:r>
      <w:r>
        <w:rPr>
          <w:rFonts w:hint="eastAsia" w:asciiTheme="minorEastAsia" w:hAnsiTheme="minorEastAsia" w:eastAsiaTheme="minorEastAsia"/>
          <w:color w:val="auto"/>
          <w:szCs w:val="21"/>
          <w:highlight w:val="none"/>
        </w:rPr>
        <w:t>（如有）</w:t>
      </w:r>
    </w:p>
    <w:p w14:paraId="5966EFF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赎回费用=</w:t>
      </w:r>
      <w:r>
        <w:rPr>
          <w:rFonts w:hint="eastAsia" w:ascii="宋体" w:hAnsi="宋体"/>
          <w:color w:val="auto"/>
          <w:szCs w:val="21"/>
          <w:highlight w:val="none"/>
        </w:rPr>
        <w:t>（赎回份额×赎回价格-应计提业绩报酬（如有））×赎回费率</w:t>
      </w:r>
      <w:r>
        <w:rPr>
          <w:rFonts w:hint="eastAsia" w:asciiTheme="minorEastAsia" w:hAnsiTheme="minorEastAsia" w:eastAsiaTheme="minorEastAsia"/>
          <w:color w:val="auto"/>
          <w:szCs w:val="21"/>
          <w:highlight w:val="none"/>
        </w:rPr>
        <w:t>。</w:t>
      </w:r>
    </w:p>
    <w:p w14:paraId="770FD83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赎回价格为赎回申请所对应开放日基金份额净值。</w:t>
      </w:r>
    </w:p>
    <w:p w14:paraId="2BF50E7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赎回金额保留到小数点后2位，小数点后第3位四舍五入，由此产生的收益和损失计入基金财产。</w:t>
      </w:r>
    </w:p>
    <w:p w14:paraId="2CE904D3">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（九）拒绝或暂停申购、停止申购、暂停赎回的情形及处理</w:t>
      </w:r>
    </w:p>
    <w:p w14:paraId="0896A825">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、在如下情形下，基金管理人可以拒绝接受基金投资者的申购申请：</w:t>
      </w:r>
    </w:p>
    <w:p w14:paraId="0A88B370">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（1）根据市场情况，基金管理人无法找到合适的投资品种，或其他可能对基金业绩产生负面影响，从而损害现有基金份额持有人的利益的情形；</w:t>
      </w:r>
    </w:p>
    <w:p w14:paraId="547C4040">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（2）因基金持有的某个或某些证券进行权益分派等原因，使基金管理人认为短期内接受申购可能会影响或损害现有基金份额持有人利益的情形；</w:t>
      </w:r>
    </w:p>
    <w:p w14:paraId="5FD597C2">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（3）基金管理人认为接受某笔或某些申购申请可能会影响或损害其他基金份额持有人利益的情形；</w:t>
      </w:r>
    </w:p>
    <w:p w14:paraId="26D16F0F">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（4）本基金的基金份额持有人人数达到本合同约定的人数上限；</w:t>
      </w:r>
    </w:p>
    <w:p w14:paraId="266D9210">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5</w:t>
      </w:r>
      <w:r>
        <w:rPr>
          <w:rFonts w:hint="eastAsia" w:asciiTheme="minorEastAsia" w:hAnsiTheme="minorEastAsia" w:eastAsiaTheme="minorEastAsia"/>
          <w:color w:val="auto"/>
          <w:szCs w:val="21"/>
          <w:highlight w:val="none"/>
        </w:rPr>
        <w:t>）法律法规规定或经中国证监会认定或本合同约定的其他情形。</w:t>
      </w:r>
    </w:p>
    <w:p w14:paraId="127046BA">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基金管理人决定拒绝接受某些基金投资者的申购申请时，申购款项将退回基金投资者账户。</w:t>
      </w:r>
    </w:p>
    <w:p w14:paraId="5BC7AC4F">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、在如下情形下，基金管理人可以暂停基金投资者的申购：</w:t>
      </w:r>
    </w:p>
    <w:p w14:paraId="4C6220C9">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）因不可抗力导致无法受理基金投资者的申购申请的情形；</w:t>
      </w:r>
    </w:p>
    <w:p w14:paraId="45F29A9C">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）证券交易场所交易时间临时停市，导致基金管理人无法计算当日基金资产净值的情形；</w:t>
      </w:r>
    </w:p>
    <w:p w14:paraId="20FA895E">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）本基金的证券/期货经纪商没有或未及时发送交易清算数据或对账数据、发送的交易清算数据或对账数据不完整或有误，导致无法或未能及时计算当日基金资产净值的情形；</w:t>
      </w:r>
    </w:p>
    <w:p w14:paraId="667A3330">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（4）对于没有或未及时获取场外交易数据或场外行情数据、场外交易数据或场外行情数据不完整或有误，导致无法或未能及时计算当日基金资产净值的情形；</w:t>
      </w:r>
    </w:p>
    <w:p w14:paraId="1CE8AB00">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（5）发生本合同规定的暂停基金资产估值的情形；</w:t>
      </w:r>
    </w:p>
    <w:p w14:paraId="6FAC7FCD">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（6）法律法规规定或经中国证监会认定的其他情形。</w:t>
      </w:r>
    </w:p>
    <w:p w14:paraId="62C904C3">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基金管理人决定暂停接受全部或部分申购申请时，应当以约定的形式告知基金投资者。在暂停申购的情形消除时，基金管理人应及时恢复申购业务的办理并以约定的形式告知基金投资者。</w:t>
      </w:r>
    </w:p>
    <w:p w14:paraId="6BC4BD74">
      <w:pPr>
        <w:numPr>
          <w:ilvl w:val="0"/>
          <w:numId w:val="3"/>
        </w:num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基金上一年度日均基金资产净值低于500万元，或者基金资产净值连续60个交易日低于500万元的</w:t>
      </w:r>
      <w:r>
        <w:rPr>
          <w:rFonts w:hint="eastAsia"/>
          <w:color w:val="auto"/>
          <w:highlight w:val="none"/>
        </w:rPr>
        <w:t>，</w:t>
      </w:r>
      <w:r>
        <w:rPr>
          <w:rFonts w:hint="eastAsia" w:asciiTheme="minorEastAsia" w:hAnsiTheme="minorEastAsia" w:eastAsiaTheme="minorEastAsia"/>
          <w:color w:val="auto"/>
          <w:szCs w:val="21"/>
          <w:highlight w:val="none"/>
        </w:rPr>
        <w:t>基金管理人应当停止申购并在5个工作日内向投资者披露。</w:t>
      </w:r>
    </w:p>
    <w:p w14:paraId="7F8DAAF7">
      <w:pPr>
        <w:numPr>
          <w:ilvl w:val="0"/>
          <w:numId w:val="3"/>
        </w:num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在如下情形下，基金管理人可以暂停基金份额持有人的赎回：</w:t>
      </w:r>
    </w:p>
    <w:p w14:paraId="325A76BA">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（1）因不可抗力导致基金管理人无法支付赎回款项的情形；</w:t>
      </w:r>
    </w:p>
    <w:p w14:paraId="5BC1C9BF">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（2）证券交易场所交易时间临时停市，导致基金管理人无法计算当日基金资产净值的情形；</w:t>
      </w:r>
    </w:p>
    <w:p w14:paraId="7F3D09B1">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）本基金的证券/期货经纪商没有或未及时发送交易清算数据或对账数据、发送的交易清算数据或对账数据不完整或有误，导致无法或未能及时计算当日基金资产净值的情形；</w:t>
      </w:r>
    </w:p>
    <w:p w14:paraId="217EE430">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（4）对于没有或未及时获取场外交易数据或场外行情数据、场外交易数据或场外行情数据不完整或有误，导致无法或未能及时计算当日基金资产净值的情形；</w:t>
      </w:r>
    </w:p>
    <w:p w14:paraId="6010EFCB">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（5）发生本合同规定的暂停基金资产估值的情形；</w:t>
      </w:r>
    </w:p>
    <w:p w14:paraId="7EA6C4A3">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（6）法律法规规定或经中国证监会认定或本合同约定的其他情形。</w:t>
      </w:r>
    </w:p>
    <w:p w14:paraId="3DE4397F">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发生上述情形之一且基金管理人决定暂停赎回的，基金管理人应当以约定的形式告知基金份额持有人。已确认的赎回申请，基金管理人应当足额支付；如暂时不能足额支付，应当按单个赎回申请人已被确认的赎回确认金额占已接受的赎回总确认金额的比例将可支付金额分配给赎回申请人，其余部分在后续工作日予以支付。</w:t>
      </w:r>
    </w:p>
    <w:p w14:paraId="70926F17">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在暂停赎回的情况消除时，基金管理人应及时恢复赎回业务的办理并以约定的形式告知基金份额持有人。</w:t>
      </w:r>
    </w:p>
    <w:p w14:paraId="48FBBF71">
      <w:pPr>
        <w:autoSpaceDE w:val="0"/>
        <w:autoSpaceDN w:val="0"/>
        <w:adjustRightInd w:val="0"/>
        <w:snapToGrid w:val="0"/>
        <w:spacing w:before="93" w:beforeLines="30" w:after="93" w:afterLines="30" w:line="348" w:lineRule="auto"/>
        <w:ind w:firstLine="420" w:firstLineChars="200"/>
        <w:rPr>
          <w:rFonts w:ascii="宋体" w:hAnsi="宋体" w:cs="宋体"/>
          <w:color w:val="auto"/>
          <w:szCs w:val="21"/>
          <w:highlight w:val="none"/>
        </w:rPr>
      </w:pPr>
      <w:r>
        <w:rPr>
          <w:rFonts w:hint="eastAsia" w:ascii="宋体" w:hAnsi="宋体" w:cs="宋体"/>
          <w:color w:val="auto"/>
          <w:szCs w:val="21"/>
          <w:highlight w:val="none"/>
          <w:lang w:bidi="ar"/>
        </w:rPr>
        <w:t>5、在如下情形下，私募基金管理人接受基金份额持有人的申购、赎回申请后，该等申购、赎回申请仍然可能被延期确认或确认失败：</w:t>
      </w:r>
    </w:p>
    <w:p w14:paraId="7CEC3241">
      <w:pPr>
        <w:autoSpaceDE w:val="0"/>
        <w:autoSpaceDN w:val="0"/>
        <w:adjustRightInd w:val="0"/>
        <w:snapToGrid w:val="0"/>
        <w:spacing w:before="93" w:beforeLines="30" w:after="93" w:afterLines="30" w:line="348" w:lineRule="auto"/>
        <w:ind w:firstLine="420" w:firstLineChars="200"/>
        <w:rPr>
          <w:rFonts w:ascii="宋体" w:hAnsi="宋体" w:cs="宋体"/>
          <w:color w:val="auto"/>
          <w:szCs w:val="21"/>
          <w:highlight w:val="none"/>
        </w:rPr>
      </w:pPr>
      <w:r>
        <w:rPr>
          <w:rFonts w:hint="eastAsia" w:ascii="宋体" w:hAnsi="宋体" w:cs="宋体"/>
          <w:color w:val="auto"/>
          <w:szCs w:val="21"/>
          <w:highlight w:val="none"/>
          <w:lang w:bidi="ar"/>
        </w:rPr>
        <w:t>(1)证券/期货经纪服务机构未及时提供估值所需资料，导致运营服务机构、私募基金托管人无法及时对开放日基金资产估值的情况下；</w:t>
      </w:r>
    </w:p>
    <w:p w14:paraId="57B7957B">
      <w:pPr>
        <w:autoSpaceDE w:val="0"/>
        <w:autoSpaceDN w:val="0"/>
        <w:adjustRightInd w:val="0"/>
        <w:snapToGrid w:val="0"/>
        <w:spacing w:before="93" w:beforeLines="30" w:after="93" w:afterLines="30" w:line="348" w:lineRule="auto"/>
        <w:ind w:firstLine="420" w:firstLineChars="200"/>
        <w:rPr>
          <w:rFonts w:ascii="宋体" w:hAnsi="宋体" w:cs="宋体"/>
          <w:color w:val="auto"/>
          <w:szCs w:val="21"/>
          <w:highlight w:val="none"/>
        </w:rPr>
      </w:pPr>
      <w:r>
        <w:rPr>
          <w:rFonts w:hint="eastAsia" w:ascii="宋体" w:hAnsi="宋体" w:cs="宋体"/>
          <w:color w:val="auto"/>
          <w:szCs w:val="21"/>
          <w:highlight w:val="none"/>
          <w:lang w:bidi="ar"/>
        </w:rPr>
        <w:t>(2)无法获取或未能及时获取场外交易数据或场外行情数据、场外交易数据或场外行情数据不完整或有误，导致无法或未能及时计算当日基金资产净值的情形；</w:t>
      </w:r>
    </w:p>
    <w:p w14:paraId="3592B825">
      <w:pPr>
        <w:autoSpaceDE w:val="0"/>
        <w:autoSpaceDN w:val="0"/>
        <w:adjustRightInd w:val="0"/>
        <w:snapToGrid w:val="0"/>
        <w:spacing w:before="93" w:beforeLines="30" w:after="93" w:afterLines="30" w:line="348" w:lineRule="auto"/>
        <w:ind w:firstLine="420" w:firstLineChars="200"/>
        <w:rPr>
          <w:rFonts w:ascii="宋体" w:hAnsi="宋体" w:eastAsia="宋体" w:cs="宋体"/>
          <w:color w:val="auto"/>
          <w:szCs w:val="21"/>
          <w:highlight w:val="none"/>
        </w:rPr>
      </w:pPr>
      <w:r>
        <w:rPr>
          <w:rFonts w:hint="eastAsia" w:ascii="宋体" w:hAnsi="宋体"/>
          <w:color w:val="auto"/>
          <w:szCs w:val="21"/>
          <w:highlight w:val="none"/>
          <w:lang w:bidi="ar"/>
        </w:rPr>
        <w:t>(3)发生本合同约定的暂停估值的情形；</w:t>
      </w:r>
    </w:p>
    <w:p w14:paraId="3529DEE8">
      <w:pPr>
        <w:tabs>
          <w:tab w:val="left" w:pos="0"/>
          <w:tab w:val="left" w:pos="720"/>
          <w:tab w:val="left" w:pos="1440"/>
          <w:tab w:val="left" w:pos="2160"/>
          <w:tab w:val="left" w:pos="2880"/>
          <w:tab w:val="left" w:pos="3600"/>
          <w:tab w:val="left" w:pos="4320"/>
        </w:tabs>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（十）巨额赎回的认定及处理方式</w:t>
      </w:r>
    </w:p>
    <w:p w14:paraId="3FBA1E37">
      <w:pPr>
        <w:tabs>
          <w:tab w:val="left" w:pos="0"/>
          <w:tab w:val="left" w:pos="720"/>
          <w:tab w:val="left" w:pos="1440"/>
          <w:tab w:val="left" w:pos="2160"/>
          <w:tab w:val="left" w:pos="2880"/>
          <w:tab w:val="left" w:pos="3600"/>
          <w:tab w:val="left" w:pos="4320"/>
        </w:tabs>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、巨额赎回的认定</w:t>
      </w:r>
    </w:p>
    <w:p w14:paraId="04497671">
      <w:pPr>
        <w:tabs>
          <w:tab w:val="left" w:pos="0"/>
          <w:tab w:val="left" w:pos="720"/>
          <w:tab w:val="left" w:pos="1440"/>
          <w:tab w:val="left" w:pos="2160"/>
          <w:tab w:val="left" w:pos="2880"/>
          <w:tab w:val="left" w:pos="3600"/>
          <w:tab w:val="left" w:pos="4320"/>
        </w:tabs>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单个开放日中，本基金需处理的净赎回申请份额超过本基金上一交易日基金总份额的20</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时，即认为本基金发生了巨额赎回。</w:t>
      </w:r>
    </w:p>
    <w:p w14:paraId="222374EF">
      <w:pPr>
        <w:tabs>
          <w:tab w:val="left" w:pos="0"/>
          <w:tab w:val="left" w:pos="720"/>
          <w:tab w:val="left" w:pos="1440"/>
          <w:tab w:val="left" w:pos="2160"/>
          <w:tab w:val="left" w:pos="2880"/>
          <w:tab w:val="left" w:pos="3600"/>
          <w:tab w:val="left" w:pos="4320"/>
        </w:tabs>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、巨额赎回的处理方式</w:t>
      </w:r>
    </w:p>
    <w:p w14:paraId="33384183">
      <w:pPr>
        <w:tabs>
          <w:tab w:val="left" w:pos="0"/>
          <w:tab w:val="left" w:pos="720"/>
          <w:tab w:val="left" w:pos="1440"/>
          <w:tab w:val="left" w:pos="2160"/>
          <w:tab w:val="left" w:pos="2880"/>
          <w:tab w:val="left" w:pos="3600"/>
          <w:tab w:val="left" w:pos="4320"/>
        </w:tabs>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当基金出现巨额赎回时，私募基金管理人可以根据基金当时的资产组合状况决定采取以下处理方式：</w:t>
      </w:r>
    </w:p>
    <w:p w14:paraId="473D9D79">
      <w:pPr>
        <w:adjustRightInd w:val="0"/>
        <w:snapToGrid w:val="0"/>
        <w:spacing w:before="93" w:beforeLines="30" w:after="93" w:afterLines="30" w:line="360" w:lineRule="auto"/>
        <w:ind w:firstLine="420" w:firstLineChars="200"/>
        <w:rPr>
          <w:rFonts w:asciiTheme="minorEastAsia" w:hAnsiTheme="minorEastAsia" w:eastAsiaTheme="minorEastAsia"/>
          <w:bCs/>
          <w:color w:val="auto"/>
          <w:szCs w:val="21"/>
          <w:highlight w:val="none"/>
        </w:rPr>
      </w:pPr>
      <w:r>
        <w:rPr>
          <w:rFonts w:hint="eastAsia" w:asciiTheme="minorEastAsia" w:hAnsiTheme="minorEastAsia" w:eastAsiaTheme="minorEastAsia"/>
          <w:bCs/>
          <w:color w:val="auto"/>
          <w:szCs w:val="21"/>
          <w:highlight w:val="none"/>
        </w:rPr>
        <w:t>（</w:t>
      </w:r>
      <w:r>
        <w:rPr>
          <w:rFonts w:asciiTheme="minorEastAsia" w:hAnsiTheme="minorEastAsia" w:eastAsiaTheme="minorEastAsia"/>
          <w:bCs/>
          <w:color w:val="auto"/>
          <w:szCs w:val="21"/>
          <w:highlight w:val="none"/>
        </w:rPr>
        <w:t>1</w:t>
      </w:r>
      <w:r>
        <w:rPr>
          <w:rFonts w:hint="eastAsia" w:asciiTheme="minorEastAsia" w:hAnsiTheme="minorEastAsia" w:eastAsiaTheme="minorEastAsia"/>
          <w:bCs/>
          <w:color w:val="auto"/>
          <w:szCs w:val="21"/>
          <w:highlight w:val="none"/>
        </w:rPr>
        <w:t>）全额赎回：当私募基金管理人认为有能力支付基金份额持有人的全部赎回申请时，按正常赎回程序执行。</w:t>
      </w:r>
    </w:p>
    <w:p w14:paraId="48CDAE8D">
      <w:pPr>
        <w:adjustRightInd w:val="0"/>
        <w:snapToGrid w:val="0"/>
        <w:spacing w:before="93" w:beforeLines="30" w:after="93" w:afterLines="30" w:line="360" w:lineRule="auto"/>
        <w:ind w:firstLine="420" w:firstLineChars="200"/>
        <w:rPr>
          <w:rFonts w:asciiTheme="minorEastAsia" w:hAnsiTheme="minorEastAsia" w:eastAsiaTheme="minorEastAsia"/>
          <w:bCs/>
          <w:color w:val="auto"/>
          <w:szCs w:val="21"/>
          <w:highlight w:val="none"/>
        </w:rPr>
      </w:pPr>
      <w:r>
        <w:rPr>
          <w:rFonts w:hint="eastAsia" w:asciiTheme="minorEastAsia" w:hAnsiTheme="minorEastAsia" w:eastAsiaTheme="minorEastAsia"/>
          <w:bCs/>
          <w:color w:val="auto"/>
          <w:szCs w:val="21"/>
          <w:highlight w:val="none"/>
        </w:rPr>
        <w:t>（</w:t>
      </w:r>
      <w:r>
        <w:rPr>
          <w:rFonts w:asciiTheme="minorEastAsia" w:hAnsiTheme="minorEastAsia" w:eastAsiaTheme="minorEastAsia"/>
          <w:bCs/>
          <w:color w:val="auto"/>
          <w:szCs w:val="21"/>
          <w:highlight w:val="none"/>
        </w:rPr>
        <w:t>2</w:t>
      </w:r>
      <w:r>
        <w:rPr>
          <w:rFonts w:hint="eastAsia" w:asciiTheme="minorEastAsia" w:hAnsiTheme="minorEastAsia" w:eastAsiaTheme="minorEastAsia"/>
          <w:bCs/>
          <w:color w:val="auto"/>
          <w:szCs w:val="21"/>
          <w:highlight w:val="none"/>
        </w:rPr>
        <w:t>）部分延期赎回：当私募基金管理人认为支付基金份额持有人的赎回申请有困难或认为因支付基金份额持有人的赎回申请而进行的财产变现可能会对基金资产净值造成较大波动时，私募基金管理人在当日接受赎回比例不低于上述巨额赎回的认定比例前提下，可对其余赎回申请延期办理。对于当日的赎回申请，应当按单个账户赎回申请量占赎回申请总量的比例，确定当日受理的赎回份额；对于未能赎回部分，基金份额持有人在提交赎回申请时可以选择延期赎回或取消赎回。选择延期赎回的，将自动转入</w:t>
      </w:r>
      <w:bookmarkStart w:id="27" w:name="OLE_LINK37"/>
      <w:bookmarkStart w:id="28" w:name="OLE_LINK39"/>
      <w:bookmarkStart w:id="29" w:name="OLE_LINK38"/>
      <w:r>
        <w:rPr>
          <w:rFonts w:hint="eastAsia" w:asciiTheme="minorEastAsia" w:hAnsiTheme="minorEastAsia" w:eastAsiaTheme="minorEastAsia"/>
          <w:bCs/>
          <w:color w:val="auto"/>
          <w:szCs w:val="21"/>
          <w:highlight w:val="none"/>
        </w:rPr>
        <w:t>下一</w:t>
      </w:r>
      <w:bookmarkEnd w:id="27"/>
      <w:bookmarkEnd w:id="28"/>
      <w:bookmarkEnd w:id="29"/>
      <w:r>
        <w:rPr>
          <w:rFonts w:hint="eastAsia" w:asciiTheme="minorEastAsia" w:hAnsiTheme="minorEastAsia" w:eastAsiaTheme="minorEastAsia"/>
          <w:bCs/>
          <w:color w:val="auto"/>
          <w:szCs w:val="21"/>
          <w:highlight w:val="none"/>
        </w:rPr>
        <w:t>开放日继续赎回，直到全部赎回为止；选择取消赎回的，当日未获受理的部分赎回申请将被撤销。延期的赎回申请与下一开放日赎回申请（如有）一并处理，无优先权并以下一开放日的各类别基金份额净值为基础计算赎回金额，以此类推，直到全部赎回为止。本基金不就延期赎回份额的相应款项计算利息。如基金份额持有人在提交赎回申请时未作明确选择，基金份额持有人未能赎回部分作自动延期赎回处理。</w:t>
      </w:r>
    </w:p>
    <w:p w14:paraId="1071EAA6">
      <w:pPr>
        <w:tabs>
          <w:tab w:val="left" w:pos="0"/>
          <w:tab w:val="left" w:pos="720"/>
          <w:tab w:val="left" w:pos="1440"/>
          <w:tab w:val="left" w:pos="2160"/>
          <w:tab w:val="left" w:pos="2880"/>
          <w:tab w:val="left" w:pos="3600"/>
          <w:tab w:val="left" w:pos="4320"/>
        </w:tabs>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Cs/>
          <w:color w:val="auto"/>
          <w:szCs w:val="21"/>
          <w:highlight w:val="none"/>
        </w:rPr>
        <w:t>（</w:t>
      </w:r>
      <w:r>
        <w:rPr>
          <w:rFonts w:asciiTheme="minorEastAsia" w:hAnsiTheme="minorEastAsia" w:eastAsiaTheme="minorEastAsia"/>
          <w:bCs/>
          <w:color w:val="auto"/>
          <w:szCs w:val="21"/>
          <w:highlight w:val="none"/>
        </w:rPr>
        <w:t>3</w:t>
      </w:r>
      <w:r>
        <w:rPr>
          <w:rFonts w:hint="eastAsia" w:asciiTheme="minorEastAsia" w:hAnsiTheme="minorEastAsia" w:eastAsiaTheme="minorEastAsia"/>
          <w:bCs/>
          <w:color w:val="auto"/>
          <w:szCs w:val="21"/>
          <w:highlight w:val="none"/>
        </w:rPr>
        <w:t>）连续巨额赎回：连续</w:t>
      </w:r>
      <w:r>
        <w:rPr>
          <w:rFonts w:asciiTheme="minorEastAsia" w:hAnsiTheme="minorEastAsia" w:eastAsiaTheme="minorEastAsia"/>
          <w:bCs/>
          <w:color w:val="auto"/>
          <w:szCs w:val="21"/>
          <w:highlight w:val="none"/>
        </w:rPr>
        <w:t>2</w:t>
      </w:r>
      <w:r>
        <w:rPr>
          <w:rFonts w:hint="eastAsia" w:asciiTheme="minorEastAsia" w:hAnsiTheme="minorEastAsia" w:eastAsiaTheme="minorEastAsia"/>
          <w:bCs/>
          <w:color w:val="auto"/>
          <w:szCs w:val="21"/>
          <w:highlight w:val="none"/>
        </w:rPr>
        <w:t>（含）个开放日以上发生巨额赎回，如私募基金管理人认为有必要，可暂停接受基金的赎回申请；已经接受的赎回申请可以延缓支付赎回款项，但不得超过</w:t>
      </w:r>
      <w:r>
        <w:rPr>
          <w:rFonts w:asciiTheme="minorEastAsia" w:hAnsiTheme="minorEastAsia" w:eastAsiaTheme="minorEastAsia"/>
          <w:bCs/>
          <w:color w:val="auto"/>
          <w:szCs w:val="21"/>
          <w:highlight w:val="none"/>
        </w:rPr>
        <w:t>20</w:t>
      </w:r>
      <w:r>
        <w:rPr>
          <w:rFonts w:hint="eastAsia" w:asciiTheme="minorEastAsia" w:hAnsiTheme="minorEastAsia" w:eastAsiaTheme="minorEastAsia"/>
          <w:bCs/>
          <w:color w:val="auto"/>
          <w:szCs w:val="21"/>
          <w:highlight w:val="none"/>
        </w:rPr>
        <w:t>个交易日，并应当以书面或其他形式通知赎回申请基金份额持有人。</w:t>
      </w:r>
    </w:p>
    <w:p w14:paraId="6975D862">
      <w:pPr>
        <w:tabs>
          <w:tab w:val="left" w:pos="0"/>
          <w:tab w:val="left" w:pos="720"/>
          <w:tab w:val="left" w:pos="1440"/>
          <w:tab w:val="left" w:pos="2160"/>
          <w:tab w:val="left" w:pos="2880"/>
          <w:tab w:val="left" w:pos="3600"/>
          <w:tab w:val="left" w:pos="4320"/>
        </w:tabs>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巨额赎回部分延期赎回的通知：当发生巨额赎回并且私募基金管理人决定执行部分延期赎回时，私募基金管理人应当选择信函、电话、手机短信、电子邮件、网站公告等方式之一，在开放日结束后的三个交易日内通知基金份额持有人，并说明相关处理方法。</w:t>
      </w:r>
    </w:p>
    <w:p w14:paraId="3258734C">
      <w:pPr>
        <w:tabs>
          <w:tab w:val="left" w:pos="0"/>
          <w:tab w:val="left" w:pos="720"/>
          <w:tab w:val="left" w:pos="1440"/>
          <w:tab w:val="left" w:pos="2160"/>
          <w:tab w:val="left" w:pos="2880"/>
          <w:tab w:val="left" w:pos="3600"/>
          <w:tab w:val="left" w:pos="4320"/>
        </w:tabs>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（十一）发生全部份额赎回时的特殊处理</w:t>
      </w:r>
    </w:p>
    <w:p w14:paraId="1E6126E0">
      <w:pPr>
        <w:tabs>
          <w:tab w:val="left" w:pos="0"/>
          <w:tab w:val="left" w:pos="720"/>
          <w:tab w:val="left" w:pos="1440"/>
          <w:tab w:val="left" w:pos="2160"/>
          <w:tab w:val="left" w:pos="2880"/>
          <w:tab w:val="left" w:pos="3600"/>
          <w:tab w:val="left" w:pos="4320"/>
        </w:tabs>
        <w:autoSpaceDE w:val="0"/>
        <w:autoSpaceDN w:val="0"/>
        <w:adjustRightInd w:val="0"/>
        <w:snapToGrid w:val="0"/>
        <w:spacing w:before="93" w:beforeLines="30" w:after="93" w:afterLines="30" w:line="360" w:lineRule="auto"/>
        <w:ind w:firstLine="420" w:firstLineChars="200"/>
        <w:rPr>
          <w:rStyle w:val="11"/>
          <w:rFonts w:asciiTheme="minorEastAsia" w:hAnsiTheme="minorEastAsia" w:eastAsiaTheme="minorEastAsia"/>
          <w:color w:val="auto"/>
          <w:highlight w:val="none"/>
        </w:rPr>
      </w:pPr>
      <w:r>
        <w:rPr>
          <w:rFonts w:hint="eastAsia" w:asciiTheme="minorEastAsia" w:hAnsiTheme="minorEastAsia" w:eastAsiaTheme="minorEastAsia"/>
          <w:bCs/>
          <w:color w:val="auto"/>
          <w:szCs w:val="21"/>
          <w:highlight w:val="none"/>
        </w:rPr>
        <w:t>如本基金全体份额持有人申请赎回所持有的基金份额，致使所有基金份额被赎回，且无在途申购申请的，</w:t>
      </w:r>
      <w:r>
        <w:rPr>
          <w:rFonts w:hint="eastAsia" w:asciiTheme="minorEastAsia" w:hAnsiTheme="minorEastAsia" w:eastAsiaTheme="minorEastAsia"/>
          <w:color w:val="auto"/>
          <w:szCs w:val="21"/>
          <w:highlight w:val="none"/>
        </w:rPr>
        <w:t>私募基金管理人应当拒绝接受该等赎回申请，按照合同约定终止基金运作并进行清算。</w:t>
      </w:r>
    </w:p>
    <w:p w14:paraId="092FE306">
      <w:pPr>
        <w:tabs>
          <w:tab w:val="left" w:pos="0"/>
          <w:tab w:val="left" w:pos="720"/>
          <w:tab w:val="left" w:pos="1440"/>
          <w:tab w:val="left" w:pos="2160"/>
          <w:tab w:val="left" w:pos="2880"/>
          <w:tab w:val="left" w:pos="3600"/>
          <w:tab w:val="left" w:pos="4320"/>
        </w:tabs>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Style w:val="11"/>
          <w:rFonts w:hint="eastAsia" w:asciiTheme="minorEastAsia" w:hAnsiTheme="minorEastAsia" w:eastAsiaTheme="minorEastAsia"/>
          <w:color w:val="auto"/>
          <w:highlight w:val="none"/>
        </w:rPr>
        <w:t>本基金存续期间不开放赎回的，不适用上述约定。</w:t>
      </w:r>
    </w:p>
    <w:p w14:paraId="506B730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（十二）基金份额的转让</w:t>
      </w:r>
    </w:p>
    <w:p w14:paraId="1DA39D9C">
      <w:pPr>
        <w:spacing w:line="360" w:lineRule="auto"/>
        <w:ind w:firstLine="420" w:firstLineChars="200"/>
        <w:rPr>
          <w:color w:val="auto"/>
          <w:highlight w:val="none"/>
        </w:rPr>
      </w:pPr>
      <w:r>
        <w:rPr>
          <w:rFonts w:hint="eastAsia" w:asciiTheme="minorEastAsia" w:hAnsiTheme="minorEastAsia" w:eastAsiaTheme="minorEastAsia"/>
          <w:color w:val="auto"/>
          <w:szCs w:val="21"/>
          <w:highlight w:val="none"/>
        </w:rPr>
        <w:t>基金份额持有人可通过现时或将来法律、法规或监管机构允许的方式办理基金份额转让业务，其转让地点、时间、规则、费用等按照办理机构的规则执行。转让期间及转让后，持有基金份额的合格投资者数量合计不得超过法定及本合同约定的人数，且基金份额持有人仅可向符合《私募办法》规定的合格投资者转让基金份额。此外，任意一类基金份额的受让人需符合本合同“基金的基本情况”章节之“基金的份额分类”中该类别基金份额的分类标准，本条由管理人自行监控，托管人及份额登记机构对此不承担任何审核、复核职责。如果份额转让因不符合法律法规、办理机构的规则或本合同约定未办理成功的，基金份额持有人应当自行承担相应风险和损失。</w:t>
      </w:r>
    </w:p>
    <w:p w14:paraId="7B38EC55">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30" w:name="_Toc459392410"/>
      <w:r>
        <w:rPr>
          <w:rFonts w:hint="eastAsia" w:asciiTheme="minorEastAsia" w:hAnsiTheme="minorEastAsia" w:eastAsiaTheme="minorEastAsia"/>
          <w:color w:val="auto"/>
          <w:sz w:val="28"/>
          <w:szCs w:val="28"/>
          <w:highlight w:val="none"/>
        </w:rPr>
        <w:t>八、当事人及权利义务</w:t>
      </w:r>
      <w:bookmarkEnd w:id="16"/>
      <w:bookmarkEnd w:id="30"/>
    </w:p>
    <w:p w14:paraId="4FFF50D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（一）基金份额持有人</w:t>
      </w:r>
    </w:p>
    <w:p w14:paraId="3DF7BDDE">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1、基金份额持有人概况</w:t>
      </w:r>
    </w:p>
    <w:p w14:paraId="17D43B3E">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基金投资者签署本合同，履行出资义务并取得基金份额，即成为本基金份额持有人。基金份额持有人的详细情况在合同签署页列示。本基金设定为均等份额。除本合同另有约定外，每份份额具有同等的合法权益。</w:t>
      </w:r>
    </w:p>
    <w:p w14:paraId="2B2CAA09">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2、基金份额持有人的权利</w:t>
      </w:r>
    </w:p>
    <w:p w14:paraId="44B64ECC">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（1）取得基金财产收益；</w:t>
      </w:r>
    </w:p>
    <w:p w14:paraId="31A6945D">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（2）取得清算后的剩余基金财产；</w:t>
      </w:r>
    </w:p>
    <w:p w14:paraId="33CC0AB4">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（3）按照本合同的约定申购、赎回和转让基金份额；</w:t>
      </w:r>
    </w:p>
    <w:p w14:paraId="3A8AC4CC">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（4）根据本合同的约定，参加或申请召集基金份额持有人大会，行使相关职权；</w:t>
      </w:r>
    </w:p>
    <w:p w14:paraId="65824F63">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（5）监督基金管理人履行投资管理及基金托管人履行托管义务的情况；</w:t>
      </w:r>
    </w:p>
    <w:p w14:paraId="10CD4724">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（6）按照本合同约定的时间和方式获得基金的信息披露资料；</w:t>
      </w:r>
    </w:p>
    <w:p w14:paraId="2CDEC67B">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（7）因基金管理人、基金托管人违反本合同的约定导致合法权益受到损害的，有权得到赔偿；</w:t>
      </w:r>
    </w:p>
    <w:p w14:paraId="1A70092B">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（8）国家有关法律法规、监管机构及本合同规定的其他权利。</w:t>
      </w:r>
    </w:p>
    <w:p w14:paraId="3E8D8A01">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3、基金份额持有人的义务</w:t>
      </w:r>
    </w:p>
    <w:p w14:paraId="144178C5">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（1）认真阅读本合同，保证投资资金的来源及用途合法；</w:t>
      </w:r>
    </w:p>
    <w:p w14:paraId="59E51CE0">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接受合格投资者确认程序，如实填写风险识别能力和承担能力调查问卷，如实承诺资产或者收入情况，并对其真实性、准确性和完整性负责，承诺为合格投资者；以合伙企业、契约等非法人形式汇集多数投资者资金直接或者间接投资于本基金的，应向基金管理人充分披露上述情况及最终投资者的信息，</w:t>
      </w:r>
      <w:r>
        <w:rPr>
          <w:rFonts w:hint="eastAsia" w:hAnsi="宋体"/>
          <w:color w:val="auto"/>
          <w:szCs w:val="21"/>
          <w:highlight w:val="none"/>
        </w:rPr>
        <w:t>但根据法律法规规定、部门规章、行业自律指引规定等可豁免情形的除外</w:t>
      </w:r>
      <w:r>
        <w:rPr>
          <w:rFonts w:hint="eastAsia" w:asciiTheme="minorEastAsia" w:hAnsiTheme="minorEastAsia" w:eastAsiaTheme="minorEastAsia"/>
          <w:color w:val="auto"/>
          <w:szCs w:val="21"/>
          <w:highlight w:val="none"/>
        </w:rPr>
        <w:t>；</w:t>
      </w:r>
    </w:p>
    <w:p w14:paraId="611209E2">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（3）认真阅读并签署风险揭示书；</w:t>
      </w:r>
    </w:p>
    <w:p w14:paraId="52DEA7A9">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（4）保证其经办人享有签署包括本合同在内的基金相关文件的权利，并就签署行为已履行必要的批准或授权手续，且履行上述文件不会违反任何对其有约束力的法律法规、公司章程、合同协议的约定；</w:t>
      </w:r>
    </w:p>
    <w:p w14:paraId="7402E761">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（5）按照本合同约定缴纳基金份额的认购、申购款项，承担本合同约定的管理费、托管费及其他相关费用；</w:t>
      </w:r>
    </w:p>
    <w:p w14:paraId="4DFF0702">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（6）按本合同约定承担基金的投资损失；</w:t>
      </w:r>
    </w:p>
    <w:p w14:paraId="29D1D7C9">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（7）向基金管理人或基金代销机构提供法律法规规定的信息资料及身份证明文件，配合基金管理人或其代销机构的尽职调查与反洗钱工作；</w:t>
      </w:r>
    </w:p>
    <w:p w14:paraId="4E7090AC">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（8）保守商业秘密，不得泄露基金的投资计划或意向等；</w:t>
      </w:r>
    </w:p>
    <w:p w14:paraId="0977A860">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（9）不得违反本合同的约定干涉基金管理人的投资行为；</w:t>
      </w:r>
    </w:p>
    <w:p w14:paraId="1D706238">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（10）不得从事任何有损基金及其他基金份额持有人、基金管理人管理的其他基金及基金托管人托管的其他基金合法权益的活动；</w:t>
      </w:r>
    </w:p>
    <w:p w14:paraId="1404047F">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（11）申购、赎回、分配等基金交易过程中因任何原因获得不当得利的，应予返还；</w:t>
      </w:r>
    </w:p>
    <w:p w14:paraId="25EE70F3">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（12）保证其享有签署包括本合同在内的基金相关文件的权利，并就签署行为已履行必要的批准或授权手续，且履行上述文件不会违反任何对其有约束力的法律法规、公司章程、合同协议的约定；</w:t>
      </w:r>
    </w:p>
    <w:p w14:paraId="413E350A">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（13）国家有关法律法规、监管机构及本合同规定的其他义务。</w:t>
      </w:r>
    </w:p>
    <w:p w14:paraId="234276A7">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（二）基金管理人</w:t>
      </w:r>
    </w:p>
    <w:p w14:paraId="048B5A27">
      <w:pPr>
        <w:pStyle w:val="19"/>
        <w:adjustRightInd w:val="0"/>
        <w:snapToGrid w:val="0"/>
        <w:spacing w:before="93" w:beforeLines="30" w:after="93" w:afterLines="3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1、基金管理人概况</w:t>
      </w:r>
    </w:p>
    <w:p w14:paraId="7F6AA641">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eastAsia="zh-CN"/>
        </w:rPr>
      </w:pPr>
      <w:r>
        <w:rPr>
          <w:rFonts w:asciiTheme="minorEastAsia" w:hAnsiTheme="minorEastAsia" w:eastAsiaTheme="minorEastAsia"/>
          <w:color w:val="auto"/>
          <w:szCs w:val="21"/>
          <w:highlight w:val="none"/>
        </w:rPr>
        <w:t>名称：</w:t>
      </w:r>
      <w:r>
        <w:rPr>
          <w:rFonts w:hint="eastAsia" w:asciiTheme="minorEastAsia" w:hAnsiTheme="minorEastAsia" w:eastAsiaTheme="minorEastAsia"/>
          <w:color w:val="auto"/>
          <w:szCs w:val="21"/>
          <w:highlight w:val="none"/>
          <w:lang w:eastAsia="zh-CN"/>
        </w:rPr>
        <w:t>北京石云科技有限公司</w:t>
      </w:r>
    </w:p>
    <w:p w14:paraId="76386C5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住所</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上海市闵行区平阳路258号一层D1188室</w:t>
      </w:r>
    </w:p>
    <w:p w14:paraId="5312D33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通讯地址：上海市浦东新区浦东南路3618号</w:t>
      </w:r>
    </w:p>
    <w:p w14:paraId="54EE6C1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联系人：石中玉</w:t>
      </w:r>
    </w:p>
    <w:p w14:paraId="2071B42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联系</w:t>
      </w:r>
      <w:r>
        <w:rPr>
          <w:rFonts w:asciiTheme="minorEastAsia" w:hAnsiTheme="minorEastAsia" w:eastAsiaTheme="minorEastAsia"/>
          <w:color w:val="auto"/>
          <w:szCs w:val="21"/>
          <w:highlight w:val="none"/>
        </w:rPr>
        <w:t>电话：</w:t>
      </w:r>
      <w:r>
        <w:rPr>
          <w:rFonts w:hint="eastAsia" w:asciiTheme="minorEastAsia" w:hAnsiTheme="minorEastAsia" w:eastAsiaTheme="minorEastAsia"/>
          <w:color w:val="auto"/>
          <w:szCs w:val="21"/>
          <w:highlight w:val="none"/>
        </w:rPr>
        <w:t>021-58337673</w:t>
      </w:r>
    </w:p>
    <w:p w14:paraId="750DC90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联系邮箱：operation@yibeiinv.com</w:t>
      </w:r>
    </w:p>
    <w:p w14:paraId="1257867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2、基金管理人的权利</w:t>
      </w:r>
    </w:p>
    <w:p w14:paraId="622B02A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（1）按照本合同的约定，独立管理和运用基金财产；</w:t>
      </w:r>
    </w:p>
    <w:p w14:paraId="7A87DB8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（2）按照本合同的约定，及时、足额获得基金管理人管理费用及业绩报酬（如有）；</w:t>
      </w:r>
    </w:p>
    <w:p w14:paraId="64C0F34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（3）按照有关规定和本合同约定行使因基金财产投资所产生的权利；</w:t>
      </w:r>
    </w:p>
    <w:p w14:paraId="5062203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（4）根据本合同及其他有关规定，监督基金托管人；对于基金托管人违反本合同或有关法律法规规定的行为，对基金财产及其他当事人的利益造成重大损失的，应当及时采取措施制止；</w:t>
      </w:r>
    </w:p>
    <w:p w14:paraId="2294636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基金管理人为保护投资者权益，可以在法律法规规定范围内，根据市场情况对本基金的认购、申购业务规则（包括但不限于总规模、单个基金投资者首次认购、申购金额、每次申购金额及持有的本基金总金额限制等）进行调整；</w:t>
      </w:r>
    </w:p>
    <w:p w14:paraId="5DC8D27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（6）以基金管理人的名义，代表基金与其他第三方签署基金投资相关协议文件、行使诉讼权利或者实施其他法律行为；</w:t>
      </w:r>
    </w:p>
    <w:p w14:paraId="0782B61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（7）自行销售或者委托有基金销售资格的机构销售基金，制定和调整有关基金销售的业务规则，并对代销机构的销售行为进行必要的监督；</w:t>
      </w:r>
    </w:p>
    <w:p w14:paraId="3C073FB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（8）国家有关法律法规、监管机构及本合同规定的其他权利。</w:t>
      </w:r>
    </w:p>
    <w:p w14:paraId="586B8E3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3、基金管理人的义务</w:t>
      </w:r>
    </w:p>
    <w:p w14:paraId="1D04CC9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（1）履行基金管理人登记和基金备案手续；</w:t>
      </w:r>
    </w:p>
    <w:p w14:paraId="39E1810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（2）按照诚实信用、勤勉尽责的原则履行受托人义务，管理和运用基金财产；</w:t>
      </w:r>
    </w:p>
    <w:p w14:paraId="244C5EE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（3）除依据法律法规另有规定外，不得委托第三人运作基金财产；</w:t>
      </w:r>
    </w:p>
    <w:p w14:paraId="0AF0CB8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（4）制作或委托代销机构制作调查问卷，对投资者的风险识别能力和风险承担能力进行评估，向符合法律法规规定的合格投资者非公开募集资金；</w:t>
      </w:r>
    </w:p>
    <w:p w14:paraId="6B7A1D0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（5）制作风险揭示书，向投资者充分揭示相关风险；</w:t>
      </w:r>
    </w:p>
    <w:p w14:paraId="29E3E63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（6）配备足够的具有专业能力的人员进行投资分析、决策，以专业化的经营方式管理和运作基金财产；</w:t>
      </w:r>
    </w:p>
    <w:p w14:paraId="4C498E3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（7）建立健全内部制度，保证所管理的基金财产与其管理的其他基金财产和基金管理人的固有财产相互独立，对所管理的不同财产分别管理，分别记账、分别投资；</w:t>
      </w:r>
    </w:p>
    <w:p w14:paraId="06E7014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（8）按规定开设和注销基金的证券资金账户、期货账户等投资所需账户；</w:t>
      </w:r>
    </w:p>
    <w:p w14:paraId="4799A74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（9）不得利用基金财产或者职务之便，为本人或者投资者以外的人牟取利益，进行利益输送；</w:t>
      </w:r>
    </w:p>
    <w:p w14:paraId="2669345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（10）自行担任或者委托其他机构担任基金的基金份额登记机构，委托其他基金份额登记机构办理注册登记业务时，对基金份额登记机构的行为进行必要的监督；</w:t>
      </w:r>
    </w:p>
    <w:p w14:paraId="61498B9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（11）按照本合同的约定接受基金份额持有人和基金托管人的监督；</w:t>
      </w:r>
    </w:p>
    <w:p w14:paraId="25958F6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（12）根据相关法规及本合同的约定，向基金托管人提供基金交易数据、投资文件及基金其他相关数据与文件，并确保提供材料的合法、真实、完整和有效；</w:t>
      </w:r>
    </w:p>
    <w:p w14:paraId="1EEECED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（13）按照本合同约定负责基金会计核算并编制基金财务会计报告；</w:t>
      </w:r>
    </w:p>
    <w:p w14:paraId="18ECBFB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（14）</w:t>
      </w:r>
      <w:r>
        <w:rPr>
          <w:rFonts w:hint="eastAsia" w:ascii="宋体" w:hAnsi="宋体"/>
          <w:color w:val="auto"/>
          <w:szCs w:val="21"/>
          <w:highlight w:val="none"/>
        </w:rPr>
        <w:t>按照本合同约定计算并向基金投资者披露基金份额净值、各类别基金份额净值或者投资收益情况</w:t>
      </w:r>
      <w:r>
        <w:rPr>
          <w:rFonts w:hint="eastAsia" w:asciiTheme="minorEastAsia" w:hAnsiTheme="minorEastAsia" w:eastAsiaTheme="minorEastAsia"/>
          <w:color w:val="auto"/>
          <w:szCs w:val="21"/>
          <w:highlight w:val="none"/>
        </w:rPr>
        <w:t>；</w:t>
      </w:r>
    </w:p>
    <w:p w14:paraId="33E020F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（15）根据法律法规和本合同的规定，对基金份额持有人进行必要的信息披露，揭示基金财产运作情况，包括编制和向基金份额持有人提供基金定期报告；</w:t>
      </w:r>
    </w:p>
    <w:p w14:paraId="0EA8ED7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（16）确定基金份额申购、赎回价格，采取适当、合理的措施确定基金份额交易价格的计算方法符合法律法规的规定和本合同的约定；</w:t>
      </w:r>
    </w:p>
    <w:p w14:paraId="61EA8E0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（17）保守商业秘密，不得泄露基金的投资计划或意向等，法律法规另有规定的除外；</w:t>
      </w:r>
    </w:p>
    <w:p w14:paraId="744DA1C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（18）保存基金投资业务活动的全部会计资料，并妥善保存有关的合同、交易记录及其他相关资料，保存期限自基金清算终止之日起不得少于10年；</w:t>
      </w:r>
    </w:p>
    <w:p w14:paraId="3BB04B2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（19）公平对待所管理的不同基金财产，不得从事任何有损基金财产及其他当事人利益的活动；</w:t>
      </w:r>
    </w:p>
    <w:p w14:paraId="75CB365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（20）按照基金合同约定的预警止损机制（如有）进行操作，并在预警止损机制不再生效（如有）或再次生效时（如有）及时通知基金份额持有人；</w:t>
      </w:r>
    </w:p>
    <w:p w14:paraId="72597F9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）按照本合同的约定确定基金收益分配方案，及时向基金份额持有人分配收益；</w:t>
      </w:r>
    </w:p>
    <w:p w14:paraId="6F581F7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）组织并参加基金财产清算小组，参与基金财产的保管、清理、估价、变现和分配；</w:t>
      </w:r>
    </w:p>
    <w:p w14:paraId="0129B8B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）建立并保存投资者名册；</w:t>
      </w:r>
    </w:p>
    <w:p w14:paraId="2B41A7EB">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4</w:t>
      </w:r>
      <w:r>
        <w:rPr>
          <w:rFonts w:hint="eastAsia" w:asciiTheme="minorEastAsia" w:hAnsiTheme="minorEastAsia" w:eastAsiaTheme="minorEastAsia"/>
          <w:color w:val="auto"/>
          <w:szCs w:val="21"/>
          <w:highlight w:val="none"/>
        </w:rPr>
        <w:t>）面临解散、依法被撤销或者被依法宣告破产时，及时报告中国基金业协会并通知基金托管人和基金投资者；</w:t>
      </w:r>
    </w:p>
    <w:p w14:paraId="21DB899E">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5）应确保本基金</w:t>
      </w:r>
      <w:r>
        <w:rPr>
          <w:rFonts w:hint="eastAsia" w:asciiTheme="minorEastAsia" w:hAnsiTheme="minorEastAsia" w:eastAsiaTheme="minorEastAsia"/>
          <w:color w:val="auto"/>
          <w:szCs w:val="21"/>
          <w:highlight w:val="none"/>
        </w:rPr>
        <w:t>的</w:t>
      </w:r>
      <w:r>
        <w:rPr>
          <w:rFonts w:asciiTheme="minorEastAsia" w:hAnsiTheme="minorEastAsia" w:eastAsiaTheme="minorEastAsia"/>
          <w:color w:val="auto"/>
          <w:szCs w:val="21"/>
          <w:highlight w:val="none"/>
        </w:rPr>
        <w:t>宣传资料</w:t>
      </w:r>
      <w:r>
        <w:rPr>
          <w:rFonts w:hint="eastAsia" w:asciiTheme="minorEastAsia" w:hAnsiTheme="minorEastAsia" w:eastAsiaTheme="minorEastAsia"/>
          <w:color w:val="auto"/>
          <w:szCs w:val="21"/>
          <w:highlight w:val="none"/>
        </w:rPr>
        <w:t>或招募说明书</w:t>
      </w:r>
      <w:r>
        <w:rPr>
          <w:rFonts w:asciiTheme="minorEastAsia" w:hAnsiTheme="minorEastAsia" w:eastAsiaTheme="minorEastAsia"/>
          <w:color w:val="auto"/>
          <w:szCs w:val="21"/>
          <w:highlight w:val="none"/>
        </w:rPr>
        <w:t>真实、准确、完整，不得进行虚假宣传。制作的宣传材料</w:t>
      </w:r>
      <w:r>
        <w:rPr>
          <w:rFonts w:hint="eastAsia" w:asciiTheme="minorEastAsia" w:hAnsiTheme="minorEastAsia" w:eastAsiaTheme="minorEastAsia"/>
          <w:color w:val="auto"/>
          <w:szCs w:val="21"/>
          <w:highlight w:val="none"/>
        </w:rPr>
        <w:t>如</w:t>
      </w:r>
      <w:r>
        <w:rPr>
          <w:rFonts w:asciiTheme="minorEastAsia" w:hAnsiTheme="minorEastAsia" w:eastAsiaTheme="minorEastAsia"/>
          <w:color w:val="auto"/>
          <w:szCs w:val="21"/>
          <w:highlight w:val="none"/>
        </w:rPr>
        <w:t>涉及基金托管人的，仅可表述为“</w:t>
      </w:r>
      <w:r>
        <w:rPr>
          <w:rFonts w:hint="eastAsia" w:asciiTheme="minorEastAsia" w:hAnsiTheme="minorEastAsia" w:eastAsiaTheme="minorEastAsia"/>
          <w:color w:val="auto"/>
          <w:szCs w:val="21"/>
          <w:highlight w:val="none"/>
        </w:rPr>
        <w:t>华福证券</w:t>
      </w:r>
      <w:r>
        <w:rPr>
          <w:rFonts w:asciiTheme="minorEastAsia" w:hAnsiTheme="minorEastAsia" w:eastAsiaTheme="minorEastAsia"/>
          <w:color w:val="auto"/>
          <w:szCs w:val="21"/>
          <w:highlight w:val="none"/>
        </w:rPr>
        <w:t>为本</w:t>
      </w:r>
      <w:r>
        <w:rPr>
          <w:rFonts w:hint="eastAsia" w:asciiTheme="minorEastAsia" w:hAnsiTheme="minorEastAsia" w:eastAsiaTheme="minorEastAsia"/>
          <w:color w:val="auto"/>
          <w:szCs w:val="21"/>
          <w:highlight w:val="none"/>
        </w:rPr>
        <w:t>基金</w:t>
      </w:r>
      <w:r>
        <w:rPr>
          <w:rFonts w:asciiTheme="minorEastAsia" w:hAnsiTheme="minorEastAsia" w:eastAsiaTheme="minorEastAsia"/>
          <w:color w:val="auto"/>
          <w:szCs w:val="21"/>
          <w:highlight w:val="none"/>
        </w:rPr>
        <w:t>的基金托管人”，不得</w:t>
      </w:r>
      <w:r>
        <w:rPr>
          <w:rFonts w:hint="eastAsia" w:asciiTheme="minorEastAsia" w:hAnsiTheme="minorEastAsia" w:eastAsiaTheme="minorEastAsia"/>
          <w:color w:val="auto"/>
          <w:szCs w:val="21"/>
          <w:highlight w:val="none"/>
        </w:rPr>
        <w:t>利用基金托管人商标、品牌及企业名称对本产品</w:t>
      </w:r>
      <w:r>
        <w:rPr>
          <w:rFonts w:asciiTheme="minorEastAsia" w:hAnsiTheme="minorEastAsia" w:eastAsiaTheme="minorEastAsia"/>
          <w:color w:val="auto"/>
          <w:szCs w:val="21"/>
          <w:highlight w:val="none"/>
        </w:rPr>
        <w:t>进行任何</w:t>
      </w:r>
      <w:r>
        <w:rPr>
          <w:rFonts w:hint="eastAsia" w:asciiTheme="minorEastAsia" w:hAnsiTheme="minorEastAsia" w:eastAsiaTheme="minorEastAsia"/>
          <w:color w:val="auto"/>
          <w:szCs w:val="21"/>
          <w:highlight w:val="none"/>
        </w:rPr>
        <w:t>商业</w:t>
      </w:r>
      <w:r>
        <w:rPr>
          <w:rFonts w:asciiTheme="minorEastAsia" w:hAnsiTheme="minorEastAsia" w:eastAsiaTheme="minorEastAsia"/>
          <w:color w:val="auto"/>
          <w:szCs w:val="21"/>
          <w:highlight w:val="none"/>
        </w:rPr>
        <w:t>宣传</w:t>
      </w:r>
      <w:r>
        <w:rPr>
          <w:rFonts w:hint="eastAsia" w:asciiTheme="minorEastAsia" w:hAnsiTheme="minorEastAsia" w:eastAsiaTheme="minorEastAsia"/>
          <w:color w:val="auto"/>
          <w:szCs w:val="21"/>
          <w:highlight w:val="none"/>
        </w:rPr>
        <w:t>或背书</w:t>
      </w:r>
      <w:r>
        <w:rPr>
          <w:rFonts w:asciiTheme="minorEastAsia" w:hAnsiTheme="minorEastAsia" w:eastAsiaTheme="minorEastAsia"/>
          <w:color w:val="auto"/>
          <w:szCs w:val="21"/>
          <w:highlight w:val="none"/>
        </w:rPr>
        <w:t>，基金托管人有权对基金管理人及本基金宣传材料进行检查，</w:t>
      </w:r>
      <w:r>
        <w:rPr>
          <w:rFonts w:hint="eastAsia" w:asciiTheme="minorEastAsia" w:hAnsiTheme="minorEastAsia" w:eastAsiaTheme="minorEastAsia"/>
          <w:color w:val="auto"/>
          <w:szCs w:val="21"/>
          <w:highlight w:val="none"/>
        </w:rPr>
        <w:t>如基金托管人发现</w:t>
      </w:r>
      <w:r>
        <w:rPr>
          <w:rFonts w:asciiTheme="minorEastAsia" w:hAnsiTheme="minorEastAsia" w:eastAsiaTheme="minorEastAsia"/>
          <w:color w:val="auto"/>
          <w:szCs w:val="21"/>
          <w:highlight w:val="none"/>
        </w:rPr>
        <w:t>基金管理人违反上述约定的，基金托管人有权向基金管理人追责</w:t>
      </w:r>
      <w:r>
        <w:rPr>
          <w:rFonts w:hint="eastAsia" w:asciiTheme="minorEastAsia" w:hAnsiTheme="minorEastAsia" w:eastAsiaTheme="minorEastAsia"/>
          <w:color w:val="auto"/>
          <w:szCs w:val="21"/>
          <w:highlight w:val="none"/>
        </w:rPr>
        <w:t>。基金投资者因基金宣传资料而作出的投资决策，属个人行为，基金托管人不因此决策造成的损失承担任何责任</w:t>
      </w:r>
      <w:r>
        <w:rPr>
          <w:rFonts w:asciiTheme="minorEastAsia" w:hAnsiTheme="minorEastAsia" w:eastAsiaTheme="minorEastAsia"/>
          <w:color w:val="auto"/>
          <w:szCs w:val="21"/>
          <w:highlight w:val="none"/>
        </w:rPr>
        <w:t>；</w:t>
      </w:r>
    </w:p>
    <w:p w14:paraId="2CAD4327">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6</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本合同的签署采用纸质合同的方式进行的，</w:t>
      </w:r>
      <w:r>
        <w:rPr>
          <w:rFonts w:hint="eastAsia" w:asciiTheme="minorEastAsia" w:hAnsiTheme="minorEastAsia" w:eastAsiaTheme="minorEastAsia"/>
          <w:color w:val="auto"/>
          <w:szCs w:val="21"/>
          <w:highlight w:val="none"/>
        </w:rPr>
        <w:t>基金管理人应</w:t>
      </w:r>
      <w:r>
        <w:rPr>
          <w:rFonts w:asciiTheme="minorEastAsia" w:hAnsiTheme="minorEastAsia" w:eastAsiaTheme="minorEastAsia"/>
          <w:color w:val="auto"/>
          <w:szCs w:val="21"/>
          <w:highlight w:val="none"/>
        </w:rPr>
        <w:t>妥善保管</w:t>
      </w:r>
      <w:r>
        <w:rPr>
          <w:rFonts w:hint="eastAsia" w:asciiTheme="minorEastAsia" w:hAnsiTheme="minorEastAsia" w:eastAsiaTheme="minorEastAsia"/>
          <w:color w:val="auto"/>
          <w:szCs w:val="21"/>
          <w:highlight w:val="none"/>
        </w:rPr>
        <w:t>本合同原件、按本合同约定的时间</w:t>
      </w:r>
      <w:r>
        <w:rPr>
          <w:rFonts w:asciiTheme="minorEastAsia" w:hAnsiTheme="minorEastAsia" w:eastAsiaTheme="minorEastAsia"/>
          <w:color w:val="auto"/>
          <w:szCs w:val="21"/>
          <w:highlight w:val="none"/>
        </w:rPr>
        <w:t>向基金托管人移交基金投资者签署的</w:t>
      </w:r>
      <w:r>
        <w:rPr>
          <w:rFonts w:hint="eastAsia" w:asciiTheme="minorEastAsia" w:hAnsiTheme="minorEastAsia" w:eastAsiaTheme="minorEastAsia"/>
          <w:color w:val="auto"/>
          <w:szCs w:val="21"/>
          <w:highlight w:val="none"/>
        </w:rPr>
        <w:t>本</w:t>
      </w:r>
      <w:r>
        <w:rPr>
          <w:rFonts w:asciiTheme="minorEastAsia" w:hAnsiTheme="minorEastAsia" w:eastAsiaTheme="minorEastAsia"/>
          <w:color w:val="auto"/>
          <w:szCs w:val="21"/>
          <w:highlight w:val="none"/>
        </w:rPr>
        <w:t>合同原件，因基金管理人未妥善保管或及时向基金托管人移交</w:t>
      </w:r>
      <w:r>
        <w:rPr>
          <w:rFonts w:hint="eastAsia" w:asciiTheme="minorEastAsia" w:hAnsiTheme="minorEastAsia" w:eastAsiaTheme="minorEastAsia"/>
          <w:color w:val="auto"/>
          <w:szCs w:val="21"/>
          <w:highlight w:val="none"/>
        </w:rPr>
        <w:t>本</w:t>
      </w:r>
      <w:r>
        <w:rPr>
          <w:rFonts w:asciiTheme="minorEastAsia" w:hAnsiTheme="minorEastAsia" w:eastAsiaTheme="minorEastAsia"/>
          <w:color w:val="auto"/>
          <w:szCs w:val="21"/>
          <w:highlight w:val="none"/>
        </w:rPr>
        <w:t>合同原件导致基金托管人损失的，基金管理人应予以赔偿</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如导致</w:t>
      </w:r>
      <w:r>
        <w:rPr>
          <w:rFonts w:hint="eastAsia" w:asciiTheme="minorEastAsia" w:hAnsiTheme="minorEastAsia" w:eastAsiaTheme="minorEastAsia"/>
          <w:color w:val="auto"/>
          <w:szCs w:val="21"/>
          <w:highlight w:val="none"/>
        </w:rPr>
        <w:t>基金</w:t>
      </w:r>
      <w:r>
        <w:rPr>
          <w:rFonts w:asciiTheme="minorEastAsia" w:hAnsiTheme="minorEastAsia" w:eastAsiaTheme="minorEastAsia"/>
          <w:color w:val="auto"/>
          <w:szCs w:val="21"/>
          <w:highlight w:val="none"/>
        </w:rPr>
        <w:t>投资者损失的，应由基金管理人</w:t>
      </w:r>
      <w:r>
        <w:rPr>
          <w:rFonts w:hint="eastAsia" w:asciiTheme="minorEastAsia" w:hAnsiTheme="minorEastAsia" w:eastAsiaTheme="minorEastAsia"/>
          <w:color w:val="auto"/>
          <w:szCs w:val="21"/>
          <w:highlight w:val="none"/>
        </w:rPr>
        <w:t>予以赔偿</w:t>
      </w:r>
      <w:r>
        <w:rPr>
          <w:rFonts w:asciiTheme="minorEastAsia" w:hAnsiTheme="minorEastAsia" w:eastAsiaTheme="minorEastAsia"/>
          <w:color w:val="auto"/>
          <w:szCs w:val="21"/>
          <w:highlight w:val="none"/>
        </w:rPr>
        <w:t>；</w:t>
      </w:r>
    </w:p>
    <w:p w14:paraId="4D8EB89D">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7</w:t>
      </w:r>
      <w:r>
        <w:rPr>
          <w:rFonts w:hint="eastAsia" w:asciiTheme="minorEastAsia" w:hAnsiTheme="minorEastAsia" w:eastAsiaTheme="minorEastAsia"/>
          <w:color w:val="auto"/>
          <w:szCs w:val="21"/>
          <w:highlight w:val="none"/>
        </w:rPr>
        <w:t>）在本基金发生变更、展期、终止等情形时，按中国基金业协会规定进行备案；</w:t>
      </w:r>
    </w:p>
    <w:p w14:paraId="2C3011F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8</w:t>
      </w:r>
      <w:r>
        <w:rPr>
          <w:rFonts w:hint="eastAsia" w:asciiTheme="minorEastAsia" w:hAnsiTheme="minorEastAsia" w:eastAsiaTheme="minorEastAsia"/>
          <w:color w:val="auto"/>
          <w:szCs w:val="21"/>
          <w:highlight w:val="none"/>
        </w:rPr>
        <w:t>）管理人管理的私募证券投资基金接受其他私募基金或者资产管理产品投资的，应当授权其基金托管人将经复核的基金估值信息提供给上层基金托管人；</w:t>
      </w:r>
    </w:p>
    <w:p w14:paraId="0C48359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（29）基金管理人应当授权服务机构将基金份额登记信息在基金份额确认后2个工作日内提供给该基金托管人；</w:t>
      </w:r>
    </w:p>
    <w:p w14:paraId="1F0E3F8B">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（30）国家有关法律法规、监管机构及本合同规定的其他义务。</w:t>
      </w:r>
    </w:p>
    <w:p w14:paraId="6BBDAB4A">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（三）基金托管人</w:t>
      </w:r>
    </w:p>
    <w:p w14:paraId="7A899049">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1、基金托管人概况</w:t>
      </w:r>
    </w:p>
    <w:p w14:paraId="05A79D88">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名称：华福证券股份有限公司</w:t>
      </w:r>
    </w:p>
    <w:p w14:paraId="7FB1052D">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住址：福州市鼓楼区鼓屏路27号1#楼3层</w:t>
      </w:r>
    </w:p>
    <w:p w14:paraId="525C2FE5">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通讯地址：</w:t>
      </w:r>
      <w:r>
        <w:rPr>
          <w:color w:val="auto"/>
          <w:highlight w:val="none"/>
        </w:rPr>
        <w:t>福建省福州市台江区江滨中大道380号宝地</w:t>
      </w:r>
      <w:r>
        <w:rPr>
          <w:rFonts w:hint="eastAsia"/>
          <w:color w:val="auto"/>
          <w:highlight w:val="none"/>
        </w:rPr>
        <w:t>广场</w:t>
      </w:r>
      <w:r>
        <w:rPr>
          <w:color w:val="auto"/>
          <w:highlight w:val="none"/>
        </w:rPr>
        <w:t>18楼</w:t>
      </w:r>
    </w:p>
    <w:p w14:paraId="66D70D5F">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联系电话：0591-87276736</w:t>
      </w:r>
    </w:p>
    <w:p w14:paraId="2A15149F">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传真：0591-88503610</w:t>
      </w:r>
    </w:p>
    <w:p w14:paraId="353A7AA8">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网址：www.hfzq.com.cn</w:t>
      </w:r>
    </w:p>
    <w:p w14:paraId="75982DD5">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2、基金托管人的权利</w:t>
      </w:r>
    </w:p>
    <w:p w14:paraId="2E51ABDC">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（1）按照本合同的约定，及时、足额获得基金托管费用；</w:t>
      </w:r>
    </w:p>
    <w:p w14:paraId="10E6432B">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依据法律法规规定和本合同约定，监督基金管理人对基金财产的投资运作，对于基金管理人违反法律法规规定和本合同约定、对基金财产及其他当事人的利益造成重大损失的情形，有权报告中国基金业协会并采取必要措施；</w:t>
      </w:r>
    </w:p>
    <w:p w14:paraId="3620BF25">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（3）按照本合同的约定，依法保管基金财产；</w:t>
      </w:r>
    </w:p>
    <w:p w14:paraId="13034D79">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（4）除法律法规另有规定的情况外，基金托管人对因基金管理人原因造成的基金财产损失不承担责任；</w:t>
      </w:r>
    </w:p>
    <w:p w14:paraId="423AD7B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（5）国家有关法律法规、监管机构及本合同规定的其他权利。</w:t>
      </w:r>
    </w:p>
    <w:p w14:paraId="4165F80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3、基金托管人的义务</w:t>
      </w:r>
    </w:p>
    <w:p w14:paraId="2EBEBF0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（1）按照本合同的约定安全保管基金财产；</w:t>
      </w:r>
    </w:p>
    <w:p w14:paraId="21FB702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（2）具有符合要求的营业场所，配备足够的、合格专职人员，负责基金财产托管事宜；</w:t>
      </w:r>
    </w:p>
    <w:p w14:paraId="65E25AE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（3）对所托管的不同基金财产分别设置账户，确保基金财产的完整与独立；</w:t>
      </w:r>
    </w:p>
    <w:p w14:paraId="7CD79EB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（4）除依据法律法规规定和本合同的约定外，不得为基金托管人及任何第三人谋取利益，不得委托第三人托管基金财产；</w:t>
      </w:r>
    </w:p>
    <w:p w14:paraId="07D3360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（5）按规定开设和注销基金的托管资金账户、证券账户（一码通账户）等投资所需账户；</w:t>
      </w:r>
    </w:p>
    <w:p w14:paraId="32B0678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w:t>
      </w:r>
      <w:r>
        <w:rPr>
          <w:rFonts w:hint="eastAsia" w:ascii="宋体" w:hAnsi="宋体"/>
          <w:color w:val="auto"/>
          <w:szCs w:val="21"/>
          <w:highlight w:val="none"/>
        </w:rPr>
        <w:t>复核基金份额净值、各类别基金份额净值</w:t>
      </w:r>
      <w:r>
        <w:rPr>
          <w:rFonts w:hint="eastAsia" w:asciiTheme="minorEastAsia" w:hAnsiTheme="minorEastAsia" w:eastAsiaTheme="minorEastAsia"/>
          <w:color w:val="auto"/>
          <w:szCs w:val="21"/>
          <w:highlight w:val="none"/>
        </w:rPr>
        <w:t>；</w:t>
      </w:r>
    </w:p>
    <w:p w14:paraId="04C8EE7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（7）办理与基金托管业务有关的信息披露事项；</w:t>
      </w:r>
    </w:p>
    <w:p w14:paraId="7800F01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（8）根据相关法律法规和本合同约定复核基金管理人编制的基金定期报告，并定期出具书面意见；</w:t>
      </w:r>
    </w:p>
    <w:p w14:paraId="5C57286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（9）按照本合同的约定，根据基金管理人或其授权人的资金划拨指令，及时办理清算、交割事宜；</w:t>
      </w:r>
    </w:p>
    <w:p w14:paraId="5ADA2E7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（10）按照法律法规规定，妥善保存基金管理业务活动有关合同、凭证等文件资料；</w:t>
      </w:r>
    </w:p>
    <w:p w14:paraId="1916DDB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（11）公平对待所托管的不同基金财产，不得从事任何有损基金财产及其他当事人利益的活动；</w:t>
      </w:r>
    </w:p>
    <w:p w14:paraId="1CE592E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（12）保守商业秘密，除法律法规规定和本合同约定外，不得向他人泄露本基金的有关信息；</w:t>
      </w:r>
    </w:p>
    <w:p w14:paraId="6C72B5C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（13）根据相关法律法规要求的保存期限，保存基金投资业务活动的全部会计资料，并妥善保存有关的合同、交易记录及其他相关资料；</w:t>
      </w:r>
    </w:p>
    <w:p w14:paraId="686FB3E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（14）</w:t>
      </w:r>
      <w:r>
        <w:rPr>
          <w:rFonts w:hint="eastAsia" w:ascii="宋体" w:hAnsi="宋体"/>
          <w:b/>
          <w:color w:val="auto"/>
          <w:highlight w:val="none"/>
        </w:rPr>
        <w:t>基金托管人仅根据经核对一致的估值数据，以基金托管人承诺监督的投资范围和投资限制为限（具体详见“越权交易”章节）对基金的直接投资进行监督</w:t>
      </w:r>
      <w:r>
        <w:rPr>
          <w:rFonts w:hint="eastAsia" w:ascii="宋体" w:hAnsi="宋体"/>
          <w:color w:val="auto"/>
          <w:highlight w:val="none"/>
        </w:rPr>
        <w:t>，</w:t>
      </w:r>
      <w:r>
        <w:rPr>
          <w:rFonts w:hint="eastAsia" w:asciiTheme="minorEastAsia" w:hAnsiTheme="minorEastAsia" w:eastAsiaTheme="minorEastAsia"/>
          <w:color w:val="auto"/>
          <w:szCs w:val="21"/>
          <w:highlight w:val="none"/>
        </w:rPr>
        <w:t>发现基金管理人的投资指令违反法律法规、及本合同约定的，应当拒绝执行，立即通知基金管理人；发现基金管理人依据交易程序已经生效的投资指令违反法律法规、及本合同约定的，应当立即通知基金管理人；</w:t>
      </w:r>
    </w:p>
    <w:p w14:paraId="36AABE4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（15）按照本合同约定制作相关账册并与基金管理人核对。</w:t>
      </w:r>
    </w:p>
    <w:p w14:paraId="4D21BFCA">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31" w:name="_Toc459392411"/>
      <w:r>
        <w:rPr>
          <w:rFonts w:hint="eastAsia" w:asciiTheme="minorEastAsia" w:hAnsiTheme="minorEastAsia" w:eastAsiaTheme="minorEastAsia"/>
          <w:color w:val="auto"/>
          <w:sz w:val="28"/>
          <w:szCs w:val="28"/>
          <w:highlight w:val="none"/>
        </w:rPr>
        <w:t>九、基金份额持有人大会及日常机构</w:t>
      </w:r>
      <w:bookmarkEnd w:id="31"/>
    </w:p>
    <w:p w14:paraId="78F9436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大会由基金份额持有人组成，基金份额持有人的合法授权代表有权代表基金份额持有人出席会议并表决。基金份额持有人大会不得直接参与或者干涉基金的投资管理活动。基金份额持有人持有的每一基金份额拥有平等的投票权。</w:t>
      </w:r>
    </w:p>
    <w:p w14:paraId="0896042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本基金份额持有人大会不设日常机构。</w:t>
      </w:r>
    </w:p>
    <w:p w14:paraId="1345043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（一）基金份额持有人大会的召开事由</w:t>
      </w:r>
    </w:p>
    <w:p w14:paraId="516DC47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1、当出现或需要决定下列事由之一的，应当召开基金份额持有人大会：</w:t>
      </w:r>
    </w:p>
    <w:p w14:paraId="64B9B15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（1）延长本合同期限；</w:t>
      </w:r>
    </w:p>
    <w:p w14:paraId="3EF2BD8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（2）提前终止本合同（按照本合同约定的提前终止条件提前终止的情形除外）；</w:t>
      </w:r>
    </w:p>
    <w:p w14:paraId="065E102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（3）更换基金管理人、基金托管人、基金管理人提请聘用或更换投资顾问；</w:t>
      </w:r>
    </w:p>
    <w:p w14:paraId="24388DB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（4）转换基金运作方式（法律法规和中国证监会另有约定的除外）；</w:t>
      </w:r>
    </w:p>
    <w:p w14:paraId="66E100D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（5）提高基金管理人、基金托管人、投资顾问的报酬标准（法律法规和中国证监会另有约定的除外）；</w:t>
      </w:r>
    </w:p>
    <w:p w14:paraId="40EEABF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（6）变更基金投资目标、投资策略（法律法规和中国证监会另有约定的除外）；</w:t>
      </w:r>
    </w:p>
    <w:p w14:paraId="1BFB37D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（7）变更基金份额持有人大会程序；</w:t>
      </w:r>
    </w:p>
    <w:p w14:paraId="4C57CB6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（8）基金管理人或基金托管人要求召开基金份额持有人大会；</w:t>
      </w:r>
    </w:p>
    <w:p w14:paraId="27EA11D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（9）单独或合计持有本基金总份额20%以上（含20%）基金份额的基金份额持有人（以基金管理人收到提议当日的基金份额计算，下同）就同一事项书面要求召开基金份额持有人大会；</w:t>
      </w:r>
    </w:p>
    <w:p w14:paraId="619E78B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（10）本合同约定的其他应当</w:t>
      </w:r>
      <w:r>
        <w:rPr>
          <w:rFonts w:asciiTheme="minorEastAsia" w:hAnsiTheme="minorEastAsia" w:eastAsiaTheme="minorEastAsia"/>
          <w:color w:val="auto"/>
          <w:szCs w:val="21"/>
          <w:highlight w:val="none"/>
        </w:rPr>
        <w:t>召开基金份额持有人大会的</w:t>
      </w:r>
      <w:r>
        <w:rPr>
          <w:rFonts w:hint="eastAsia" w:asciiTheme="minorEastAsia" w:hAnsiTheme="minorEastAsia" w:eastAsiaTheme="minorEastAsia"/>
          <w:color w:val="auto"/>
          <w:szCs w:val="21"/>
          <w:highlight w:val="none"/>
        </w:rPr>
        <w:t>事项；</w:t>
      </w:r>
    </w:p>
    <w:p w14:paraId="138E62B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（11）私募基金管理人失联、依法解散、被依法撤销、被依法宣告破产、被依法注销私募基金管理人登记等原因导致基金管理人客观上丧失继续管理私募投资基金的能力</w:t>
      </w:r>
      <w:r>
        <w:rPr>
          <w:rFonts w:hint="eastAsia" w:ascii="宋体" w:hAnsi="宋体"/>
          <w:color w:val="auto"/>
          <w:szCs w:val="21"/>
          <w:highlight w:val="none"/>
        </w:rPr>
        <w:t>或私募基金管理人怠于履行管理职责</w:t>
      </w:r>
      <w:r>
        <w:rPr>
          <w:rFonts w:hint="eastAsia" w:asciiTheme="minorEastAsia" w:hAnsiTheme="minorEastAsia" w:eastAsiaTheme="minorEastAsia"/>
          <w:color w:val="auto"/>
          <w:szCs w:val="21"/>
          <w:highlight w:val="none"/>
        </w:rPr>
        <w:t>，且管理人未按合同约定履行义务组织清算的；</w:t>
      </w:r>
    </w:p>
    <w:p w14:paraId="6308A5D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（12）法律法规、监管部门规定的其他应当</w:t>
      </w:r>
      <w:r>
        <w:rPr>
          <w:rFonts w:asciiTheme="minorEastAsia" w:hAnsiTheme="minorEastAsia" w:eastAsiaTheme="minorEastAsia"/>
          <w:color w:val="auto"/>
          <w:szCs w:val="21"/>
          <w:highlight w:val="none"/>
        </w:rPr>
        <w:t>召开基金份额持有人大会的事项</w:t>
      </w:r>
      <w:r>
        <w:rPr>
          <w:rFonts w:hint="eastAsia" w:asciiTheme="minorEastAsia" w:hAnsiTheme="minorEastAsia" w:eastAsiaTheme="minorEastAsia"/>
          <w:color w:val="auto"/>
          <w:szCs w:val="21"/>
          <w:highlight w:val="none"/>
        </w:rPr>
        <w:t>。</w:t>
      </w:r>
    </w:p>
    <w:p w14:paraId="741E98C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针对前款所列事项，基金份额持有人以书面形式一致表示同意的（包括通过签署补充协议的方式）,可以不召开基金份额持有人大会直接作出决议,并由全体基金份额持有人在决议文件上签名、盖章。</w:t>
      </w:r>
    </w:p>
    <w:p w14:paraId="12ACD61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ab/>
      </w:r>
      <w:r>
        <w:rPr>
          <w:rFonts w:hint="eastAsia" w:asciiTheme="minorEastAsia" w:hAnsiTheme="minorEastAsia" w:eastAsiaTheme="minorEastAsia"/>
          <w:color w:val="auto"/>
          <w:szCs w:val="21"/>
          <w:highlight w:val="none"/>
        </w:rPr>
        <w:t>以下事项可由基金管理人自行决定，不需召开基金份额持有人大会：</w:t>
      </w:r>
    </w:p>
    <w:p w14:paraId="7664FA0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（1）调低基金管理人的管理费、业绩报酬、申购费、销售服务费的费率及比例；</w:t>
      </w:r>
    </w:p>
    <w:p w14:paraId="605FB2D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（2）投资经理的变更；</w:t>
      </w:r>
    </w:p>
    <w:p w14:paraId="7BCDA66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（3）对本基金的认购、申购业务规则（包括但不限于总规模、单个基金投资者首次认购、申购金额、每次申购金额及持有的本基金总金额限制等）进行调整；</w:t>
      </w:r>
    </w:p>
    <w:p w14:paraId="12B9780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（4）本合同约定的其他事项；</w:t>
      </w:r>
    </w:p>
    <w:p w14:paraId="3975FA2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（5）法律法规、监管部门规定可以由基金管理人自行决定的事项。</w:t>
      </w:r>
    </w:p>
    <w:p w14:paraId="6835F71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ab/>
      </w:r>
      <w:r>
        <w:rPr>
          <w:rFonts w:hint="eastAsia" w:asciiTheme="minorEastAsia" w:hAnsiTheme="minorEastAsia" w:eastAsiaTheme="minorEastAsia"/>
          <w:color w:val="auto"/>
          <w:szCs w:val="21"/>
          <w:highlight w:val="none"/>
        </w:rPr>
        <w:t>以下事项可由基金管理人和基金托管人协商后修改，不需召开基金份额持有人大会：</w:t>
      </w:r>
    </w:p>
    <w:p w14:paraId="351B45C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（1）调低基金托管人及服务机构的费用报酬标准；</w:t>
      </w:r>
    </w:p>
    <w:p w14:paraId="48F9E61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（2）因相应的法律法规或监管机构对本合同内容与格式要求发生变动而应当对本合同进行变更；</w:t>
      </w:r>
    </w:p>
    <w:p w14:paraId="426EEE4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（3）对本合同的修改对基金份额持有人利益无实质性不利影响或修改不涉及本合同当事人权利义务关系发生变化；</w:t>
      </w:r>
    </w:p>
    <w:p w14:paraId="2C055F1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（4）本合同约定的其他事项；</w:t>
      </w:r>
    </w:p>
    <w:p w14:paraId="352A260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（5）法律法规、监管部门规定可由基金管理人和基金托管人协商决定的其他事项。</w:t>
      </w:r>
    </w:p>
    <w:p w14:paraId="3044B32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w:t>
      </w:r>
      <w:r>
        <w:rPr>
          <w:rFonts w:hint="eastAsia" w:asciiTheme="minorEastAsia" w:hAnsiTheme="minorEastAsia" w:eastAsiaTheme="minorEastAsia"/>
          <w:color w:val="auto"/>
          <w:szCs w:val="21"/>
          <w:highlight w:val="none"/>
        </w:rPr>
        <w:tab/>
      </w:r>
      <w:r>
        <w:rPr>
          <w:rFonts w:hint="eastAsia" w:asciiTheme="minorEastAsia" w:hAnsiTheme="minorEastAsia" w:eastAsiaTheme="minorEastAsia"/>
          <w:color w:val="auto"/>
          <w:szCs w:val="21"/>
          <w:highlight w:val="none"/>
        </w:rPr>
        <w:t>除上述1-3项规定的事项之外，基金管理人有权决定是否召开基金份额持有人大会审议。</w:t>
      </w:r>
    </w:p>
    <w:p w14:paraId="62E009D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（二）会议召集人及召集方式</w:t>
      </w:r>
    </w:p>
    <w:p w14:paraId="342BF99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1、除法律法规规定或本合同另有约定外，基金份额持有人大会由基金管理人召集。</w:t>
      </w:r>
    </w:p>
    <w:p w14:paraId="0364F24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代表基金份额20%以上（含20%）的基金份额持有人就同一事项书面要求召开基金份额持有人大会，应当向基金管理人提出书面提议。基金管理人应当自收到书面提议之日起10日内决定是否召集，并书面告知提出提议的基金份额持有人代表。基金管理人决定召集的，应当自出具书面决定之日起30日内召开；基金管理人决定不召集或怠于履行召集职责（包括管理人客观上丧失继续管理基金能力无法召集、管理人在规定期限内对书面提议不予回复等情形），代表基金份额20%以上（含20%）的基金份额持有人有权自行召集。基金份额持有人依法自行召集基金份额持有人大会的，应于会议召开前10个工作日通知基金管理人。基金份额持有人自行召集基金份额持有人大会的，基金管理人应当予以配合，不得阻碍、干扰。</w:t>
      </w:r>
    </w:p>
    <w:p w14:paraId="44123C6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3、基金份额持有人会议的召集人负责选择确定开会时间、地点、方式和权益登记日。</w:t>
      </w:r>
    </w:p>
    <w:p w14:paraId="4CE1BA0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（三）召开基金份额持有人大会的通知时间、通知内容、通知方式</w:t>
      </w:r>
    </w:p>
    <w:p w14:paraId="1A57EF3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1、召开基金份额持有人大会，召集人最迟应于会议召开前10个工作日通知全体基金份额持有人，基金份额持有人大会通知应至少载明以下内容：</w:t>
      </w:r>
    </w:p>
    <w:p w14:paraId="590C84C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（1）会议召开的时间、地点和出席方式；</w:t>
      </w:r>
    </w:p>
    <w:p w14:paraId="32CB49E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（2）会议拟审议的主要事项、议事程序和表决方式；</w:t>
      </w:r>
    </w:p>
    <w:p w14:paraId="08D23B4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（3）有权出席基金份额持有人大会的基金份额持有人的权益登记日；</w:t>
      </w:r>
    </w:p>
    <w:p w14:paraId="607E3EA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（4）授权委托书的内容要求（包括但不限于授权代表身份、代理权限和代理有效期限等）、送达的期限、地点；</w:t>
      </w:r>
    </w:p>
    <w:p w14:paraId="0B43F2F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（5）会务联系人姓名、电话及其他联系方式；</w:t>
      </w:r>
    </w:p>
    <w:p w14:paraId="414DBE9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（6）出席会议者必须准备的文件和必须履行的手续；</w:t>
      </w:r>
    </w:p>
    <w:p w14:paraId="7CC2ADA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（7）召集人需要通知的其他事项。</w:t>
      </w:r>
    </w:p>
    <w:p w14:paraId="61E68DA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采取通讯方式开会并进行表决的情况下，由会议召集人决定通讯方式和书面表决方式，并在会议通知中说明本次基金份额持有人大会所采取的具体通讯方式、委托的公证机关（如有）及其联系方式和联系人、书面表决意见的寄交截止时间和收取方式等事项。</w:t>
      </w:r>
    </w:p>
    <w:p w14:paraId="269AE27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（四）基金份额持有人出席会议的方式</w:t>
      </w:r>
    </w:p>
    <w:p w14:paraId="3581888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基金份额持有人大会可通过现场开会方式、通讯开会方式或法律法规及监管部门允许的其他方式召开，会议的召开方式由会议召集人确定。</w:t>
      </w:r>
    </w:p>
    <w:p w14:paraId="19E9407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1、现场开会。由基金份额持有人亲自或委派授权代表出席，现场开会时基金管理人的授权代表应当出席。基金管理人不派代表列席的，不影响表决效力。</w:t>
      </w:r>
    </w:p>
    <w:p w14:paraId="4973997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2、通讯开会。通讯开会系指基金份额持有人以通讯</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非</w:t>
      </w:r>
      <w:r>
        <w:rPr>
          <w:rFonts w:asciiTheme="minorEastAsia" w:hAnsiTheme="minorEastAsia" w:eastAsiaTheme="minorEastAsia"/>
          <w:color w:val="auto"/>
          <w:szCs w:val="21"/>
          <w:highlight w:val="none"/>
        </w:rPr>
        <w:t>现场）</w:t>
      </w:r>
      <w:r>
        <w:rPr>
          <w:rFonts w:hint="eastAsia" w:asciiTheme="minorEastAsia" w:hAnsiTheme="minorEastAsia" w:eastAsiaTheme="minorEastAsia"/>
          <w:color w:val="auto"/>
          <w:szCs w:val="21"/>
          <w:highlight w:val="none"/>
        </w:rPr>
        <w:t>的</w:t>
      </w:r>
      <w:r>
        <w:rPr>
          <w:rFonts w:asciiTheme="minorEastAsia" w:hAnsiTheme="minorEastAsia" w:eastAsiaTheme="minorEastAsia"/>
          <w:color w:val="auto"/>
          <w:szCs w:val="21"/>
          <w:highlight w:val="none"/>
        </w:rPr>
        <w:t>形式召开会议，并</w:t>
      </w:r>
      <w:r>
        <w:rPr>
          <w:rFonts w:hint="eastAsia" w:asciiTheme="minorEastAsia" w:hAnsiTheme="minorEastAsia" w:eastAsiaTheme="minorEastAsia"/>
          <w:color w:val="auto"/>
          <w:szCs w:val="21"/>
          <w:highlight w:val="none"/>
        </w:rPr>
        <w:t>将其对表决事项的投票以书面形式或会议规定的其他形式在约定的表决截止日以前按约定收取方式送达。通讯开会应以书面方式或会议规定的其他形式进行表决。</w:t>
      </w:r>
    </w:p>
    <w:p w14:paraId="77F7DEB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3、基金份额持有人授权他人代为出席会议并表决的，授权方式应采用书面方式。</w:t>
      </w:r>
    </w:p>
    <w:p w14:paraId="3DCE306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4、基金份额持有人大会应当有代表2/3以上（含2/3）基金份额总数的基金份额持有人参加，方可召开。未能满足上述条件的情况下，则召集人可另行确定并通知重新开会的时间。</w:t>
      </w:r>
    </w:p>
    <w:p w14:paraId="365D4DF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（五）议事内容与程序</w:t>
      </w:r>
    </w:p>
    <w:p w14:paraId="3D3E184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1、议事内容及提案权</w:t>
      </w:r>
    </w:p>
    <w:p w14:paraId="1423659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议事内容为关系基金份额持有人利益的重大事项。</w:t>
      </w:r>
    </w:p>
    <w:p w14:paraId="51F7EB2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基金份额持有人大会的召集人发出召集会议的通知后，对原有提案的修改应当在基金份额持有人大会召开前及时公告。</w:t>
      </w:r>
    </w:p>
    <w:p w14:paraId="1FF5125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基金份额持有人大会不得对未事先公告的议事内容进行表决。</w:t>
      </w:r>
    </w:p>
    <w:p w14:paraId="26FD658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2、议事程序</w:t>
      </w:r>
    </w:p>
    <w:p w14:paraId="646C7C9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（1）现场开会</w:t>
      </w:r>
    </w:p>
    <w:p w14:paraId="0E5C50EA">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出席大会的基金份额持有人所持表决权的二分之一以上（含二分之一）选举产生一名基金份额持有人作为该次基金份额持有人大会的主持人。基金管理人拒不出席或主持基金份额持有人大会，不影响基金份额持有人大会作出的决议的效力。</w:t>
      </w:r>
    </w:p>
    <w:p w14:paraId="7F2838F1">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会议召集人应当制作出席会议人员的签名册。签名册载明参加会议人员姓名（或单位名称）、身份证明文件号码、持有或代表有表决权的基金份额、委托人姓名（或单位名称）和联系方式等事项。会议主持人应指定专人制作会议纪要，会议纪要应详细记录大会召开时间、地点、出席人名单、议题和大会讨论和通过或否决的决议，并由会议主持人签名。</w:t>
      </w:r>
    </w:p>
    <w:p w14:paraId="1A39664D">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（2）通讯开会</w:t>
      </w:r>
    </w:p>
    <w:p w14:paraId="669ACA64">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在通讯开会的情况下，首先由召集人提前10日公布提案，在所通知的表决截止日期后2个工作日内由召集人统计全部有效表决并形成决议。</w:t>
      </w:r>
    </w:p>
    <w:p w14:paraId="25501797">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（六）表决</w:t>
      </w:r>
    </w:p>
    <w:p w14:paraId="77CD8B2C">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议事内容：基金份额持有人大会不得对事先未通知的议事内容进行表决。若出现基金管理人被基金业协会公告失联或私募基金管理人依法解散、被依法撤销、被依法宣告破产、被依法注销私募基金管理人登记等原因导致职责终止</w:t>
      </w:r>
      <w:r>
        <w:rPr>
          <w:rFonts w:hint="eastAsia" w:ascii="宋体" w:hAnsi="宋体"/>
          <w:color w:val="auto"/>
          <w:szCs w:val="21"/>
          <w:highlight w:val="none"/>
        </w:rPr>
        <w:t>或者私募基金管理人怠于履行管理职责，</w:t>
      </w:r>
      <w:r>
        <w:rPr>
          <w:rFonts w:hint="eastAsia" w:asciiTheme="minorEastAsia" w:hAnsiTheme="minorEastAsia" w:eastAsiaTheme="minorEastAsia"/>
          <w:color w:val="auto"/>
          <w:szCs w:val="21"/>
          <w:highlight w:val="none"/>
        </w:rPr>
        <w:t>且管理人未按合同约定履行义务组织清算的情形，基金份额持有人会议须做出本基金财产处置方案、基金清算方案等方案</w:t>
      </w:r>
      <w:r>
        <w:rPr>
          <w:rFonts w:hint="eastAsia" w:ascii="宋体" w:hAnsi="宋体"/>
          <w:color w:val="auto"/>
          <w:szCs w:val="21"/>
          <w:highlight w:val="none"/>
        </w:rPr>
        <w:t>或作出决议更换管理人以继续维持本基金运营</w:t>
      </w:r>
      <w:r>
        <w:rPr>
          <w:rFonts w:hint="eastAsia" w:asciiTheme="minorEastAsia" w:hAnsiTheme="minorEastAsia" w:eastAsiaTheme="minorEastAsia"/>
          <w:color w:val="auto"/>
          <w:szCs w:val="21"/>
          <w:highlight w:val="none"/>
        </w:rPr>
        <w:t>。</w:t>
      </w:r>
    </w:p>
    <w:p w14:paraId="03CC717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基金份额持有人所持每份基金份额享有一票表决权。</w:t>
      </w:r>
      <w:r>
        <w:rPr>
          <w:rFonts w:hint="eastAsia" w:ascii="宋体" w:hAnsi="宋体"/>
          <w:color w:val="auto"/>
          <w:szCs w:val="21"/>
          <w:highlight w:val="none"/>
        </w:rPr>
        <w:t>如基金管理人出现客观上丧失继续管理本基金能力或怠于履行管理职责的情形时，管理人以自有资金投资本基金的，其持有的基金份额对基金份额持有人大会决议事项不再享有表决权，本章节中有关持有人大会召集、表决等条款中基金份额（或称表决权）均为剔除管理人持有的基金份额以外的基金份额（或称表决权）。</w:t>
      </w:r>
    </w:p>
    <w:p w14:paraId="71B09A30">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大会决议须经出席会议的基金份额持有人或其代理人所持表决权的2/3以上（含2/3）通过方为有效。如根据相关法律法规存在合理要求需要更换基金管理人、托管人的，应当经出席会议的基金份额持有人或其代理人全体通过方为有效。</w:t>
      </w:r>
    </w:p>
    <w:p w14:paraId="63D87B46">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基金份额持有人大会采取记名方式进行投票表决。</w:t>
      </w:r>
    </w:p>
    <w:p w14:paraId="0389E252">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基金份额持有人大会的各项提案或同一项提案内并列的各项议题应当分开审议、逐项表决。</w:t>
      </w:r>
    </w:p>
    <w:p w14:paraId="53B71B2C">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（七）计票</w:t>
      </w:r>
    </w:p>
    <w:p w14:paraId="63299413">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1、现场开会</w:t>
      </w:r>
    </w:p>
    <w:p w14:paraId="0742137C">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如大会由基金管理人召集，基金份额持有人大会的主持人应当在会议开始后宣布在出席会议的基金份额持有人和代理人中选举一名基金份额持有人代表与大会召集人的一名授权代表共同担任监票人；如大会由基金份额持有人自行召集，基金份额持有人大会的主持人应当在会议开始后宣布在出席会议的基金份额持有人中选举一名基金份额持有人代表担任监票人。基金管理人不出席大会的，不影响计票的效力。</w:t>
      </w:r>
    </w:p>
    <w:p w14:paraId="623D0BC7">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（2）监票人应当在基金份额持有人表决后立即进行清点并由大会主持人当场公布计票结果。</w:t>
      </w:r>
    </w:p>
    <w:p w14:paraId="66E946F0">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700B2976">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（4）基金管理人或基金托管人拒不出席大会的，不影响计票的效力。</w:t>
      </w:r>
    </w:p>
    <w:p w14:paraId="4256E56A">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2、通讯开会</w:t>
      </w:r>
    </w:p>
    <w:p w14:paraId="0E3C644F">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在通讯开会的情况下，计票方式为：由大会召集人授权的两名监督员进行计票。符合会议通知约定的表决意见视为有效表决，表决意见模糊不清或相互矛盾的视为弃权表决。</w:t>
      </w:r>
    </w:p>
    <w:p w14:paraId="6887E90F">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（八）生效与公告</w:t>
      </w:r>
    </w:p>
    <w:p w14:paraId="241E027A">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基金份额持有人大会决议自表决通过之日起生效。</w:t>
      </w:r>
    </w:p>
    <w:p w14:paraId="5E606F27">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基金管理人、基金托管人和基金份额持有人应当执行生效的基金份额持有人大会的决议。</w:t>
      </w:r>
    </w:p>
    <w:p w14:paraId="08D9FCF5">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生效的基金份额持有人大会决议对全体基金份额持有人、基金管理人、基金托管人均有约束力。</w:t>
      </w:r>
    </w:p>
    <w:p w14:paraId="0D18E1FD">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（九）基金份额持有人大会决议的披露</w:t>
      </w:r>
    </w:p>
    <w:p w14:paraId="0F9A014D">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基金份额持有人大会决定的事项，应在生效之日起5个工作日通过在基金管理人网站公告或电子邮件、传真等形式通知全体基金份额持有人和其他相关当事人。</w:t>
      </w:r>
    </w:p>
    <w:p w14:paraId="57754989">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十）本基金存续期间，上述关于基金份额持有人大会召开事由、召开条件、议事程序、表决条件等规定，凡是直接引用法律法规或监管部门规定的部分，如将来法律法规或监管部门的规定修改导致相关内容被取消或变更，或者相关部分与届时有效的法律法规或监管部门的规定相冲突，则基金管理人经与基金托管人协商一致并提前公告后，可直接对本部分的相关内容进行修改和调整，无需召开基金份额持有人大会审议。</w:t>
      </w:r>
    </w:p>
    <w:p w14:paraId="06FBFF15">
      <w:pPr>
        <w:pStyle w:val="3"/>
        <w:keepNext w:val="0"/>
        <w:keepLines w:val="0"/>
        <w:adjustRightInd w:val="0"/>
        <w:snapToGrid w:val="0"/>
        <w:spacing w:before="312" w:beforeLines="100" w:after="312" w:afterLines="100" w:line="348" w:lineRule="auto"/>
        <w:jc w:val="center"/>
        <w:rPr>
          <w:rFonts w:asciiTheme="minorEastAsia" w:hAnsiTheme="minorEastAsia" w:eastAsiaTheme="minorEastAsia"/>
          <w:color w:val="auto"/>
          <w:sz w:val="28"/>
          <w:szCs w:val="28"/>
          <w:highlight w:val="none"/>
        </w:rPr>
      </w:pPr>
      <w:bookmarkStart w:id="32" w:name="_Toc459392412"/>
      <w:bookmarkStart w:id="33" w:name="_Toc194741908"/>
      <w:r>
        <w:rPr>
          <w:rFonts w:hint="eastAsia" w:asciiTheme="minorEastAsia" w:hAnsiTheme="minorEastAsia" w:eastAsiaTheme="minorEastAsia"/>
          <w:color w:val="auto"/>
          <w:sz w:val="28"/>
          <w:szCs w:val="28"/>
          <w:highlight w:val="none"/>
        </w:rPr>
        <w:t>十、基金份额的登记</w:t>
      </w:r>
      <w:bookmarkEnd w:id="32"/>
    </w:p>
    <w:p w14:paraId="395A112B">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（一）本基金的份额登记业务由基金管理人委托的服务机构代为办理。私募基金管理人委托可办理私募基金份额登记业务的其他机构代为办理私募基金份额登记业务的，应当与有关机构签订委托代理协议，并</w:t>
      </w:r>
      <w:r>
        <w:rPr>
          <w:rFonts w:asciiTheme="minorEastAsia" w:hAnsiTheme="minorEastAsia" w:eastAsiaTheme="minorEastAsia"/>
          <w:color w:val="auto"/>
          <w:szCs w:val="21"/>
          <w:highlight w:val="none"/>
        </w:rPr>
        <w:t>订明</w:t>
      </w:r>
      <w:r>
        <w:rPr>
          <w:rFonts w:hint="eastAsia" w:asciiTheme="minorEastAsia" w:hAnsiTheme="minorEastAsia" w:eastAsiaTheme="minorEastAsia"/>
          <w:color w:val="auto"/>
          <w:szCs w:val="21"/>
          <w:highlight w:val="none"/>
        </w:rPr>
        <w:t>份额登记机构的名称、外包业务登记编码、代为办理私募基金份额登记机构的权限和职责等。服务机构应履行如下份额登记职责：</w:t>
      </w:r>
    </w:p>
    <w:p w14:paraId="540FCD99">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1、配备足够的专业人员办理本基金份额的登记业务；</w:t>
      </w:r>
    </w:p>
    <w:p w14:paraId="4E511194">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2、严格按照本合同的约定办理本基金份额的登记业务；</w:t>
      </w:r>
    </w:p>
    <w:p w14:paraId="1CBEA748">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3、按照法律法规的要求，保存基金份额持有人名册及相关的认购、申购与赎回等业务记录；</w:t>
      </w:r>
    </w:p>
    <w:p w14:paraId="58C4148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4、对基金份额持有人的基金账户信息负有保密义务，因违反该保密义务对投资者或基金带来的损失，须承担相应的赔偿责任，但司法强制检查情形及法律法规及中国证监会规定的和本合同约定的其他情形除外；</w:t>
      </w:r>
    </w:p>
    <w:p w14:paraId="78B1983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5、法律法规及中国证监会规定的和本合同约定的其他义务。</w:t>
      </w:r>
    </w:p>
    <w:p w14:paraId="464AA9F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（二）基金管理人依法应承担的责任不因委托而免除。</w:t>
      </w:r>
    </w:p>
    <w:p w14:paraId="0A54664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（三）全体基金份额持有人同意基金管理人、份额登记机构或其他份额登记义务人应当按照中国基金业协会的规定办理基金份额登记数据的备份。</w:t>
      </w:r>
    </w:p>
    <w:p w14:paraId="2411345E">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34" w:name="_Toc459392413"/>
      <w:r>
        <w:rPr>
          <w:rFonts w:hint="eastAsia" w:asciiTheme="minorEastAsia" w:hAnsiTheme="minorEastAsia" w:eastAsiaTheme="minorEastAsia"/>
          <w:color w:val="auto"/>
          <w:sz w:val="28"/>
          <w:szCs w:val="28"/>
          <w:highlight w:val="none"/>
        </w:rPr>
        <w:t>十一、基金的投资</w:t>
      </w:r>
      <w:bookmarkEnd w:id="34"/>
    </w:p>
    <w:p w14:paraId="2CFF8B00">
      <w:pPr>
        <w:tabs>
          <w:tab w:val="left" w:pos="14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（一）投资经理：本基金的投资经理由基金管理人指定。</w:t>
      </w:r>
    </w:p>
    <w:p w14:paraId="4A737012">
      <w:pPr>
        <w:tabs>
          <w:tab w:val="left" w:pos="142"/>
        </w:tabs>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rPr>
        <w:t>1、本基金的投资经理：</w:t>
      </w:r>
      <w:r>
        <w:rPr>
          <w:rFonts w:hint="eastAsia" w:asciiTheme="minorEastAsia" w:hAnsiTheme="minorEastAsia" w:eastAsiaTheme="minorEastAsia"/>
          <w:color w:val="auto"/>
          <w:szCs w:val="21"/>
          <w:highlight w:val="none"/>
          <w:lang w:eastAsia="zh-CN"/>
        </w:rPr>
        <w:t>王敏敏</w:t>
      </w: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eastAsia="zh-CN"/>
        </w:rPr>
        <w:t>李森林</w:t>
      </w:r>
    </w:p>
    <w:p w14:paraId="3AB6BB7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eastAsia="zh-CN"/>
        </w:rPr>
        <w:t>王敏敏</w:t>
      </w: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eastAsia="zh-CN"/>
        </w:rPr>
        <w:t>北京石云科技有限公司</w:t>
      </w:r>
      <w:r>
        <w:rPr>
          <w:rFonts w:hint="eastAsia" w:asciiTheme="minorEastAsia" w:hAnsiTheme="minorEastAsia" w:eastAsiaTheme="minorEastAsia"/>
          <w:color w:val="auto"/>
          <w:szCs w:val="21"/>
          <w:highlight w:val="none"/>
        </w:rPr>
        <w:t>投资经理，曾任海外量化公司投资部总监，具备十年以上丰富的量化投资经验。</w:t>
      </w:r>
    </w:p>
    <w:p w14:paraId="7064DE1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eastAsia="zh-CN"/>
        </w:rPr>
        <w:t>李森林</w:t>
      </w: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eastAsia="zh-CN"/>
        </w:rPr>
        <w:t>北京石云科技有限公司</w:t>
      </w:r>
      <w:r>
        <w:rPr>
          <w:rFonts w:hint="eastAsia" w:asciiTheme="minorEastAsia" w:hAnsiTheme="minorEastAsia" w:eastAsiaTheme="minorEastAsia"/>
          <w:color w:val="auto"/>
          <w:szCs w:val="21"/>
          <w:highlight w:val="none"/>
        </w:rPr>
        <w:t>投资经理，曾任海外量化公司研究部总监，具备十年以上丰富的量化投资经验。</w:t>
      </w:r>
    </w:p>
    <w:p w14:paraId="270766F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本基金设置两名投资经理，投资经理分工安排合理性、管理方式、分工安排、调整机制如下：</w:t>
      </w:r>
    </w:p>
    <w:p w14:paraId="5043CDF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①合理性：【</w:t>
      </w:r>
      <w:r>
        <w:rPr>
          <w:rFonts w:hint="eastAsia" w:asciiTheme="minorEastAsia" w:hAnsiTheme="minorEastAsia" w:eastAsiaTheme="minorEastAsia"/>
          <w:color w:val="auto"/>
          <w:szCs w:val="21"/>
          <w:highlight w:val="none"/>
          <w:lang w:eastAsia="zh-CN"/>
        </w:rPr>
        <w:t>王敏敏</w:t>
      </w: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eastAsia="zh-CN"/>
        </w:rPr>
        <w:t>李森林</w:t>
      </w:r>
      <w:r>
        <w:rPr>
          <w:rFonts w:hint="eastAsia" w:asciiTheme="minorEastAsia" w:hAnsiTheme="minorEastAsia" w:eastAsiaTheme="minorEastAsia"/>
          <w:color w:val="auto"/>
          <w:szCs w:val="21"/>
          <w:highlight w:val="none"/>
        </w:rPr>
        <w:t>】均是本基金管理人投资决策委员会的核心成员，在日常基金投资管理工作中根据各自分工进行配合协作，在特别情况下亦互为 AB 角进行工作支持，实际工作场景中可根据情况调整内部分工以确保基金投资的正常运作。</w:t>
      </w:r>
    </w:p>
    <w:p w14:paraId="1FA4AB6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②管理方式：公司已建立清晰的决策流程，确保投资决策的效率和一致性。</w:t>
      </w:r>
    </w:p>
    <w:p w14:paraId="328725A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③分工安排：其中【</w:t>
      </w:r>
      <w:r>
        <w:rPr>
          <w:rFonts w:hint="eastAsia" w:asciiTheme="minorEastAsia" w:hAnsiTheme="minorEastAsia" w:eastAsiaTheme="minorEastAsia"/>
          <w:color w:val="auto"/>
          <w:szCs w:val="21"/>
          <w:highlight w:val="none"/>
          <w:lang w:eastAsia="zh-CN"/>
        </w:rPr>
        <w:t>王敏敏</w:t>
      </w:r>
      <w:r>
        <w:rPr>
          <w:rFonts w:hint="eastAsia" w:asciiTheme="minorEastAsia" w:hAnsiTheme="minorEastAsia" w:eastAsiaTheme="minorEastAsia"/>
          <w:color w:val="auto"/>
          <w:szCs w:val="21"/>
          <w:highlight w:val="none"/>
        </w:rPr>
        <w:t>】主要负责确定本基金之投资目标、投资范围、投资策略等与投资相关的重要事宜，统筹安排量化投资策略的评估和应用，以及下达投资指令等日常投资管理工作。【</w:t>
      </w:r>
      <w:r>
        <w:rPr>
          <w:rFonts w:hint="eastAsia" w:asciiTheme="minorEastAsia" w:hAnsiTheme="minorEastAsia" w:eastAsiaTheme="minorEastAsia"/>
          <w:color w:val="auto"/>
          <w:szCs w:val="21"/>
          <w:highlight w:val="none"/>
          <w:lang w:eastAsia="zh-CN"/>
        </w:rPr>
        <w:t>李森林</w:t>
      </w:r>
      <w:r>
        <w:rPr>
          <w:rFonts w:hint="eastAsia" w:asciiTheme="minorEastAsia" w:hAnsiTheme="minorEastAsia" w:eastAsiaTheme="minorEastAsia"/>
          <w:color w:val="auto"/>
          <w:szCs w:val="21"/>
          <w:highlight w:val="none"/>
        </w:rPr>
        <w:t>】主要负责确定本基金投资过程中的具体量化投资策略，策略的持续研发和优化升级等日常投资管理工作。</w:t>
      </w:r>
    </w:p>
    <w:p w14:paraId="6FBF516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④调整机制：公司定期评估投资经理的表现和团队合作的效率，根据评估结果进行必要的调整，以提高团队的整体表现。</w:t>
      </w:r>
    </w:p>
    <w:p w14:paraId="53EA1151">
      <w:pPr>
        <w:tabs>
          <w:tab w:val="left" w:pos="14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以上投资经理已取得基金从业资格并在基金业协会完成注册。</w:t>
      </w:r>
    </w:p>
    <w:p w14:paraId="16A6942B">
      <w:pPr>
        <w:tabs>
          <w:tab w:val="left" w:pos="14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2、投资经理的变更</w:t>
      </w:r>
    </w:p>
    <w:p w14:paraId="5F0DA01C">
      <w:pPr>
        <w:tabs>
          <w:tab w:val="left" w:pos="14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私募基金管理人若需要变更投资经理，需事前通过电子邮件或其他管理人认可的方式取得基金份额持有人同意。私募基金管理人应在变更投资经理后三个工作日内通过私募基金管理人网站公告或以电话、短信、电子邮件等任一方式告知基金份额持有人。投资经理发生变更的，私募基金管理人设置临时开放日允许</w:t>
      </w:r>
      <w:r>
        <w:rPr>
          <w:rFonts w:hint="eastAsia" w:ascii="宋体" w:hAnsi="宋体"/>
          <w:color w:val="auto"/>
          <w:szCs w:val="21"/>
          <w:highlight w:val="none"/>
        </w:rPr>
        <w:t>不同意变更的</w:t>
      </w:r>
      <w:r>
        <w:rPr>
          <w:rFonts w:hint="eastAsia" w:asciiTheme="minorEastAsia" w:hAnsiTheme="minorEastAsia" w:eastAsiaTheme="minorEastAsia"/>
          <w:color w:val="auto"/>
          <w:szCs w:val="21"/>
          <w:highlight w:val="none"/>
        </w:rPr>
        <w:t>基金份额持有人赎回（本基金的管理人及其员工的份额持有期低于6个月（180天）、其他投资者的份额持有期低于</w:t>
      </w:r>
      <w:r>
        <w:rPr>
          <w:rFonts w:asciiTheme="minorEastAsia" w:hAnsiTheme="minorEastAsia" w:eastAsiaTheme="minorEastAsia"/>
          <w:color w:val="auto"/>
          <w:szCs w:val="21"/>
          <w:highlight w:val="none"/>
        </w:rPr>
        <w:t>6</w:t>
      </w:r>
      <w:r>
        <w:rPr>
          <w:rFonts w:hint="eastAsia" w:asciiTheme="minorEastAsia" w:hAnsiTheme="minorEastAsia" w:eastAsiaTheme="minorEastAsia"/>
          <w:color w:val="auto"/>
          <w:szCs w:val="21"/>
          <w:highlight w:val="none"/>
        </w:rPr>
        <w:t>个月（</w:t>
      </w:r>
      <w:r>
        <w:rPr>
          <w:rFonts w:asciiTheme="minorEastAsia" w:hAnsiTheme="minorEastAsia" w:eastAsiaTheme="minorEastAsia"/>
          <w:color w:val="auto"/>
          <w:szCs w:val="21"/>
          <w:highlight w:val="none"/>
        </w:rPr>
        <w:t>18</w:t>
      </w:r>
      <w:r>
        <w:rPr>
          <w:rFonts w:hint="eastAsia" w:asciiTheme="minorEastAsia" w:hAnsiTheme="minorEastAsia" w:eastAsiaTheme="minorEastAsia"/>
          <w:color w:val="auto"/>
          <w:szCs w:val="21"/>
          <w:highlight w:val="none"/>
        </w:rPr>
        <w:t>0天）</w:t>
      </w:r>
      <w:r>
        <w:rPr>
          <w:rFonts w:hint="eastAsia" w:ascii="宋体" w:hAnsi="宋体"/>
          <w:color w:val="auto"/>
          <w:szCs w:val="21"/>
          <w:highlight w:val="none"/>
        </w:rPr>
        <w:t>（如本基金对其他投资者设置份额锁定期）</w:t>
      </w:r>
      <w:r>
        <w:rPr>
          <w:rFonts w:hint="eastAsia" w:asciiTheme="minorEastAsia" w:hAnsiTheme="minorEastAsia" w:eastAsiaTheme="minorEastAsia"/>
          <w:color w:val="auto"/>
          <w:szCs w:val="21"/>
          <w:highlight w:val="none"/>
        </w:rPr>
        <w:t>的，不得赎回该等基金份额）。</w:t>
      </w:r>
    </w:p>
    <w:p w14:paraId="4CAD40A4">
      <w:pPr>
        <w:tabs>
          <w:tab w:val="left" w:pos="14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（二）投资目标：</w:t>
      </w:r>
    </w:p>
    <w:p w14:paraId="510750A2">
      <w:pPr>
        <w:tabs>
          <w:tab w:val="left" w:pos="14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本基金在深入研究的基础上构建投资组合，力争获得投资回报。</w:t>
      </w:r>
    </w:p>
    <w:p w14:paraId="52BF285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（三）投资范围：</w:t>
      </w:r>
    </w:p>
    <w:p w14:paraId="5AE9FB9A">
      <w:pPr>
        <w:adjustRightInd w:val="0"/>
        <w:snapToGrid w:val="0"/>
        <w:spacing w:before="93" w:beforeLines="30" w:after="93" w:afterLines="30" w:line="360" w:lineRule="auto"/>
        <w:ind w:firstLine="420" w:firstLineChars="200"/>
        <w:rPr>
          <w:rFonts w:asciiTheme="minorEastAsia" w:hAnsiTheme="minorEastAsia"/>
          <w:color w:val="auto"/>
          <w:szCs w:val="21"/>
          <w:highlight w:val="none"/>
        </w:rPr>
      </w:pPr>
      <w:r>
        <w:rPr>
          <w:rFonts w:hint="eastAsia" w:asciiTheme="minorEastAsia" w:hAnsiTheme="minorEastAsia" w:eastAsiaTheme="minorEastAsia"/>
          <w:color w:val="auto"/>
          <w:szCs w:val="21"/>
          <w:highlight w:val="none"/>
        </w:rPr>
        <w:t>1、权益类：国内依法</w:t>
      </w:r>
      <w:r>
        <w:rPr>
          <w:rFonts w:hint="eastAsia" w:ascii="宋体" w:hAnsi="宋体"/>
          <w:color w:val="auto"/>
          <w:szCs w:val="21"/>
          <w:highlight w:val="none"/>
        </w:rPr>
        <w:t>发行上市的股票（含新股申购，不含优先股）。</w:t>
      </w:r>
    </w:p>
    <w:p w14:paraId="31E91DE8">
      <w:pPr>
        <w:adjustRightInd w:val="0"/>
        <w:snapToGrid w:val="0"/>
        <w:spacing w:before="93" w:beforeLines="30" w:after="93" w:afterLines="30" w:line="360" w:lineRule="auto"/>
        <w:ind w:firstLine="420" w:firstLineChars="200"/>
        <w:rPr>
          <w:rFonts w:asciiTheme="minorEastAsia" w:hAnsiTheme="minorEastAsia"/>
          <w:color w:val="auto"/>
          <w:szCs w:val="21"/>
          <w:highlight w:val="none"/>
        </w:rPr>
      </w:pPr>
      <w:r>
        <w:rPr>
          <w:rFonts w:hint="eastAsia" w:asciiTheme="minorEastAsia" w:hAnsiTheme="minorEastAsia" w:eastAsiaTheme="minorEastAsia"/>
          <w:color w:val="auto"/>
          <w:szCs w:val="21"/>
          <w:highlight w:val="none"/>
        </w:rPr>
        <w:t>2、固定收益类：</w:t>
      </w:r>
      <w:r>
        <w:rPr>
          <w:rFonts w:hint="eastAsia" w:ascii="宋体" w:hAnsi="宋体"/>
          <w:color w:val="auto"/>
          <w:szCs w:val="21"/>
          <w:highlight w:val="none"/>
        </w:rPr>
        <w:t>债券通用质押式回购。</w:t>
      </w:r>
    </w:p>
    <w:p w14:paraId="3E5F9D54">
      <w:pPr>
        <w:adjustRightInd w:val="0"/>
        <w:snapToGrid w:val="0"/>
        <w:spacing w:before="93" w:beforeLines="30" w:after="93" w:afterLines="30" w:line="360" w:lineRule="auto"/>
        <w:ind w:firstLine="420" w:firstLineChars="200"/>
        <w:rPr>
          <w:rFonts w:asciiTheme="minorEastAsia" w:hAnsiTheme="minorEastAsia"/>
          <w:color w:val="auto"/>
          <w:szCs w:val="21"/>
          <w:highlight w:val="none"/>
        </w:rPr>
      </w:pPr>
      <w:r>
        <w:rPr>
          <w:rFonts w:hint="eastAsia" w:asciiTheme="minorEastAsia" w:hAnsiTheme="minorEastAsia" w:eastAsiaTheme="minorEastAsia"/>
          <w:color w:val="auto"/>
          <w:szCs w:val="21"/>
          <w:highlight w:val="none"/>
        </w:rPr>
        <w:t>3、期货和衍生品类：</w:t>
      </w:r>
      <w:r>
        <w:rPr>
          <w:rFonts w:hint="eastAsia" w:ascii="宋体" w:hAnsi="宋体"/>
          <w:color w:val="auto"/>
          <w:szCs w:val="21"/>
          <w:highlight w:val="none"/>
        </w:rPr>
        <w:t>金融期货、商品期货。</w:t>
      </w:r>
    </w:p>
    <w:p w14:paraId="2ACFBB22">
      <w:pPr>
        <w:adjustRightInd w:val="0"/>
        <w:snapToGrid w:val="0"/>
        <w:spacing w:before="93" w:beforeLines="30" w:after="93" w:afterLines="30" w:line="360" w:lineRule="auto"/>
        <w:ind w:firstLine="420" w:firstLineChars="200"/>
        <w:rPr>
          <w:rFonts w:asciiTheme="minorEastAsia" w:hAnsiTheme="minorEastAsia"/>
          <w:color w:val="auto"/>
          <w:szCs w:val="21"/>
          <w:highlight w:val="none"/>
        </w:rPr>
      </w:pPr>
      <w:r>
        <w:rPr>
          <w:rFonts w:hint="eastAsia" w:asciiTheme="minorEastAsia" w:hAnsiTheme="minorEastAsia" w:eastAsiaTheme="minorEastAsia"/>
          <w:color w:val="auto"/>
          <w:szCs w:val="21"/>
          <w:highlight w:val="none"/>
        </w:rPr>
        <w:t>4、现金管理类：</w:t>
      </w:r>
      <w:r>
        <w:rPr>
          <w:rFonts w:hint="eastAsia" w:ascii="宋体" w:hAnsi="宋体"/>
          <w:color w:val="auto"/>
          <w:szCs w:val="21"/>
          <w:highlight w:val="none"/>
        </w:rPr>
        <w:t>银行活期存款、国债、货币市场基金等中国证监会认可的现金管理工具。</w:t>
      </w:r>
    </w:p>
    <w:p w14:paraId="41B3FF6E">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Theme="minorEastAsia" w:hAnsiTheme="minorEastAsia" w:eastAsiaTheme="minorEastAsia"/>
          <w:color w:val="auto"/>
          <w:szCs w:val="21"/>
          <w:highlight w:val="none"/>
        </w:rPr>
        <w:t>5、其他：</w:t>
      </w:r>
      <w:r>
        <w:rPr>
          <w:rFonts w:hint="eastAsia" w:ascii="宋体" w:hAnsi="宋体"/>
          <w:color w:val="auto"/>
          <w:szCs w:val="21"/>
          <w:highlight w:val="none"/>
        </w:rPr>
        <w:t>公开募集的证券投资基金、融资融券。</w:t>
      </w:r>
    </w:p>
    <w:p w14:paraId="19B6F869">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宋体" w:hAnsi="宋体"/>
          <w:color w:val="auto"/>
          <w:szCs w:val="21"/>
          <w:highlight w:val="none"/>
        </w:rPr>
        <w:t>本基金不参与期货实物交割。</w:t>
      </w:r>
    </w:p>
    <w:p w14:paraId="374AD83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如法律法规或中国证监会规定私募基金管理人需取得特定资质后方可投资上述证券或金融衍生产品的，则私募基金管理人投资上述证券或金融衍生产品前应获得相应资质。</w:t>
      </w:r>
    </w:p>
    <w:p w14:paraId="29655B05">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宋体" w:hAnsi="宋体"/>
          <w:color w:val="auto"/>
          <w:szCs w:val="21"/>
          <w:highlight w:val="none"/>
        </w:rPr>
        <w:t>投资范围变更应经私募基金管理人、基金份额持有人、私募基金托管人协商一致并签署生效补充协议，因</w:t>
      </w:r>
      <w:r>
        <w:rPr>
          <w:rFonts w:ascii="宋体" w:hAnsi="宋体"/>
          <w:color w:val="auto"/>
          <w:highlight w:val="none"/>
        </w:rPr>
        <w:t>法律法规</w:t>
      </w:r>
      <w:r>
        <w:rPr>
          <w:rFonts w:hint="eastAsia" w:ascii="宋体" w:hAnsi="宋体"/>
          <w:color w:val="auto"/>
          <w:highlight w:val="none"/>
        </w:rPr>
        <w:t>、中国证监会相关规定、行业指引、自律规则及有关政策</w:t>
      </w:r>
      <w:r>
        <w:rPr>
          <w:rFonts w:hint="eastAsia" w:ascii="宋体" w:hAnsi="宋体"/>
          <w:color w:val="auto"/>
          <w:szCs w:val="21"/>
          <w:highlight w:val="none"/>
        </w:rPr>
        <w:t>变动的除外。投资范围变更时，私募基金管理人设置临时开放日允许不同意变更的基金份额持有人赎回</w:t>
      </w:r>
      <w:r>
        <w:rPr>
          <w:rFonts w:hint="eastAsia" w:asciiTheme="minorEastAsia" w:hAnsiTheme="minorEastAsia" w:eastAsiaTheme="minorEastAsia"/>
          <w:color w:val="auto"/>
          <w:szCs w:val="21"/>
          <w:highlight w:val="none"/>
        </w:rPr>
        <w:t>（本基金的管理人及其员工的份额持有期低于6个月（180天）、其他投资者的份额持有期低于</w:t>
      </w:r>
      <w:r>
        <w:rPr>
          <w:rFonts w:asciiTheme="minorEastAsia" w:hAnsiTheme="minorEastAsia" w:eastAsiaTheme="minorEastAsia"/>
          <w:color w:val="auto"/>
          <w:szCs w:val="21"/>
          <w:highlight w:val="none"/>
        </w:rPr>
        <w:t>6</w:t>
      </w:r>
      <w:r>
        <w:rPr>
          <w:rFonts w:hint="eastAsia" w:asciiTheme="minorEastAsia" w:hAnsiTheme="minorEastAsia" w:eastAsiaTheme="minorEastAsia"/>
          <w:color w:val="auto"/>
          <w:szCs w:val="21"/>
          <w:highlight w:val="none"/>
        </w:rPr>
        <w:t>个月（</w:t>
      </w:r>
      <w:r>
        <w:rPr>
          <w:rFonts w:asciiTheme="minorEastAsia" w:hAnsiTheme="minorEastAsia" w:eastAsiaTheme="minorEastAsia"/>
          <w:color w:val="auto"/>
          <w:szCs w:val="21"/>
          <w:highlight w:val="none"/>
        </w:rPr>
        <w:t>18</w:t>
      </w:r>
      <w:r>
        <w:rPr>
          <w:rFonts w:hint="eastAsia" w:asciiTheme="minorEastAsia" w:hAnsiTheme="minorEastAsia" w:eastAsiaTheme="minorEastAsia"/>
          <w:color w:val="auto"/>
          <w:szCs w:val="21"/>
          <w:highlight w:val="none"/>
        </w:rPr>
        <w:t>0天）</w:t>
      </w:r>
      <w:r>
        <w:rPr>
          <w:rFonts w:hint="eastAsia" w:ascii="宋体" w:hAnsi="宋体"/>
          <w:color w:val="auto"/>
          <w:szCs w:val="21"/>
          <w:highlight w:val="none"/>
        </w:rPr>
        <w:t>（如本基金对其他投资者设置份额锁定期）</w:t>
      </w:r>
      <w:r>
        <w:rPr>
          <w:rFonts w:hint="eastAsia" w:asciiTheme="minorEastAsia" w:hAnsiTheme="minorEastAsia" w:eastAsiaTheme="minorEastAsia"/>
          <w:color w:val="auto"/>
          <w:szCs w:val="21"/>
          <w:highlight w:val="none"/>
        </w:rPr>
        <w:t>的，不得赎回该等基金份额）</w:t>
      </w:r>
      <w:r>
        <w:rPr>
          <w:rFonts w:hint="eastAsia" w:ascii="宋体" w:hAnsi="宋体"/>
          <w:color w:val="auto"/>
          <w:szCs w:val="21"/>
          <w:highlight w:val="none"/>
        </w:rPr>
        <w:t>。</w:t>
      </w:r>
    </w:p>
    <w:p w14:paraId="07D2BF3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（四）投资策略：</w:t>
      </w:r>
      <w:r>
        <w:rPr>
          <w:rFonts w:hint="eastAsia"/>
          <w:color w:val="auto"/>
          <w:highlight w:val="none"/>
        </w:rPr>
        <w:t>本基金采用对标1.5倍中证A500的指数增强策略，使用基金管理人自研的alpha多因子量化选股模型，在合适的时机配置适当的融资头寸构造投资组合，并审慎、适时地运用股指期货以满足多头仓位目标，同时按照中证A500（000510）指数的风险特征进行风险约束，在力求有效跟踪中证A500（000510）指数基础上，实现超越1.5倍中证A500指数的投资收益。在本基金的投资过程中，通过分析市场数据，构建各类选股因子。通过分析因子在多个维度上的综合表现，动态分配因子权重，从市场中筛选目标构建股票池。该策略覆盖大多数现有的市场数据来源，不依赖少数特定因子，力求因子类型分布的均衡分散和多样化，针对行业和风格偏离将从因子到组合进行双重策略风控，力争实现投资组合的相对稳健表现。</w:t>
      </w:r>
    </w:p>
    <w:p w14:paraId="02EE64A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（五）投资限制</w:t>
      </w:r>
    </w:p>
    <w:p w14:paraId="285D26F3">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宋体" w:hAnsi="宋体"/>
          <w:color w:val="auto"/>
          <w:szCs w:val="21"/>
          <w:highlight w:val="none"/>
        </w:rPr>
        <w:t>1、本基金存续期内，基金总资产与净资产的比例不得超过200%。本基金投向AA级及以下信用债(可转债除外)、流动性受限资产合计不超过基金净资产20%。</w:t>
      </w:r>
    </w:p>
    <w:p w14:paraId="377B2548">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宋体" w:hAnsi="宋体"/>
          <w:color w:val="auto"/>
          <w:szCs w:val="21"/>
          <w:highlight w:val="none"/>
        </w:rPr>
        <w:t>2、按市值计算，本基金直接和间接投资于股票等股权类资产的比例不低于本基金已投资产80%，已投资产不包含现金管理工具。</w:t>
      </w:r>
      <w:r>
        <w:rPr>
          <w:rFonts w:hint="eastAsia"/>
          <w:color w:val="auto"/>
          <w:highlight w:val="none"/>
        </w:rPr>
        <w:t>如本基金投资其他资管产品（含私募基金）的，本条监控按照穿透合并计算进行。</w:t>
      </w:r>
    </w:p>
    <w:p w14:paraId="7241E3E1">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宋体" w:hAnsi="宋体"/>
          <w:color w:val="auto"/>
          <w:szCs w:val="21"/>
          <w:highlight w:val="none"/>
        </w:rPr>
        <w:t>3、</w:t>
      </w:r>
      <w:r>
        <w:rPr>
          <w:rFonts w:hint="eastAsia" w:asciiTheme="minorEastAsia" w:hAnsiTheme="minorEastAsia" w:eastAsiaTheme="minorEastAsia"/>
          <w:color w:val="auto"/>
          <w:szCs w:val="21"/>
          <w:highlight w:val="none"/>
        </w:rPr>
        <w:t>按市值和成本孰低计算，</w:t>
      </w:r>
      <w:r>
        <w:rPr>
          <w:rFonts w:hint="eastAsia" w:ascii="宋体" w:hAnsi="宋体"/>
          <w:color w:val="auto"/>
          <w:szCs w:val="21"/>
          <w:highlight w:val="none"/>
        </w:rPr>
        <w:t>本基金投资于同一资产的资金，不得超过基金净资产的25%（</w:t>
      </w:r>
      <w:r>
        <w:rPr>
          <w:rFonts w:hint="eastAsia"/>
          <w:color w:val="auto"/>
          <w:highlight w:val="none"/>
        </w:rPr>
        <w:t>银行活期存款、国债、债券通用质押式回购、中央银行票据、政策性金融债、地方政府债券、公开募集基金等中国证监会、基金业协会认可的投资品种除外</w:t>
      </w:r>
      <w:r>
        <w:rPr>
          <w:rFonts w:hint="eastAsia" w:ascii="宋体" w:hAnsi="宋体"/>
          <w:color w:val="auto"/>
          <w:szCs w:val="21"/>
          <w:highlight w:val="none"/>
        </w:rPr>
        <w:t>）。</w:t>
      </w:r>
      <w:r>
        <w:rPr>
          <w:rFonts w:hint="eastAsia"/>
          <w:color w:val="auto"/>
          <w:highlight w:val="none"/>
        </w:rPr>
        <w:t>如本基金投资其他资管产品（含私募基金）的，本条监控按照穿透合并计算进行。</w:t>
      </w:r>
    </w:p>
    <w:p w14:paraId="3D2733DE">
      <w:pPr>
        <w:adjustRightInd w:val="0"/>
        <w:snapToGrid w:val="0"/>
        <w:spacing w:before="93" w:beforeLines="30" w:after="93" w:afterLines="30" w:line="360" w:lineRule="auto"/>
        <w:ind w:firstLine="420" w:firstLineChars="200"/>
        <w:rPr>
          <w:rFonts w:ascii="宋体" w:hAnsi="宋体" w:cs="宋体"/>
          <w:color w:val="auto"/>
          <w:szCs w:val="21"/>
          <w:highlight w:val="none"/>
        </w:rPr>
      </w:pPr>
      <w:r>
        <w:rPr>
          <w:rFonts w:hint="eastAsia" w:ascii="宋体" w:hAnsi="宋体"/>
          <w:color w:val="auto"/>
          <w:szCs w:val="21"/>
          <w:highlight w:val="none"/>
        </w:rPr>
        <w:t>4、本基金管理人管理的全部私募证券投资基金投资于同一资产的资金，不得超过该资产</w:t>
      </w:r>
      <w:r>
        <w:rPr>
          <w:rFonts w:hint="eastAsia" w:ascii="宋体" w:hAnsi="宋体" w:cs="宋体"/>
          <w:color w:val="auto"/>
          <w:szCs w:val="21"/>
          <w:highlight w:val="none"/>
        </w:rPr>
        <w:t>的25%</w:t>
      </w:r>
      <w:r>
        <w:rPr>
          <w:rFonts w:hint="eastAsia" w:ascii="宋体" w:hAnsi="宋体"/>
          <w:color w:val="auto"/>
          <w:szCs w:val="21"/>
          <w:highlight w:val="none"/>
        </w:rPr>
        <w:t>（</w:t>
      </w:r>
      <w:r>
        <w:rPr>
          <w:rFonts w:hint="eastAsia"/>
          <w:color w:val="auto"/>
          <w:highlight w:val="none"/>
        </w:rPr>
        <w:t>银行活期存款、国债、债券通用质押式回购、中央银行票据、政策性金融债、地方政府债券、公开募集基金等中国证监会、基金业协会认可的投资品种除外</w:t>
      </w:r>
      <w:r>
        <w:rPr>
          <w:rFonts w:hint="eastAsia" w:ascii="宋体" w:hAnsi="宋体"/>
          <w:color w:val="auto"/>
          <w:szCs w:val="21"/>
          <w:highlight w:val="none"/>
        </w:rPr>
        <w:t>）（本条由管理人自行监控）。</w:t>
      </w:r>
    </w:p>
    <w:p w14:paraId="6FC50FD7">
      <w:pPr>
        <w:pStyle w:val="13"/>
        <w:numPr>
          <w:ilvl w:val="255"/>
          <w:numId w:val="0"/>
        </w:numPr>
        <w:adjustRightInd w:val="0"/>
        <w:snapToGrid w:val="0"/>
        <w:spacing w:line="324" w:lineRule="auto"/>
        <w:ind w:firstLine="420" w:firstLineChars="200"/>
        <w:rPr>
          <w:rFonts w:ascii="宋体" w:hAnsi="宋体" w:cs="宋体"/>
          <w:color w:val="auto"/>
          <w:highlight w:val="none"/>
        </w:rPr>
      </w:pPr>
      <w:r>
        <w:rPr>
          <w:rFonts w:hint="eastAsia" w:ascii="宋体" w:hAnsi="宋体"/>
          <w:color w:val="auto"/>
          <w:szCs w:val="21"/>
          <w:highlight w:val="none"/>
        </w:rPr>
        <w:t>5、本基金管理人同一实际控制人控制的私募证券基金管理人的自有资金、管理的所有私募证券投资基金、担任投资顾问的资产管理产品合计持有单一上市公司发行的股票不得超过该上市公司可流通股票的30%，中国证监会、协会另有规定的除外（本条由管理人自行监控）。</w:t>
      </w:r>
    </w:p>
    <w:p w14:paraId="6E92FBC0">
      <w:pPr>
        <w:pStyle w:val="13"/>
        <w:adjustRightInd w:val="0"/>
        <w:snapToGrid w:val="0"/>
        <w:spacing w:line="360" w:lineRule="auto"/>
        <w:ind w:firstLine="422"/>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特别申明：</w:t>
      </w:r>
    </w:p>
    <w:p w14:paraId="38DA6377">
      <w:pPr>
        <w:pStyle w:val="13"/>
        <w:adjustRightInd w:val="0"/>
        <w:snapToGrid w:val="0"/>
        <w:spacing w:before="93" w:beforeLines="30" w:after="93" w:afterLines="30" w:line="360" w:lineRule="auto"/>
        <w:ind w:firstLine="422"/>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私募证券投资基金参与场外衍生品交易的（如有），私募基金管理人应当在该基金下一估值日前将场外衍生品交易情况、交易文件等提供给私募基金托管人。私募基金管理人签订场外衍生品交易文件时，应当明确授权由交易对手方、相关交易的清算机构在该基金下一估值日前直接向私募基金托管人提供场外衍生品交易文件并持续提供估值信息。如因私募基金管理人（或交易对手方、相关交易的清算机构等）未提供/未及时向私募基金托管人提供前述材料或者向私募基金托管人提供虚假或不完整材料，导致私募基金托管人无法进行监督的，私募基金托管人免责。本基金投资场外衍生品时（如有），私募基金管理人应确保本基金符合投资者适当性要求，确保本基金及所投资的场外衍生品符合监管要求和本合同对其特殊约定（如有）。</w:t>
      </w:r>
    </w:p>
    <w:p w14:paraId="1D9A0BE6">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私募证券投资基金开展债券质押式协议回购业务的（如有），私募基金管理人（或其指定的相关清算机构等）应当在该基金下一估值日前将参与债券质押式协议回购业务的交易文件、交易对手方及质押标的等信息提供给私募基金托管人。如因私募基金管理人（或其指定的相关清算机构等）未提供/未及时向私募基金托管人提供前述材料或者向私募基金托管人提供虚假或不完整材料，导致私募基金托管人无法进行监督的，私募基金托管人免责。</w:t>
      </w:r>
    </w:p>
    <w:p w14:paraId="76D81A2F">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以上投资比例及限制中</w:t>
      </w:r>
      <w:r>
        <w:rPr>
          <w:rFonts w:asciiTheme="minorEastAsia" w:hAnsiTheme="minorEastAsia" w:eastAsiaTheme="minorEastAsia"/>
          <w:b/>
          <w:bCs/>
          <w:color w:val="auto"/>
          <w:szCs w:val="21"/>
          <w:highlight w:val="none"/>
        </w:rPr>
        <w:t>，如涉及新股新债申购的申报金额与数量、盘中监控、交易策略类等监控事项的，由基金管理人自行监控，基金托管人不承担投资监督职责。</w:t>
      </w:r>
    </w:p>
    <w:p w14:paraId="55B004BE">
      <w:pPr>
        <w:pStyle w:val="13"/>
        <w:adjustRightInd w:val="0"/>
        <w:snapToGrid w:val="0"/>
        <w:spacing w:before="93" w:beforeLines="30" w:after="93" w:afterLines="30" w:line="360" w:lineRule="auto"/>
        <w:ind w:firstLine="422"/>
        <w:rPr>
          <w:rFonts w:asciiTheme="minorEastAsia" w:hAnsiTheme="minorEastAsia" w:eastAsiaTheme="minorEastAsia"/>
          <w:b/>
          <w:bCs/>
          <w:color w:val="auto"/>
          <w:szCs w:val="21"/>
          <w:highlight w:val="none"/>
        </w:rPr>
      </w:pPr>
      <w:r>
        <w:rPr>
          <w:rFonts w:asciiTheme="minorEastAsia" w:hAnsiTheme="minorEastAsia" w:eastAsiaTheme="minorEastAsia"/>
          <w:b/>
          <w:bCs/>
          <w:color w:val="auto"/>
          <w:szCs w:val="21"/>
          <w:highlight w:val="none"/>
        </w:rPr>
        <w:t>本基金投资其他金融产品时（如有），</w:t>
      </w:r>
      <w:r>
        <w:rPr>
          <w:rFonts w:hint="eastAsia" w:asciiTheme="minorEastAsia" w:hAnsiTheme="minorEastAsia" w:eastAsiaTheme="minorEastAsia"/>
          <w:b/>
          <w:bCs/>
          <w:color w:val="auto"/>
          <w:szCs w:val="21"/>
          <w:highlight w:val="none"/>
        </w:rPr>
        <w:t>私募基金管理人保证严格遵守</w:t>
      </w:r>
      <w:r>
        <w:rPr>
          <w:rFonts w:asciiTheme="minorEastAsia" w:hAnsiTheme="minorEastAsia" w:eastAsiaTheme="minorEastAsia"/>
          <w:b/>
          <w:bCs/>
          <w:color w:val="auto"/>
          <w:szCs w:val="21"/>
          <w:highlight w:val="none"/>
        </w:rPr>
        <w:t>监管</w:t>
      </w:r>
      <w:r>
        <w:rPr>
          <w:rFonts w:hint="eastAsia" w:asciiTheme="minorEastAsia" w:hAnsiTheme="minorEastAsia" w:eastAsiaTheme="minorEastAsia"/>
          <w:b/>
          <w:bCs/>
          <w:color w:val="auto"/>
          <w:szCs w:val="21"/>
          <w:highlight w:val="none"/>
        </w:rPr>
        <w:t>、自律组织等</w:t>
      </w:r>
      <w:r>
        <w:rPr>
          <w:rFonts w:asciiTheme="minorEastAsia" w:hAnsiTheme="minorEastAsia" w:eastAsiaTheme="minorEastAsia"/>
          <w:b/>
          <w:bCs/>
          <w:color w:val="auto"/>
          <w:szCs w:val="21"/>
          <w:highlight w:val="none"/>
        </w:rPr>
        <w:t>要求对下层资产进行穿透审核</w:t>
      </w:r>
      <w:r>
        <w:rPr>
          <w:rFonts w:hint="eastAsia" w:asciiTheme="minorEastAsia" w:hAnsiTheme="minorEastAsia" w:eastAsiaTheme="minorEastAsia"/>
          <w:b/>
          <w:bCs/>
          <w:color w:val="auto"/>
          <w:szCs w:val="21"/>
          <w:highlight w:val="none"/>
        </w:rPr>
        <w:t>：1、私募基金管理人负责</w:t>
      </w:r>
      <w:r>
        <w:rPr>
          <w:rFonts w:asciiTheme="minorEastAsia" w:hAnsiTheme="minorEastAsia" w:eastAsiaTheme="minorEastAsia"/>
          <w:b/>
          <w:bCs/>
          <w:color w:val="auto"/>
          <w:szCs w:val="21"/>
          <w:highlight w:val="none"/>
        </w:rPr>
        <w:t>确保该金融产品的投资范围符合监管要求</w:t>
      </w:r>
      <w:r>
        <w:rPr>
          <w:rFonts w:hint="eastAsia" w:asciiTheme="minorEastAsia" w:hAnsiTheme="minorEastAsia" w:eastAsiaTheme="minorEastAsia"/>
          <w:b/>
          <w:bCs/>
          <w:color w:val="auto"/>
          <w:szCs w:val="21"/>
          <w:highlight w:val="none"/>
        </w:rPr>
        <w:t>，</w:t>
      </w:r>
      <w:r>
        <w:rPr>
          <w:rFonts w:hint="eastAsia" w:ascii="宋体" w:hAnsi="宋体"/>
          <w:b/>
          <w:bCs/>
          <w:color w:val="auto"/>
          <w:highlight w:val="none"/>
        </w:rPr>
        <w:t>如本合同对拟投资标的进行穿透约定的（如投资某基金，对该基金的投向或如何运作进行约定），私募基金管理人负责审查本合同穿透约定与该投资标的交易文件的具体约定是否一致</w:t>
      </w:r>
      <w:r>
        <w:rPr>
          <w:rFonts w:hint="eastAsia" w:asciiTheme="minorEastAsia" w:hAnsiTheme="minorEastAsia" w:eastAsiaTheme="minorEastAsia"/>
          <w:b/>
          <w:bCs/>
          <w:color w:val="auto"/>
          <w:szCs w:val="21"/>
          <w:highlight w:val="none"/>
        </w:rPr>
        <w:t>；2、私募</w:t>
      </w:r>
      <w:r>
        <w:rPr>
          <w:rFonts w:asciiTheme="minorEastAsia" w:hAnsiTheme="minorEastAsia" w:eastAsiaTheme="minorEastAsia"/>
          <w:b/>
          <w:bCs/>
          <w:color w:val="auto"/>
          <w:szCs w:val="21"/>
          <w:highlight w:val="none"/>
        </w:rPr>
        <w:t>基金管理人</w:t>
      </w:r>
      <w:r>
        <w:rPr>
          <w:rFonts w:hint="eastAsia" w:asciiTheme="minorEastAsia" w:hAnsiTheme="minorEastAsia" w:eastAsiaTheme="minorEastAsia"/>
          <w:b/>
          <w:bCs/>
          <w:color w:val="auto"/>
          <w:szCs w:val="21"/>
          <w:highlight w:val="none"/>
        </w:rPr>
        <w:t>负责</w:t>
      </w:r>
      <w:r>
        <w:rPr>
          <w:rFonts w:asciiTheme="minorEastAsia" w:hAnsiTheme="minorEastAsia" w:eastAsiaTheme="minorEastAsia"/>
          <w:b/>
          <w:bCs/>
          <w:color w:val="auto"/>
          <w:szCs w:val="21"/>
          <w:highlight w:val="none"/>
        </w:rPr>
        <w:t>按</w:t>
      </w:r>
      <w:r>
        <w:rPr>
          <w:rFonts w:hint="eastAsia" w:asciiTheme="minorEastAsia" w:hAnsiTheme="minorEastAsia" w:eastAsiaTheme="minorEastAsia"/>
          <w:b/>
          <w:bCs/>
          <w:color w:val="auto"/>
          <w:szCs w:val="21"/>
          <w:highlight w:val="none"/>
        </w:rPr>
        <w:t>照</w:t>
      </w:r>
      <w:r>
        <w:rPr>
          <w:rFonts w:asciiTheme="minorEastAsia" w:hAnsiTheme="minorEastAsia" w:eastAsiaTheme="minorEastAsia"/>
          <w:b/>
          <w:bCs/>
          <w:color w:val="auto"/>
          <w:szCs w:val="21"/>
          <w:highlight w:val="none"/>
        </w:rPr>
        <w:t>穿透</w:t>
      </w:r>
      <w:r>
        <w:rPr>
          <w:rFonts w:hint="eastAsia" w:asciiTheme="minorEastAsia" w:hAnsiTheme="minorEastAsia" w:eastAsiaTheme="minorEastAsia"/>
          <w:b/>
          <w:bCs/>
          <w:color w:val="auto"/>
          <w:szCs w:val="21"/>
          <w:highlight w:val="none"/>
        </w:rPr>
        <w:t>原则</w:t>
      </w:r>
      <w:r>
        <w:rPr>
          <w:rFonts w:hint="eastAsia" w:ascii="宋体" w:hAnsi="宋体"/>
          <w:b/>
          <w:bCs/>
          <w:color w:val="auto"/>
          <w:highlight w:val="none"/>
        </w:rPr>
        <w:t>合并计算已投基金的资产比例、金额以及组合投资要求等是否符合要求，私募基金管理人应当按照所投资金融产品披露投资组合的频率，及时更新计算本基金所投资资产的金额或比例，并至少按季度向私募基金托管人主动发送私募基金管理人计算的穿透后各类资产比例以及相关核查材料或计算数据，私募基金托管人仅按照私募基金管理人提供的数据材料及提供频率进行事后监督，私募基金管理人应对所提供数据材料的真实性、准确性以及完整性负责，</w:t>
      </w:r>
      <w:r>
        <w:rPr>
          <w:rFonts w:hint="eastAsia" w:asciiTheme="minorEastAsia" w:hAnsiTheme="minorEastAsia" w:eastAsiaTheme="minorEastAsia"/>
          <w:b/>
          <w:bCs/>
          <w:color w:val="auto"/>
          <w:szCs w:val="21"/>
          <w:highlight w:val="none"/>
        </w:rPr>
        <w:t>如因私募基金管理人未提供/未及时向私募基金托管人提供前述材料或者向私募基金托管人提供虚假或不完整材料，导致私募基金托管人无法进行监督的，私募基金托管人免责。本基金如通过份额转让等方式投资金融产品时，私募基金管理人负责确保本基金投资金融产品符合嵌套层级的监管要求，基金份额转让价格由私募基金管理人负责控制和确定。</w:t>
      </w:r>
    </w:p>
    <w:p w14:paraId="2A23860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由于包括但不限于证券、期货市场波动、上市公司合并、组合规模变动等基金管理人之外的原因导致的投资比例不符合本合同约定的投资限制或投资禁止政策，为被动超标，除法律法规或本合同另有约定外，基金管理人应在发生不符合法律法规或投资政策之日起的20个交易日内调整完毕。如发生证券停牌或其他非基金管理人可以控制的原因导致基金管理人不能履行调整义务的，则调整期限相应顺延。基金管理人应当自证券恢复交易之日起的20个交易日内调整完毕，法律、行政法规、金融监管部门另有规定的，从其规定。</w:t>
      </w:r>
    </w:p>
    <w:p w14:paraId="6FAD25C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在本基金到期日前10个交易日内，因基金财产变现需要，本基金财产的投资比例限制可以不符合上述基金配置比例规定。</w:t>
      </w:r>
    </w:p>
    <w:p w14:paraId="0E8459B9">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投资比例限制变更应经私募基金管理人、基金份额持有人、私募基金托管人协商一致并签署生效补充协议</w:t>
      </w:r>
      <w:r>
        <w:rPr>
          <w:rFonts w:hint="eastAsia" w:ascii="宋体" w:hAnsi="宋体"/>
          <w:color w:val="auto"/>
          <w:szCs w:val="21"/>
          <w:highlight w:val="none"/>
        </w:rPr>
        <w:t>，因</w:t>
      </w:r>
      <w:r>
        <w:rPr>
          <w:rFonts w:ascii="宋体" w:hAnsi="宋体"/>
          <w:color w:val="auto"/>
          <w:highlight w:val="none"/>
        </w:rPr>
        <w:t>法律法规</w:t>
      </w:r>
      <w:r>
        <w:rPr>
          <w:rFonts w:hint="eastAsia" w:ascii="宋体" w:hAnsi="宋体"/>
          <w:color w:val="auto"/>
          <w:highlight w:val="none"/>
        </w:rPr>
        <w:t>、中国证监会相关规定、行业指引、自律规则及有关政策</w:t>
      </w:r>
      <w:r>
        <w:rPr>
          <w:rFonts w:hint="eastAsia" w:ascii="宋体" w:hAnsi="宋体"/>
          <w:color w:val="auto"/>
          <w:szCs w:val="21"/>
          <w:highlight w:val="none"/>
        </w:rPr>
        <w:t>变动的除外</w:t>
      </w:r>
      <w:r>
        <w:rPr>
          <w:rFonts w:hint="eastAsia" w:asciiTheme="minorEastAsia" w:hAnsiTheme="minorEastAsia" w:eastAsiaTheme="minorEastAsia"/>
          <w:color w:val="auto"/>
          <w:szCs w:val="21"/>
          <w:highlight w:val="none"/>
        </w:rPr>
        <w:t>。投资比例限制变更时，私募基金管理人设置临时开放日允许不同意变更的基金份额持有人赎回（本基金的管理人及其员工的份额持有期低于6个月（180天）、其他投资者的份额持有期低于</w:t>
      </w:r>
      <w:r>
        <w:rPr>
          <w:rFonts w:asciiTheme="minorEastAsia" w:hAnsiTheme="minorEastAsia" w:eastAsiaTheme="minorEastAsia"/>
          <w:color w:val="auto"/>
          <w:szCs w:val="21"/>
          <w:highlight w:val="none"/>
        </w:rPr>
        <w:t>6</w:t>
      </w:r>
      <w:r>
        <w:rPr>
          <w:rFonts w:hint="eastAsia" w:asciiTheme="minorEastAsia" w:hAnsiTheme="minorEastAsia" w:eastAsiaTheme="minorEastAsia"/>
          <w:color w:val="auto"/>
          <w:szCs w:val="21"/>
          <w:highlight w:val="none"/>
        </w:rPr>
        <w:t>个月（</w:t>
      </w:r>
      <w:r>
        <w:rPr>
          <w:rFonts w:asciiTheme="minorEastAsia" w:hAnsiTheme="minorEastAsia" w:eastAsiaTheme="minorEastAsia"/>
          <w:color w:val="auto"/>
          <w:szCs w:val="21"/>
          <w:highlight w:val="none"/>
        </w:rPr>
        <w:t>18</w:t>
      </w:r>
      <w:r>
        <w:rPr>
          <w:rFonts w:hint="eastAsia" w:asciiTheme="minorEastAsia" w:hAnsiTheme="minorEastAsia" w:eastAsiaTheme="minorEastAsia"/>
          <w:color w:val="auto"/>
          <w:szCs w:val="21"/>
          <w:highlight w:val="none"/>
        </w:rPr>
        <w:t>0天）</w:t>
      </w:r>
      <w:r>
        <w:rPr>
          <w:rFonts w:hint="eastAsia" w:ascii="宋体" w:hAnsi="宋体"/>
          <w:color w:val="auto"/>
          <w:szCs w:val="21"/>
          <w:highlight w:val="none"/>
        </w:rPr>
        <w:t>（如本基金对其他投资者设置份额锁定期）</w:t>
      </w:r>
      <w:r>
        <w:rPr>
          <w:rFonts w:hint="eastAsia" w:asciiTheme="minorEastAsia" w:hAnsiTheme="minorEastAsia" w:eastAsiaTheme="minorEastAsia"/>
          <w:color w:val="auto"/>
          <w:szCs w:val="21"/>
          <w:highlight w:val="none"/>
        </w:rPr>
        <w:t>的，不得赎回该等基金份额）。</w:t>
      </w:r>
    </w:p>
    <w:p w14:paraId="02B9E7D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（六）投资禁止行为</w:t>
      </w:r>
    </w:p>
    <w:p w14:paraId="6E23918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基金管理人不得利用基金财产从事下列行为或进行如下投资运作，若由此造成基金财产、合同当事人及第三方损失的，所有责任由基金管理人承担：</w:t>
      </w:r>
    </w:p>
    <w:p w14:paraId="1EBB716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1、违反规定向他人提供担保；</w:t>
      </w:r>
    </w:p>
    <w:p w14:paraId="42ED13A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从事承担无限责任的投资</w:t>
      </w:r>
      <w:r>
        <w:rPr>
          <w:rFonts w:hint="eastAsia" w:asciiTheme="minorEastAsia" w:hAnsiTheme="minorEastAsia" w:eastAsiaTheme="minorEastAsia"/>
          <w:color w:val="auto"/>
          <w:szCs w:val="21"/>
          <w:highlight w:val="none"/>
        </w:rPr>
        <w:t>；</w:t>
      </w:r>
    </w:p>
    <w:p w14:paraId="679417B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w:t>
      </w:r>
      <w:r>
        <w:rPr>
          <w:rFonts w:asciiTheme="minorEastAsia" w:hAnsiTheme="minorEastAsia" w:eastAsiaTheme="minorEastAsia"/>
          <w:color w:val="auto"/>
          <w:szCs w:val="21"/>
          <w:highlight w:val="none"/>
        </w:rPr>
        <w:t>从事内幕交易、操纵证券价格及其他不正当的证券交易活动</w:t>
      </w:r>
      <w:r>
        <w:rPr>
          <w:rFonts w:hint="eastAsia" w:asciiTheme="minorEastAsia" w:hAnsiTheme="minorEastAsia" w:eastAsiaTheme="minorEastAsia"/>
          <w:color w:val="auto"/>
          <w:szCs w:val="21"/>
          <w:highlight w:val="none"/>
        </w:rPr>
        <w:t>；</w:t>
      </w:r>
    </w:p>
    <w:p w14:paraId="6153E2E2">
      <w:pPr>
        <w:pStyle w:val="13"/>
        <w:numPr>
          <w:ilvl w:val="255"/>
          <w:numId w:val="0"/>
        </w:numPr>
        <w:adjustRightInd w:val="0"/>
        <w:snapToGrid w:val="0"/>
        <w:spacing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4、基金接受资产管理产品投资或者管理人担任资产管理产品投资顾问的，管理人不得以自有资金、第三方资金直接或者间接为该资产管理产品提供风险补偿或者保本保收益安排。</w:t>
      </w:r>
    </w:p>
    <w:p w14:paraId="102ACF46">
      <w:pPr>
        <w:pStyle w:val="13"/>
        <w:numPr>
          <w:ilvl w:val="255"/>
          <w:numId w:val="0"/>
        </w:numPr>
        <w:adjustRightInd w:val="0"/>
        <w:snapToGrid w:val="0"/>
        <w:spacing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5、不得通过场外衍生品、资产管理产品等规避私募基金监管要求。</w:t>
      </w:r>
    </w:p>
    <w:p w14:paraId="0B993394">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不得由投资者、第三方下达投资指令或者负责投资运作，不得为投资者、证券发行人、金融机构、其他私募基金管理人、资产管理产品以及其他私募基金等第三方提供规避投资范围、杠杆约束、投资者门槛等监管要求的通道服务。</w:t>
      </w:r>
    </w:p>
    <w:p w14:paraId="23E9039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w:t>
      </w:r>
      <w:r>
        <w:rPr>
          <w:rFonts w:asciiTheme="minorEastAsia" w:hAnsiTheme="minorEastAsia" w:eastAsiaTheme="minorEastAsia"/>
          <w:color w:val="auto"/>
          <w:szCs w:val="21"/>
          <w:highlight w:val="none"/>
        </w:rPr>
        <w:t>法律法规、中国证监会以及本合同规定禁止从事的其他行为。</w:t>
      </w:r>
    </w:p>
    <w:p w14:paraId="26C11F6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（七）关联交易</w:t>
      </w:r>
    </w:p>
    <w:p w14:paraId="778A967C">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宋体" w:hAnsi="宋体"/>
          <w:color w:val="auto"/>
          <w:szCs w:val="21"/>
          <w:highlight w:val="none"/>
        </w:rPr>
        <w:t>1、关联交易的识别认定</w:t>
      </w:r>
    </w:p>
    <w:p w14:paraId="0504477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基金管理人可</w:t>
      </w:r>
      <w:r>
        <w:rPr>
          <w:rFonts w:asciiTheme="minorEastAsia" w:hAnsiTheme="minorEastAsia" w:eastAsiaTheme="minorEastAsia"/>
          <w:color w:val="auto"/>
          <w:szCs w:val="21"/>
          <w:highlight w:val="none"/>
        </w:rPr>
        <w:t>运用基金财产买卖基金管理人、基金托管人及其控股股东、实际控制人或者与其有其他重大利害关系的公司发行的证券或承销期内承销的证券</w:t>
      </w:r>
      <w:r>
        <w:rPr>
          <w:rFonts w:hint="eastAsia" w:asciiTheme="minorEastAsia" w:hAnsiTheme="minorEastAsia" w:eastAsiaTheme="minorEastAsia"/>
          <w:color w:val="auto"/>
          <w:szCs w:val="21"/>
          <w:highlight w:val="none"/>
        </w:rPr>
        <w:t>；或上述主体直接或间接管理或代理销售的、或提供客户服务的、或者该等主体持有的符合本基金合同投资范围规定的投资产品。基金管理人亦可与基金管理人、基金托管人及其关联方或者与上述主体有其他重大利害关系的主体进行融资融券（如有）、收益互换(如有）、场外期权(如有）等交易。基金管理人也可运用基金财产与基金管理人、投资者、基金管理人管理的其他私募投资基金、同一实际控制人下的其他管理人管理的私募投资基金、或者与上述主体有其他重大利害关系的关联方进行交易。但前述所有交易需要遵循基金份额持有人利益优先的原则和平等自愿、等价有偿的原则，建立有效的关联交易风险控制机制。</w:t>
      </w:r>
    </w:p>
    <w:p w14:paraId="2E66707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如本基金将进行可能对基金份额持有人利益产生重大影响的关联交易的，基金管理人应当按照本合同的约定进行信息披露。</w:t>
      </w:r>
    </w:p>
    <w:p w14:paraId="289970F5">
      <w:pPr>
        <w:numPr>
          <w:ilvl w:val="0"/>
          <w:numId w:val="4"/>
        </w:num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宋体" w:hAnsi="宋体"/>
          <w:color w:val="auto"/>
          <w:szCs w:val="21"/>
          <w:highlight w:val="none"/>
        </w:rPr>
        <w:t>关联交易的交易决策</w:t>
      </w:r>
    </w:p>
    <w:p w14:paraId="0519B217">
      <w:pPr>
        <w:numPr>
          <w:ilvl w:val="255"/>
          <w:numId w:val="0"/>
        </w:numPr>
        <w:adjustRightInd w:val="0"/>
        <w:snapToGrid w:val="0"/>
        <w:spacing w:before="93" w:beforeLines="30" w:after="93" w:afterLines="30" w:line="360" w:lineRule="auto"/>
        <w:ind w:firstLine="420"/>
        <w:rPr>
          <w:rFonts w:ascii="宋体" w:hAnsi="宋体"/>
          <w:color w:val="auto"/>
          <w:szCs w:val="21"/>
          <w:highlight w:val="none"/>
        </w:rPr>
      </w:pPr>
      <w:r>
        <w:rPr>
          <w:rFonts w:hint="eastAsia" w:ascii="宋体" w:hAnsi="宋体"/>
          <w:color w:val="auto"/>
          <w:szCs w:val="21"/>
          <w:highlight w:val="none"/>
        </w:rPr>
        <w:t>基金管理人管理、运用基金财产开展关联交易的，管理人应当严格遵守相关法律法规规定和管理人内部的关联交易管理制度规定，对关联交易进行识别、决策、控制、审批、信披和报告。同时，管理人应严格履行内部管控机制对关联交易禁止行为、审议决策、交易定价等规范与约束。</w:t>
      </w:r>
    </w:p>
    <w:p w14:paraId="06D79C5A">
      <w:pPr>
        <w:numPr>
          <w:ilvl w:val="255"/>
          <w:numId w:val="0"/>
        </w:numPr>
        <w:adjustRightInd w:val="0"/>
        <w:snapToGrid w:val="0"/>
        <w:spacing w:before="93" w:beforeLines="30" w:after="93" w:afterLines="30" w:line="360" w:lineRule="auto"/>
        <w:ind w:firstLine="420"/>
        <w:rPr>
          <w:color w:val="auto"/>
          <w:highlight w:val="none"/>
        </w:rPr>
      </w:pPr>
      <w:r>
        <w:rPr>
          <w:rFonts w:hint="eastAsia" w:ascii="宋体" w:hAnsi="宋体"/>
          <w:color w:val="auto"/>
          <w:szCs w:val="21"/>
          <w:highlight w:val="none"/>
        </w:rPr>
        <w:t>基金管理人管理、运用基金财产开展关联交易前，应当经管理人内部关联交易决策审批机制（以管理人内部制度规定为准）进行关联交易的决策审批。未经管理人内部决策审批通过的，管理人不得管理、运用基金财产开展关联交易。</w:t>
      </w:r>
    </w:p>
    <w:p w14:paraId="2E23FF7E">
      <w:pPr>
        <w:numPr>
          <w:ilvl w:val="0"/>
          <w:numId w:val="5"/>
        </w:numPr>
        <w:adjustRightInd w:val="0"/>
        <w:snapToGrid w:val="0"/>
        <w:spacing w:line="324" w:lineRule="auto"/>
        <w:ind w:firstLine="420" w:firstLineChars="200"/>
        <w:rPr>
          <w:rFonts w:ascii="宋体" w:hAnsi="宋体"/>
          <w:color w:val="auto"/>
          <w:szCs w:val="21"/>
          <w:highlight w:val="none"/>
        </w:rPr>
      </w:pPr>
      <w:r>
        <w:rPr>
          <w:rFonts w:hint="eastAsia" w:ascii="宋体" w:hAnsi="宋体"/>
          <w:color w:val="auto"/>
          <w:szCs w:val="21"/>
          <w:highlight w:val="none"/>
        </w:rPr>
        <w:t>关联交易的对价确定</w:t>
      </w:r>
    </w:p>
    <w:p w14:paraId="273C89B8">
      <w:pPr>
        <w:numPr>
          <w:ilvl w:val="255"/>
          <w:numId w:val="0"/>
        </w:numPr>
        <w:adjustRightInd w:val="0"/>
        <w:snapToGrid w:val="0"/>
        <w:spacing w:line="324" w:lineRule="auto"/>
        <w:ind w:firstLine="420" w:firstLineChars="200"/>
        <w:rPr>
          <w:rFonts w:ascii="宋体" w:hAnsi="宋体"/>
          <w:color w:val="auto"/>
          <w:szCs w:val="21"/>
          <w:highlight w:val="none"/>
        </w:rPr>
      </w:pPr>
      <w:r>
        <w:rPr>
          <w:rFonts w:hint="eastAsia" w:ascii="宋体" w:hAnsi="宋体"/>
          <w:color w:val="auto"/>
          <w:szCs w:val="21"/>
          <w:highlight w:val="none"/>
        </w:rPr>
        <w:t>管理人管理、运用基金财产开展关联交易的，应当遵守法律法规有关规定和交易规则，按照诚实信用、公平合理等原则对关联交易对价进行控制。</w:t>
      </w:r>
    </w:p>
    <w:p w14:paraId="4AFE306D">
      <w:pPr>
        <w:adjustRightInd w:val="0"/>
        <w:snapToGrid w:val="0"/>
        <w:spacing w:line="324" w:lineRule="auto"/>
        <w:ind w:firstLine="420" w:firstLineChars="200"/>
        <w:rPr>
          <w:rFonts w:ascii="宋体" w:hAnsi="宋体"/>
          <w:color w:val="auto"/>
          <w:szCs w:val="21"/>
          <w:highlight w:val="none"/>
        </w:rPr>
      </w:pPr>
      <w:r>
        <w:rPr>
          <w:rFonts w:hint="eastAsia" w:ascii="宋体" w:hAnsi="宋体"/>
          <w:color w:val="auto"/>
          <w:szCs w:val="21"/>
          <w:highlight w:val="none"/>
        </w:rPr>
        <w:t>（1）关联交易的标的资产通过竞价方式交易的，应当按交易场所或管理人内部规定的合理报价规则下的成交结果定价。</w:t>
      </w:r>
    </w:p>
    <w:p w14:paraId="46EED94B">
      <w:pPr>
        <w:adjustRightInd w:val="0"/>
        <w:snapToGrid w:val="0"/>
        <w:spacing w:line="324" w:lineRule="auto"/>
        <w:ind w:firstLine="420" w:firstLineChars="200"/>
        <w:rPr>
          <w:rFonts w:ascii="宋体" w:hAnsi="宋体"/>
          <w:color w:val="auto"/>
          <w:szCs w:val="21"/>
          <w:highlight w:val="none"/>
        </w:rPr>
      </w:pPr>
      <w:r>
        <w:rPr>
          <w:rFonts w:hint="eastAsia" w:ascii="宋体" w:hAnsi="宋体"/>
          <w:color w:val="auto"/>
          <w:szCs w:val="21"/>
          <w:highlight w:val="none"/>
        </w:rPr>
        <w:t>（2）关联交易的标的资产通过协议方式交易的，存在独立第三方评估价格或者交易场所指定价格基准的，在合理偏离范围内进行定价。</w:t>
      </w:r>
    </w:p>
    <w:p w14:paraId="794F2ACF">
      <w:pPr>
        <w:adjustRightInd w:val="0"/>
        <w:snapToGrid w:val="0"/>
        <w:spacing w:line="324" w:lineRule="auto"/>
        <w:ind w:firstLine="420" w:firstLineChars="200"/>
        <w:rPr>
          <w:rFonts w:ascii="宋体" w:hAnsi="宋体"/>
          <w:color w:val="auto"/>
          <w:szCs w:val="21"/>
          <w:highlight w:val="none"/>
        </w:rPr>
      </w:pPr>
      <w:r>
        <w:rPr>
          <w:rFonts w:hint="eastAsia" w:ascii="宋体" w:hAnsi="宋体"/>
          <w:color w:val="auto"/>
          <w:szCs w:val="21"/>
          <w:highlight w:val="none"/>
        </w:rPr>
        <w:t>（3）关联交易的标的资产通过协议方式交易的，不存在独立第三方评估价格或者交易场所指定价格基准的，经管理人内部充分讨论后进行合理定价。</w:t>
      </w:r>
    </w:p>
    <w:p w14:paraId="7F19209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宋体" w:hAnsi="宋体"/>
          <w:color w:val="auto"/>
          <w:szCs w:val="21"/>
          <w:highlight w:val="none"/>
        </w:rPr>
        <w:t>（</w:t>
      </w:r>
      <w:r>
        <w:rPr>
          <w:rFonts w:ascii="宋体" w:hAnsi="宋体"/>
          <w:color w:val="auto"/>
          <w:szCs w:val="21"/>
          <w:highlight w:val="none"/>
        </w:rPr>
        <w:t>4</w:t>
      </w:r>
      <w:r>
        <w:rPr>
          <w:rFonts w:hint="eastAsia" w:ascii="宋体" w:hAnsi="宋体"/>
          <w:color w:val="auto"/>
          <w:szCs w:val="21"/>
          <w:highlight w:val="none"/>
        </w:rPr>
        <w:t>）关联交易的标的资产定价存在重大分歧的，管理人不得参与交易。</w:t>
      </w:r>
    </w:p>
    <w:p w14:paraId="49A42517">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宋体" w:hAnsi="宋体"/>
          <w:color w:val="auto"/>
          <w:szCs w:val="21"/>
          <w:highlight w:val="none"/>
        </w:rPr>
        <w:t>4、关联交易的信息披露</w:t>
      </w:r>
    </w:p>
    <w:p w14:paraId="7B99B453">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宋体" w:hAnsi="宋体"/>
          <w:color w:val="auto"/>
          <w:szCs w:val="21"/>
          <w:highlight w:val="none"/>
        </w:rPr>
        <w:t>基金管理人应当按照《私募投资基金信息披露管理办法》等相关法律法规的规定及本基金合同约定，对包括但不限于可能对基金份额持有人利益产生重大影响等关联交易，及时、准确、真实、完整履行关联交易相关信息披露义务，充分披露关联交易相关信息。</w:t>
      </w:r>
    </w:p>
    <w:p w14:paraId="55D8E976">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宋体" w:hAnsi="宋体"/>
          <w:color w:val="auto"/>
          <w:szCs w:val="21"/>
          <w:highlight w:val="none"/>
        </w:rPr>
        <w:t>5、关联交易的回避机制</w:t>
      </w:r>
    </w:p>
    <w:p w14:paraId="687316EB">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宋体" w:hAnsi="宋体"/>
          <w:color w:val="auto"/>
          <w:szCs w:val="21"/>
          <w:highlight w:val="none"/>
        </w:rPr>
        <w:t>管理人内部应当建立健全关联交易管理制度，建立不得利用关联交易进行利益输送、内幕交易和操纵市场等违法违规活动的关联交易回避安排。管理人运用基金财产进行关联交易的，关联方不得以任何方式干预基金管理人投资决策，有利害关系的人员应当回避表决，不得代理其他人员行使表决权。</w:t>
      </w:r>
    </w:p>
    <w:p w14:paraId="1E94CD29">
      <w:pPr>
        <w:pStyle w:val="20"/>
        <w:spacing w:before="93" w:beforeLines="30" w:after="93" w:afterLines="30" w:line="360" w:lineRule="auto"/>
        <w:ind w:firstLine="420"/>
        <w:rPr>
          <w:rFonts w:asciiTheme="minorEastAsia" w:hAnsiTheme="minorEastAsia" w:eastAsiaTheme="minorEastAsia" w:cstheme="minorEastAsia"/>
          <w:b/>
          <w:bCs/>
          <w:color w:val="auto"/>
          <w:szCs w:val="21"/>
          <w:highlight w:val="none"/>
        </w:rPr>
      </w:pPr>
      <w:r>
        <w:rPr>
          <w:rFonts w:hint="eastAsia" w:asciiTheme="minorEastAsia" w:hAnsiTheme="minorEastAsia" w:eastAsiaTheme="minorEastAsia" w:cstheme="minorEastAsia"/>
          <w:b/>
          <w:bCs/>
          <w:color w:val="auto"/>
          <w:szCs w:val="21"/>
          <w:highlight w:val="none"/>
        </w:rPr>
        <w:t>上述关联交易识别认定、交易决策、对价确定、信息披露以及回避机制由基金管理人负责执行，基金托管人不对上述关联交易事项承担投资监督职责，不对上述关联交易是否存在利益输送、不公平交易等情形承担监督职责，如因本基金进行任何关联交易造成基金投资者损失的，基金托管人对此不承担任何赔偿责任。</w:t>
      </w:r>
    </w:p>
    <w:p w14:paraId="0C64910A">
      <w:pPr>
        <w:pStyle w:val="20"/>
        <w:spacing w:before="93" w:beforeLines="30" w:after="93" w:afterLines="30" w:line="360" w:lineRule="auto"/>
        <w:ind w:firstLine="420"/>
        <w:rPr>
          <w:rFonts w:asciiTheme="minorEastAsia" w:hAnsiTheme="minorEastAsia" w:eastAsiaTheme="minorEastAsia" w:cstheme="minorEastAsia"/>
          <w:b/>
          <w:bCs/>
          <w:color w:val="auto"/>
          <w:szCs w:val="21"/>
          <w:highlight w:val="none"/>
        </w:rPr>
      </w:pPr>
      <w:r>
        <w:rPr>
          <w:rFonts w:hint="eastAsia" w:asciiTheme="minorEastAsia" w:hAnsiTheme="minorEastAsia" w:eastAsiaTheme="minorEastAsia" w:cstheme="minorEastAsia"/>
          <w:b/>
          <w:bCs/>
          <w:color w:val="auto"/>
          <w:szCs w:val="21"/>
          <w:highlight w:val="none"/>
        </w:rPr>
        <w:t>基金投资者特此声明：基金投资者签署本合同即表明其已经知晓和认可本基金的关联交易决策机制，并同意私募基金管理人可按照关联交易决策机制进行上述关联交易，而无须额外取得全体基金份额持有人同意；基金投资者承诺不得就上述声明提出任何质疑或主张。基金份额持有人不得因本基金投资收益劣于私募基金管理人及其关联方管理的其他投资产品，而向私募基金管理人或私募基金托管人提出任何损失或损害补偿的要求。</w:t>
      </w:r>
    </w:p>
    <w:p w14:paraId="2F382C0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（八）业绩比较基准</w:t>
      </w:r>
    </w:p>
    <w:p w14:paraId="55E4512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本基金不设业绩比较基准。</w:t>
      </w:r>
    </w:p>
    <w:p w14:paraId="4D5FF37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（九）融资融券及其他场外证券业务的参与情况（如有）</w:t>
      </w:r>
    </w:p>
    <w:p w14:paraId="305C4D1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能否参与融资融券及其他场外证券业务，依赖于本合同约定的投资范围是否包含融资融券及其他场外证券。本基金如可参与融资融券业务，在放大投资收益的同时也放大了投资风险，同时还须支付相应的利息和费用，由此承担的风险可能远远超过普通证券交易；本基金如可参与场外衍生品（包括互换、场外期权等品种）的交易，投资收益受挂钩标的的市场价格、市场利率、波动率或相关性等因素的影响，导致本基金收益产生不确定性的风险。</w:t>
      </w:r>
    </w:p>
    <w:p w14:paraId="0239EE3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（十）风险收益特征：</w:t>
      </w:r>
    </w:p>
    <w:p w14:paraId="69E4F49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本基金属于</w:t>
      </w:r>
      <w:r>
        <w:rPr>
          <w:rFonts w:asciiTheme="minorEastAsia" w:hAnsiTheme="minorEastAsia" w:eastAsiaTheme="minorEastAsia"/>
          <w:color w:val="auto"/>
          <w:szCs w:val="21"/>
          <w:highlight w:val="none"/>
        </w:rPr>
        <w:t>R4级投资品种，适合风险识别、评估、承受能力[C4及以上]的普通投资者及专业投资者。</w:t>
      </w:r>
    </w:p>
    <w:p w14:paraId="4A6A5EFA">
      <w:pPr>
        <w:spacing w:line="360" w:lineRule="auto"/>
        <w:ind w:firstLine="422" w:firstLineChars="200"/>
        <w:rPr>
          <w:rFonts w:asciiTheme="minorEastAsia" w:hAnsiTheme="minorEastAsia" w:eastAsiaTheme="minorEastAsia"/>
          <w:b/>
          <w:bCs/>
          <w:color w:val="auto"/>
          <w:szCs w:val="21"/>
          <w:highlight w:val="none"/>
        </w:rPr>
      </w:pPr>
      <w:r>
        <w:rPr>
          <w:rFonts w:hint="eastAsia" w:ascii="宋体" w:hAnsi="宋体"/>
          <w:b/>
          <w:bCs/>
          <w:color w:val="auto"/>
          <w:szCs w:val="21"/>
          <w:highlight w:val="none"/>
        </w:rPr>
        <w:t>本基金合同所列示之风险收益特征与风险等级为私募基金管理人【或其委托的代理销售机构】根据内部制度以及标准确定，私募基金管理人【或其委托的代理销售机构】有权调整风险收益特征或风险等级，但是应当按照法律法规或合同约定（如有）通知全体份额持有人。私募基金托管人对基金实际投资情况是否符合以上风险收益特征不负有监督义务。</w:t>
      </w:r>
    </w:p>
    <w:p w14:paraId="7B2CE61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（十一）基金的预警与止损：</w:t>
      </w:r>
    </w:p>
    <w:p w14:paraId="30B07BA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本基金不设置预警线、止损线。</w:t>
      </w:r>
    </w:p>
    <w:p w14:paraId="434CBB3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（十二）其他</w:t>
      </w:r>
    </w:p>
    <w:p w14:paraId="0064479D">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本基金投资非证券交易所或期货交易所发行、上市的投资标的时，基金份额持有人在此授权并同意：基金管理人有权代表本基金与相关方签署基金投资相关文件及协议，并以基金管理人的名义办理相关权属登记及变更手续。但基金管理人应确保向投资相关方说明真实的资金来源为本基金，并保证将投资本金及收益及时返回至本基金托管资金账户。</w:t>
      </w:r>
    </w:p>
    <w:p w14:paraId="3AF4FF1A">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35" w:name="_Toc459392414"/>
      <w:r>
        <w:rPr>
          <w:rFonts w:hint="eastAsia" w:asciiTheme="minorEastAsia" w:hAnsiTheme="minorEastAsia" w:eastAsiaTheme="minorEastAsia"/>
          <w:color w:val="auto"/>
          <w:sz w:val="28"/>
          <w:szCs w:val="28"/>
          <w:highlight w:val="none"/>
        </w:rPr>
        <w:t>十二、基金的财产</w:t>
      </w:r>
      <w:bookmarkEnd w:id="33"/>
      <w:bookmarkEnd w:id="35"/>
    </w:p>
    <w:p w14:paraId="4EA8F56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（一）基金财产的保管与处分</w:t>
      </w:r>
    </w:p>
    <w:p w14:paraId="67544810">
      <w:pPr>
        <w:adjustRightInd w:val="0"/>
        <w:snapToGrid w:val="0"/>
        <w:spacing w:before="93" w:beforeLines="30" w:after="93" w:afterLines="30" w:line="360" w:lineRule="auto"/>
        <w:ind w:firstLine="420"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color w:val="auto"/>
          <w:szCs w:val="21"/>
          <w:highlight w:val="none"/>
        </w:rPr>
        <w:t>1、基金财产独立于基金管理人、基金托管人的固有财产。基金管理人、基金托管人不得将基金财产归入其固有财产。</w:t>
      </w:r>
    </w:p>
    <w:p w14:paraId="43A15FE7">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2、基金托管人仅负责保管本基金项下托管资金账户内的资金，对于除此之外的本基金项下的其他基金财产，由基金管理人保管相关财产或财产权利凭证的，基金管理人应当自行安全保管，基金托管人不承担保管责任。基金托管人依据基金管理人的划款指令将委托资金划出托管资金账户后至委托财产相关投资本金及收益以现金形式划回托管资金账户期间，基金托管人不再承担资金或资产的保管职责。</w:t>
      </w:r>
    </w:p>
    <w:p w14:paraId="4E13AF7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3、基金管理人、基金托管人因基金财产的管理、运用或者其他情形而取得的财产和收益归入基金财产。</w:t>
      </w:r>
    </w:p>
    <w:p w14:paraId="499D623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基金管理人、基金托管人可以按照本合同的约定收取管理费、托管费以及本合同约定的其他费用。基金管理人、基金托管人以其固有财产承担法律责任，其债权人不得对基金财产行使请求冻结、扣押和其他权利。基金管理人、基金托管人因依法解散、被依法撤销或者被依法宣告破产等原因进行清算的，基金财产不属于其清算财产。</w:t>
      </w:r>
    </w:p>
    <w:p w14:paraId="5CABAA1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5、基金管理人、基金托管人不得违反法律法规的规定和本合同约定擅自将基金财产用于抵押、质押、担保或设定任何形式的优先权或其他第三方权利。</w:t>
      </w:r>
    </w:p>
    <w:p w14:paraId="49F5AF5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基金财产产生的债权不得与不属于基金财产本身的债务相互抵销。非因基金财产本身承担的债务，基金管理人、基金托管人不得主张其债权人对基金财产强制执行。上述债权人对基金财产主张权利时，基金管理人、基金托管人应明确告知基金财产的独立性。</w:t>
      </w:r>
    </w:p>
    <w:p w14:paraId="3320B2C3">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7、对于本基金的投资事宜，根据相关法律规定，可能出现基金管理人代表本基金签订相关协议、开立相关账户及办理相关手续等情况，基金托管人对于因此而产生的风险或损失不承担责任。</w:t>
      </w:r>
    </w:p>
    <w:p w14:paraId="395CB2A8">
      <w:pPr>
        <w:adjustRightInd w:val="0"/>
        <w:snapToGrid w:val="0"/>
        <w:spacing w:before="93" w:beforeLines="30" w:after="93" w:afterLines="30" w:line="360" w:lineRule="auto"/>
        <w:ind w:firstLine="422"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
          <w:color w:val="auto"/>
          <w:szCs w:val="21"/>
          <w:highlight w:val="none"/>
        </w:rPr>
        <w:t>8、对于因为基金投资产生的应收资产，应由基金管理人负责与有关当事人确定到账日期并书面通知基金托管人，到账日期</w:t>
      </w:r>
      <w:r>
        <w:rPr>
          <w:rFonts w:asciiTheme="minorEastAsia" w:hAnsiTheme="minorEastAsia" w:eastAsiaTheme="minorEastAsia"/>
          <w:b/>
          <w:color w:val="auto"/>
          <w:szCs w:val="21"/>
          <w:highlight w:val="none"/>
        </w:rPr>
        <w:t>届满</w:t>
      </w:r>
      <w:r>
        <w:rPr>
          <w:rFonts w:hint="eastAsia" w:asciiTheme="minorEastAsia" w:hAnsiTheme="minorEastAsia" w:eastAsiaTheme="minorEastAsia"/>
          <w:b/>
          <w:color w:val="auto"/>
          <w:szCs w:val="21"/>
          <w:highlight w:val="none"/>
        </w:rPr>
        <w:t>基金应收资产没有到达基金托管资金账户的，由此给基金造成损失的，基金管理人应负责向有关当事人追偿基金的损失，基金托管人对此不承担任何责任。</w:t>
      </w:r>
    </w:p>
    <w:p w14:paraId="0D25133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（二）基金财产相关账户的开立和管理</w:t>
      </w:r>
    </w:p>
    <w:p w14:paraId="0CF798E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1、基金管理人或基金托管人</w:t>
      </w:r>
      <w:r>
        <w:rPr>
          <w:rFonts w:hint="eastAsia"/>
          <w:color w:val="auto"/>
          <w:highlight w:val="none"/>
        </w:rPr>
        <w:t>根据约定，</w:t>
      </w:r>
      <w:r>
        <w:rPr>
          <w:rFonts w:hint="eastAsia" w:asciiTheme="minorEastAsia" w:hAnsiTheme="minorEastAsia" w:eastAsiaTheme="minorEastAsia"/>
          <w:color w:val="auto"/>
          <w:szCs w:val="21"/>
          <w:highlight w:val="none"/>
        </w:rPr>
        <w:t>按照规定开立基金财产的托管资金账户、证券账户（一码通账户）和期货账户等投资所需账户，</w:t>
      </w:r>
      <w:r>
        <w:rPr>
          <w:rFonts w:hint="eastAsia"/>
          <w:color w:val="auto"/>
          <w:highlight w:val="none"/>
        </w:rPr>
        <w:t>基金管理人和基金托管人应相互给予必要的配合，并提供所需资料</w:t>
      </w:r>
      <w:r>
        <w:rPr>
          <w:rFonts w:hint="eastAsia" w:asciiTheme="minorEastAsia" w:hAnsiTheme="minorEastAsia" w:eastAsiaTheme="minorEastAsia"/>
          <w:color w:val="auto"/>
          <w:szCs w:val="21"/>
          <w:highlight w:val="none"/>
        </w:rPr>
        <w:t>。证券账户和期货账户的持有人名称应当符合证券、期货登记结算机构的有关规定。开立的上述基金财产账户与基金管理人、基金托管人、基金募集机构和基金份额登记机构自有的财产账户以及其他基金财产账户相独立。</w:t>
      </w:r>
    </w:p>
    <w:p w14:paraId="508E0B8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hint="eastAsia" w:asciiTheme="minorEastAsia" w:hAnsiTheme="minorEastAsia" w:eastAsiaTheme="minorEastAsia"/>
          <w:color w:val="auto"/>
          <w:kern w:val="0"/>
          <w:szCs w:val="21"/>
          <w:highlight w:val="none"/>
        </w:rPr>
        <w:t>基金托管人以本基金的名义在商业银行开立基金的托管资金账户。本基金的一切货币收支活动，包括但不限于投资、支付赎回金额、支付基金收益，均需通过本基金的托管资金账户进行。</w:t>
      </w:r>
      <w:r>
        <w:rPr>
          <w:rFonts w:hint="eastAsia" w:asciiTheme="minorEastAsia" w:hAnsiTheme="minorEastAsia" w:eastAsiaTheme="minorEastAsia"/>
          <w:color w:val="auto"/>
          <w:szCs w:val="21"/>
          <w:highlight w:val="none"/>
        </w:rPr>
        <w:t>本托管资金账户仅限于本基金使用，仅限于满足开展本基金业务的需要。</w:t>
      </w:r>
      <w:r>
        <w:rPr>
          <w:rFonts w:ascii="宋体" w:hAnsi="宋体"/>
          <w:color w:val="auto"/>
          <w:highlight w:val="none"/>
        </w:rPr>
        <w:t>基金托管人和基金管理人不得假借本基金的名义开立任何其他</w:t>
      </w:r>
      <w:r>
        <w:rPr>
          <w:rFonts w:hint="eastAsia" w:ascii="宋体" w:hAnsi="宋体"/>
          <w:color w:val="auto"/>
          <w:highlight w:val="none"/>
        </w:rPr>
        <w:t>银行</w:t>
      </w:r>
      <w:r>
        <w:rPr>
          <w:rFonts w:ascii="宋体" w:hAnsi="宋体"/>
          <w:color w:val="auto"/>
          <w:highlight w:val="none"/>
        </w:rPr>
        <w:t>账户；亦不得使用基金的任何</w:t>
      </w:r>
      <w:r>
        <w:rPr>
          <w:rFonts w:hint="eastAsia" w:ascii="宋体" w:hAnsi="宋体"/>
          <w:color w:val="auto"/>
          <w:highlight w:val="none"/>
        </w:rPr>
        <w:t>银行</w:t>
      </w:r>
      <w:r>
        <w:rPr>
          <w:rFonts w:ascii="宋体" w:hAnsi="宋体"/>
          <w:color w:val="auto"/>
          <w:highlight w:val="none"/>
        </w:rPr>
        <w:t>账户进行本基金业务以外的活动</w:t>
      </w:r>
      <w:r>
        <w:rPr>
          <w:rFonts w:hint="eastAsia" w:ascii="宋体" w:hAnsi="宋体"/>
          <w:color w:val="auto"/>
          <w:highlight w:val="none"/>
        </w:rPr>
        <w:t>。</w:t>
      </w:r>
    </w:p>
    <w:p w14:paraId="447E0A64">
      <w:pPr>
        <w:adjustRightInd w:val="0"/>
        <w:snapToGrid w:val="0"/>
        <w:spacing w:before="93" w:beforeLines="30" w:after="93" w:afterLines="30" w:line="360" w:lineRule="auto"/>
        <w:ind w:firstLine="420" w:firstLineChars="200"/>
        <w:rPr>
          <w:color w:val="auto"/>
          <w:highlight w:val="none"/>
        </w:rPr>
      </w:pPr>
      <w:r>
        <w:rPr>
          <w:rFonts w:hint="eastAsia" w:asciiTheme="minorEastAsia" w:hAnsiTheme="minorEastAsia" w:eastAsiaTheme="minorEastAsia"/>
          <w:color w:val="auto"/>
          <w:szCs w:val="21"/>
          <w:highlight w:val="none"/>
        </w:rPr>
        <w:t>3、证券账户、期货账户以及基金投资运作有关的其他账户由基金管理人与基金托管人协商后办理。</w:t>
      </w:r>
      <w:r>
        <w:rPr>
          <w:rFonts w:hint="eastAsia" w:ascii="宋体" w:hAnsi="宋体"/>
          <w:color w:val="auto"/>
          <w:szCs w:val="21"/>
          <w:highlight w:val="none"/>
        </w:rPr>
        <w:t>证券账户和期货账户的持有人名称应当符合证券、期货登记结算机构的有关规定。</w:t>
      </w:r>
      <w:r>
        <w:rPr>
          <w:rFonts w:hint="eastAsia" w:ascii="宋体" w:hAnsi="宋体"/>
          <w:color w:val="auto"/>
          <w:kern w:val="0"/>
          <w:szCs w:val="21"/>
          <w:highlight w:val="none"/>
        </w:rPr>
        <w:t>基金托管人和基金管理人不得出借或转让证券账户、证券交易资金账户，亦不得使用证券账户或证券交易资金账户进行本基金业务以外的活动。</w:t>
      </w:r>
      <w:r>
        <w:rPr>
          <w:rFonts w:hint="eastAsia" w:asciiTheme="minorEastAsia" w:hAnsiTheme="minorEastAsia" w:eastAsiaTheme="minorEastAsia"/>
          <w:color w:val="auto"/>
          <w:szCs w:val="21"/>
          <w:highlight w:val="none"/>
        </w:rPr>
        <w:t>在基金运作期间，未经基金托管人同意，不得变更、解除与基金投资运作有关的账户和托管资金账户之间的第三方存管签约关系</w:t>
      </w:r>
      <w:r>
        <w:rPr>
          <w:rFonts w:hint="eastAsia" w:asciiTheme="minorEastAsia" w:hAnsiTheme="minorEastAsia" w:eastAsiaTheme="minorEastAsia"/>
          <w:b/>
          <w:color w:val="auto"/>
          <w:szCs w:val="21"/>
          <w:highlight w:val="none"/>
        </w:rPr>
        <w:t>。</w:t>
      </w:r>
      <w:r>
        <w:rPr>
          <w:rFonts w:hint="eastAsia"/>
          <w:b/>
          <w:bCs/>
          <w:color w:val="auto"/>
          <w:highlight w:val="none"/>
        </w:rPr>
        <w:t>因基金管理人违反本条约定导致的一切后果，均由基金管理人自行承担，基金托管人不承担任何责任。</w:t>
      </w:r>
    </w:p>
    <w:p w14:paraId="65CBFBB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宋体" w:hAnsi="宋体"/>
          <w:color w:val="auto"/>
          <w:kern w:val="0"/>
          <w:szCs w:val="21"/>
          <w:highlight w:val="none"/>
        </w:rPr>
        <w:t>因业务发展而需要开立的其他账户，应由基金托管人或基金管理人根据有关法律法规的规定开立、管理和使用。</w:t>
      </w:r>
      <w:r>
        <w:rPr>
          <w:rFonts w:hint="eastAsia" w:ascii="宋体" w:hAnsi="宋体"/>
          <w:color w:val="auto"/>
          <w:highlight w:val="none"/>
        </w:rPr>
        <w:t>如该账户是由基金管理人负责开立的，</w:t>
      </w:r>
      <w:r>
        <w:rPr>
          <w:rFonts w:hint="eastAsia" w:asciiTheme="minorEastAsia" w:hAnsiTheme="minorEastAsia" w:eastAsiaTheme="minorEastAsia"/>
          <w:color w:val="auto"/>
          <w:szCs w:val="21"/>
          <w:highlight w:val="none"/>
        </w:rPr>
        <w:t>基金</w:t>
      </w:r>
      <w:r>
        <w:rPr>
          <w:rFonts w:asciiTheme="minorEastAsia" w:hAnsiTheme="minorEastAsia" w:eastAsiaTheme="minorEastAsia"/>
          <w:color w:val="auto"/>
          <w:szCs w:val="21"/>
          <w:highlight w:val="none"/>
        </w:rPr>
        <w:t>管理人应保证</w:t>
      </w:r>
      <w:r>
        <w:rPr>
          <w:rFonts w:hint="eastAsia" w:asciiTheme="minorEastAsia" w:hAnsiTheme="minorEastAsia" w:eastAsiaTheme="minorEastAsia"/>
          <w:color w:val="auto"/>
          <w:szCs w:val="21"/>
          <w:highlight w:val="none"/>
        </w:rPr>
        <w:t>与基金投资运作有关的账户</w:t>
      </w:r>
      <w:r>
        <w:rPr>
          <w:rFonts w:asciiTheme="minorEastAsia" w:hAnsiTheme="minorEastAsia" w:eastAsiaTheme="minorEastAsia"/>
          <w:color w:val="auto"/>
          <w:szCs w:val="21"/>
          <w:highlight w:val="none"/>
        </w:rPr>
        <w:t>专款专用。相应的投资回款及收益，也由</w:t>
      </w:r>
      <w:r>
        <w:rPr>
          <w:rFonts w:hint="eastAsia" w:asciiTheme="minorEastAsia" w:hAnsiTheme="minorEastAsia" w:eastAsiaTheme="minorEastAsia"/>
          <w:color w:val="auto"/>
          <w:szCs w:val="21"/>
          <w:highlight w:val="none"/>
        </w:rPr>
        <w:t>基金</w:t>
      </w:r>
      <w:r>
        <w:rPr>
          <w:rFonts w:asciiTheme="minorEastAsia" w:hAnsiTheme="minorEastAsia" w:eastAsiaTheme="minorEastAsia"/>
          <w:color w:val="auto"/>
          <w:szCs w:val="21"/>
          <w:highlight w:val="none"/>
        </w:rPr>
        <w:t>管理人负责及时原路划回托管</w:t>
      </w:r>
      <w:r>
        <w:rPr>
          <w:rFonts w:hint="eastAsia" w:asciiTheme="minorEastAsia" w:hAnsiTheme="minorEastAsia" w:eastAsiaTheme="minorEastAsia"/>
          <w:color w:val="auto"/>
          <w:szCs w:val="21"/>
          <w:highlight w:val="none"/>
        </w:rPr>
        <w:t>资金</w:t>
      </w:r>
      <w:r>
        <w:rPr>
          <w:rFonts w:asciiTheme="minorEastAsia" w:hAnsiTheme="minorEastAsia" w:eastAsiaTheme="minorEastAsia"/>
          <w:color w:val="auto"/>
          <w:szCs w:val="21"/>
          <w:highlight w:val="none"/>
        </w:rPr>
        <w:t>账户。</w:t>
      </w:r>
      <w:r>
        <w:rPr>
          <w:rFonts w:hint="eastAsia" w:asciiTheme="minorEastAsia" w:hAnsiTheme="minorEastAsia" w:eastAsiaTheme="minorEastAsia"/>
          <w:color w:val="auto"/>
          <w:szCs w:val="21"/>
          <w:highlight w:val="none"/>
        </w:rPr>
        <w:t>基金</w:t>
      </w:r>
      <w:r>
        <w:rPr>
          <w:rFonts w:asciiTheme="minorEastAsia" w:hAnsiTheme="minorEastAsia" w:eastAsiaTheme="minorEastAsia"/>
          <w:color w:val="auto"/>
          <w:szCs w:val="21"/>
          <w:highlight w:val="none"/>
        </w:rPr>
        <w:t>管理人开立此类账户后需及时通知</w:t>
      </w:r>
      <w:r>
        <w:rPr>
          <w:rFonts w:hint="eastAsia" w:asciiTheme="minorEastAsia" w:hAnsiTheme="minorEastAsia" w:eastAsiaTheme="minorEastAsia"/>
          <w:color w:val="auto"/>
          <w:szCs w:val="21"/>
          <w:highlight w:val="none"/>
        </w:rPr>
        <w:t>基金</w:t>
      </w:r>
      <w:r>
        <w:rPr>
          <w:rFonts w:asciiTheme="minorEastAsia" w:hAnsiTheme="minorEastAsia" w:eastAsiaTheme="minorEastAsia"/>
          <w:color w:val="auto"/>
          <w:szCs w:val="21"/>
          <w:highlight w:val="none"/>
        </w:rPr>
        <w:t>托管人。</w:t>
      </w:r>
    </w:p>
    <w:p w14:paraId="00187491">
      <w:pPr>
        <w:adjustRightInd w:val="0"/>
        <w:snapToGrid w:val="0"/>
        <w:spacing w:before="93" w:beforeLines="30" w:after="93" w:afterLines="30" w:line="360" w:lineRule="auto"/>
        <w:ind w:firstLine="422" w:firstLineChars="200"/>
        <w:rPr>
          <w:rFonts w:asciiTheme="minorEastAsia" w:hAnsiTheme="minorEastAsia" w:eastAsiaTheme="minorEastAsia"/>
          <w:color w:val="auto"/>
          <w:szCs w:val="21"/>
          <w:highlight w:val="none"/>
        </w:rPr>
      </w:pPr>
      <w:r>
        <w:rPr>
          <w:rFonts w:asciiTheme="minorEastAsia" w:hAnsiTheme="minorEastAsia" w:eastAsiaTheme="minorEastAsia"/>
          <w:b/>
          <w:color w:val="auto"/>
          <w:szCs w:val="21"/>
          <w:highlight w:val="none"/>
        </w:rPr>
        <w:t>对于非由</w:t>
      </w:r>
      <w:r>
        <w:rPr>
          <w:rFonts w:hint="eastAsia" w:asciiTheme="minorEastAsia" w:hAnsiTheme="minorEastAsia" w:eastAsiaTheme="minorEastAsia"/>
          <w:b/>
          <w:color w:val="auto"/>
          <w:szCs w:val="21"/>
          <w:highlight w:val="none"/>
        </w:rPr>
        <w:t>基金</w:t>
      </w:r>
      <w:r>
        <w:rPr>
          <w:rFonts w:asciiTheme="minorEastAsia" w:hAnsiTheme="minorEastAsia" w:eastAsiaTheme="minorEastAsia"/>
          <w:b/>
          <w:color w:val="auto"/>
          <w:szCs w:val="21"/>
          <w:highlight w:val="none"/>
        </w:rPr>
        <w:t>托管人</w:t>
      </w:r>
      <w:r>
        <w:rPr>
          <w:rFonts w:hint="eastAsia" w:asciiTheme="minorEastAsia" w:hAnsiTheme="minorEastAsia" w:eastAsiaTheme="minorEastAsia"/>
          <w:b/>
          <w:color w:val="auto"/>
          <w:szCs w:val="21"/>
          <w:highlight w:val="none"/>
        </w:rPr>
        <w:t>开立、</w:t>
      </w:r>
      <w:r>
        <w:rPr>
          <w:rFonts w:asciiTheme="minorEastAsia" w:hAnsiTheme="minorEastAsia" w:eastAsiaTheme="minorEastAsia"/>
          <w:b/>
          <w:color w:val="auto"/>
          <w:szCs w:val="21"/>
          <w:highlight w:val="none"/>
        </w:rPr>
        <w:t>管理</w:t>
      </w:r>
      <w:r>
        <w:rPr>
          <w:rFonts w:hint="eastAsia" w:asciiTheme="minorEastAsia" w:hAnsiTheme="minorEastAsia" w:eastAsiaTheme="minorEastAsia"/>
          <w:b/>
          <w:color w:val="auto"/>
          <w:szCs w:val="21"/>
          <w:highlight w:val="none"/>
        </w:rPr>
        <w:t>并实际控制</w:t>
      </w:r>
      <w:r>
        <w:rPr>
          <w:rFonts w:asciiTheme="minorEastAsia" w:hAnsiTheme="minorEastAsia" w:eastAsiaTheme="minorEastAsia"/>
          <w:b/>
          <w:color w:val="auto"/>
          <w:szCs w:val="21"/>
          <w:highlight w:val="none"/>
        </w:rPr>
        <w:t>的账户，</w:t>
      </w:r>
      <w:r>
        <w:rPr>
          <w:rFonts w:hint="eastAsia" w:asciiTheme="minorEastAsia" w:hAnsiTheme="minorEastAsia" w:eastAsiaTheme="minorEastAsia"/>
          <w:b/>
          <w:color w:val="auto"/>
          <w:szCs w:val="21"/>
          <w:highlight w:val="none"/>
        </w:rPr>
        <w:t>基金</w:t>
      </w:r>
      <w:r>
        <w:rPr>
          <w:rFonts w:asciiTheme="minorEastAsia" w:hAnsiTheme="minorEastAsia" w:eastAsiaTheme="minorEastAsia"/>
          <w:b/>
          <w:color w:val="auto"/>
          <w:szCs w:val="21"/>
          <w:highlight w:val="none"/>
        </w:rPr>
        <w:t>托管人不承担</w:t>
      </w:r>
      <w:r>
        <w:rPr>
          <w:rFonts w:hint="eastAsia" w:asciiTheme="minorEastAsia" w:hAnsiTheme="minorEastAsia" w:eastAsiaTheme="minorEastAsia"/>
          <w:b/>
          <w:color w:val="auto"/>
          <w:szCs w:val="21"/>
          <w:highlight w:val="none"/>
        </w:rPr>
        <w:t>任何形式的</w:t>
      </w:r>
      <w:r>
        <w:rPr>
          <w:rFonts w:asciiTheme="minorEastAsia" w:hAnsiTheme="minorEastAsia" w:eastAsiaTheme="minorEastAsia"/>
          <w:b/>
          <w:color w:val="auto"/>
          <w:szCs w:val="21"/>
          <w:highlight w:val="none"/>
        </w:rPr>
        <w:t>职责。</w:t>
      </w:r>
    </w:p>
    <w:p w14:paraId="70A7A23E">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36" w:name="_Toc459392415"/>
      <w:bookmarkStart w:id="37" w:name="_Toc194741911"/>
      <w:r>
        <w:rPr>
          <w:rFonts w:hint="eastAsia" w:asciiTheme="minorEastAsia" w:hAnsiTheme="minorEastAsia" w:eastAsiaTheme="minorEastAsia"/>
          <w:color w:val="auto"/>
          <w:sz w:val="28"/>
          <w:szCs w:val="28"/>
          <w:highlight w:val="none"/>
        </w:rPr>
        <w:t>十三、指令的发送、确认与执行</w:t>
      </w:r>
      <w:bookmarkEnd w:id="36"/>
      <w:bookmarkEnd w:id="37"/>
    </w:p>
    <w:p w14:paraId="2ECA6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（一）交易清算授权 </w:t>
      </w:r>
    </w:p>
    <w:p w14:paraId="191EF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应事先向基金托管人发送书面授权通知（简称“授权书”），指定有权向基金托管人发送投资指令的被授权人员。授权书中应包括被授权人的名单、权限、邮箱、电话、预留印鉴（包括但不限于基金管理人预留的公司公章/财务专用章/业务专用章样本）、被授权人签字或名章样本等。授权书由基金管理人加盖公章并由法定代表人或其授权代表签章，若由授权代表签章，还应附上法定代表人的授权书。基金管理人应</w:t>
      </w:r>
      <w:r>
        <w:rPr>
          <w:rFonts w:hint="eastAsia" w:ascii="宋体" w:hAnsi="宋体"/>
          <w:color w:val="auto"/>
          <w:szCs w:val="21"/>
          <w:highlight w:val="none"/>
        </w:rPr>
        <w:t>将授权书的扫描件通过</w:t>
      </w:r>
      <w:r>
        <w:rPr>
          <w:rFonts w:hint="eastAsia" w:asciiTheme="minorEastAsia" w:hAnsiTheme="minorEastAsia" w:eastAsiaTheme="minorEastAsia"/>
          <w:color w:val="auto"/>
          <w:szCs w:val="21"/>
          <w:highlight w:val="none"/>
        </w:rPr>
        <w:t>基金管理人和基金托管人认可</w:t>
      </w:r>
      <w:r>
        <w:rPr>
          <w:rFonts w:hint="eastAsia" w:ascii="宋体" w:hAnsi="宋体"/>
          <w:color w:val="auto"/>
          <w:szCs w:val="21"/>
          <w:highlight w:val="none"/>
        </w:rPr>
        <w:t>的方式发送至基金托管人，同时向基金托管人确认（确认方式包括但不限于电话、邮件、短信或基金管理人和基金托管人一致认可的其他方式，下同），</w:t>
      </w:r>
      <w:r>
        <w:rPr>
          <w:rFonts w:hint="eastAsia" w:asciiTheme="minorEastAsia" w:hAnsiTheme="minorEastAsia" w:eastAsiaTheme="minorEastAsia"/>
          <w:color w:val="auto"/>
          <w:szCs w:val="21"/>
          <w:highlight w:val="none"/>
        </w:rPr>
        <w:t xml:space="preserve">保证基金托管人及时收到。授权书须载明授权生效日期，授权书自载明的生效日期开始生效。基金托管人收到授权书并完成确认的日期晚于载明的生效日期或授权书未载明生效日期的，则自基金托管人收到授权书并完成确认的日期生效。基金管理人和基金托管人对授权书负有保密义务，其内容不得向被授权人及相关操作人员以外的任何人泄露。 </w:t>
      </w:r>
    </w:p>
    <w:p w14:paraId="4AAEBD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（二）投资指令的内容 </w:t>
      </w:r>
    </w:p>
    <w:p w14:paraId="388C9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投资指令是在管理基金财产时，基金管理人向基金托管人发出的资金划拨及其他款项支付的指令。基金管理人发给基金托管人的指令应写明款项事由、指令的执行时间、金额、收款账户信息等，若为纸质指令需加盖预留印鉴并由被授权人签字或签章。本基金财产进行的证券交易所、期货交易所内的证券、期货投资不需要基金管理人发送投资指令，基金托管人以证券、期货经纪机构发送的交收数据进行处理。 </w:t>
      </w:r>
    </w:p>
    <w:p w14:paraId="34FB0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（三）投资指令的发送、确认和执行的时间及程序 </w:t>
      </w:r>
    </w:p>
    <w:p w14:paraId="3F339B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指令由授权书确定的被授权人代表基金管理人用电子指令、电子邮件或其他基金管理人和基金托管人认可的方式向基金托管人发送。基金管理人有义务在发送指令后与托管人以录音电话或其他基金管理人和基金托管人认可的方式进行确认。电子指令、电子邮件以获得收件人（基金托管人）确认该指令已成功接收之时视为送达。因基金管理人未能及时与基金托管人进行指令确认，致使资金未能及时到账所造成的损失，基金托管人不承担责任。</w:t>
      </w:r>
    </w:p>
    <w:p w14:paraId="75C89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对于被授权人依照授权书发出的指令，基金管理人不得否认其效力。若指令为被授权人通过基金管理人和基金托管人约定的服务平台发送的电子指令，则均视为基金管理人的真实意思表示和有效发送，基金管理人对指令的合法性、有效性、准确性及其结果负责。基金管理人应按照相关法律法规以及本合同的规定，在其合法的经营权限和交易权限内发送划款指令，被授权人应按照其授权权限发送划款指令。基金管理人在发送指令时，应为基金托管人留出执行指令所必需的时间。由基金管理人原因造成的指令传输不及时、未能留出足够划款所需时间，致使资金未能及时到账所造成的损失由基金管理人承担。除需考虑资金在途时间外，基金管理人还需为基金托管人留有 2小时的复核和审批时间。在每个工作日的 13：00以后接收基金管理人发出的银证转账、银期转账划款指令的，基金托管人尽力配合执行，但不保证当日完成划转流程；在每个工作日的 14：30以后接收基金管理人发出的其他划款指令，基金托管人尽力配合执行，但不保证当日完成在银行的划付流程。</w:t>
      </w:r>
    </w:p>
    <w:p w14:paraId="0B4DE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宋体" w:hAnsi="宋体" w:cs="宋体"/>
          <w:color w:val="auto"/>
          <w:szCs w:val="21"/>
          <w:highlight w:val="none"/>
        </w:rPr>
      </w:pPr>
      <w:r>
        <w:rPr>
          <w:rFonts w:ascii="宋体" w:hAnsi="宋体" w:cs="宋体"/>
          <w:color w:val="auto"/>
          <w:szCs w:val="21"/>
          <w:highlight w:val="none"/>
        </w:rPr>
        <w:t>基金托管人收到基金管理人发送的指令后</w:t>
      </w:r>
      <w:r>
        <w:rPr>
          <w:rFonts w:hint="eastAsia" w:ascii="宋体" w:hAnsi="宋体" w:cs="宋体"/>
          <w:color w:val="auto"/>
          <w:szCs w:val="21"/>
          <w:highlight w:val="none"/>
        </w:rPr>
        <w:t>，</w:t>
      </w:r>
      <w:r>
        <w:rPr>
          <w:rFonts w:ascii="宋体" w:hAnsi="宋体" w:cs="宋体"/>
          <w:color w:val="auto"/>
          <w:szCs w:val="21"/>
          <w:highlight w:val="none"/>
        </w:rPr>
        <w:t>如为电子邮件发送扫描件指令，应对指令进行形式审查，验证指令的必要内容是否齐全，必要内容包括指令出具日期、款项事由、指令的执行时间、支付金额、收款账户信息等，审</w:t>
      </w:r>
      <w:r>
        <w:rPr>
          <w:rFonts w:hint="eastAsia" w:ascii="宋体" w:hAnsi="宋体" w:cs="宋体"/>
          <w:color w:val="auto"/>
          <w:szCs w:val="21"/>
          <w:highlight w:val="none"/>
        </w:rPr>
        <w:t>查</w:t>
      </w:r>
      <w:r>
        <w:rPr>
          <w:rFonts w:ascii="宋体" w:hAnsi="宋体" w:cs="宋体"/>
          <w:color w:val="auto"/>
          <w:szCs w:val="21"/>
          <w:highlight w:val="none"/>
        </w:rPr>
        <w:t>印鉴和</w:t>
      </w:r>
      <w:r>
        <w:rPr>
          <w:rFonts w:hint="eastAsia" w:ascii="宋体" w:hAnsi="宋体" w:cs="宋体"/>
          <w:color w:val="auto"/>
          <w:szCs w:val="21"/>
          <w:highlight w:val="none"/>
        </w:rPr>
        <w:t>被授权人</w:t>
      </w:r>
      <w:r>
        <w:rPr>
          <w:rFonts w:ascii="宋体" w:hAnsi="宋体" w:cs="宋体"/>
          <w:color w:val="auto"/>
          <w:szCs w:val="21"/>
          <w:highlight w:val="none"/>
        </w:rPr>
        <w:t>签</w:t>
      </w:r>
      <w:r>
        <w:rPr>
          <w:rFonts w:hint="eastAsia" w:ascii="宋体" w:hAnsi="宋体" w:cs="宋体"/>
          <w:color w:val="auto"/>
          <w:szCs w:val="21"/>
          <w:highlight w:val="none"/>
        </w:rPr>
        <w:t>字或名章</w:t>
      </w:r>
      <w:r>
        <w:rPr>
          <w:rFonts w:ascii="宋体" w:hAnsi="宋体" w:cs="宋体"/>
          <w:color w:val="auto"/>
          <w:szCs w:val="21"/>
          <w:highlight w:val="none"/>
        </w:rPr>
        <w:t>是否</w:t>
      </w:r>
      <w:r>
        <w:rPr>
          <w:rFonts w:hint="eastAsia" w:ascii="宋体" w:hAnsi="宋体" w:cs="宋体"/>
          <w:color w:val="auto"/>
          <w:szCs w:val="21"/>
          <w:highlight w:val="none"/>
        </w:rPr>
        <w:t>与</w:t>
      </w:r>
      <w:r>
        <w:rPr>
          <w:rFonts w:ascii="宋体" w:hAnsi="宋体" w:cs="宋体"/>
          <w:color w:val="auto"/>
          <w:szCs w:val="21"/>
          <w:highlight w:val="none"/>
        </w:rPr>
        <w:t>预留印鉴</w:t>
      </w:r>
      <w:r>
        <w:rPr>
          <w:rFonts w:hint="eastAsia" w:ascii="宋体" w:hAnsi="宋体" w:cs="宋体"/>
          <w:color w:val="auto"/>
          <w:szCs w:val="21"/>
          <w:highlight w:val="none"/>
        </w:rPr>
        <w:t>样本、被授权人的签字样本或名章样本</w:t>
      </w:r>
      <w:r>
        <w:rPr>
          <w:rFonts w:ascii="宋体" w:hAnsi="宋体" w:cs="宋体"/>
          <w:color w:val="auto"/>
          <w:szCs w:val="21"/>
          <w:highlight w:val="none"/>
        </w:rPr>
        <w:t>相符</w:t>
      </w:r>
      <w:r>
        <w:rPr>
          <w:rFonts w:hint="eastAsia" w:ascii="宋体" w:hAnsi="宋体" w:cs="宋体"/>
          <w:color w:val="auto"/>
          <w:szCs w:val="21"/>
          <w:highlight w:val="none"/>
        </w:rPr>
        <w:t>；</w:t>
      </w:r>
      <w:r>
        <w:rPr>
          <w:rFonts w:ascii="宋体" w:hAnsi="宋体" w:cs="宋体"/>
          <w:color w:val="auto"/>
          <w:szCs w:val="21"/>
          <w:highlight w:val="none"/>
        </w:rPr>
        <w:t>如为服务平台提交的电子指令，应验证电子指令必要内容是否齐备，任何使用基金管理人登录信息进行的操作均视为基金管理人行为，基金托管人无需审查指令的印鉴和</w:t>
      </w:r>
      <w:r>
        <w:rPr>
          <w:rFonts w:hint="eastAsia" w:ascii="宋体" w:hAnsi="宋体" w:cs="宋体"/>
          <w:color w:val="auto"/>
          <w:szCs w:val="21"/>
          <w:highlight w:val="none"/>
        </w:rPr>
        <w:t>被授权人</w:t>
      </w:r>
      <w:r>
        <w:rPr>
          <w:rFonts w:ascii="宋体" w:hAnsi="宋体" w:cs="宋体"/>
          <w:color w:val="auto"/>
          <w:szCs w:val="21"/>
          <w:highlight w:val="none"/>
        </w:rPr>
        <w:t>签</w:t>
      </w:r>
      <w:r>
        <w:rPr>
          <w:rFonts w:hint="eastAsia" w:ascii="宋体" w:hAnsi="宋体" w:cs="宋体"/>
          <w:color w:val="auto"/>
          <w:szCs w:val="21"/>
          <w:highlight w:val="none"/>
        </w:rPr>
        <w:t>字或名章</w:t>
      </w:r>
      <w:r>
        <w:rPr>
          <w:rFonts w:ascii="宋体" w:hAnsi="宋体" w:cs="宋体"/>
          <w:color w:val="auto"/>
          <w:szCs w:val="21"/>
          <w:highlight w:val="none"/>
        </w:rPr>
        <w:t>是否</w:t>
      </w:r>
      <w:r>
        <w:rPr>
          <w:rFonts w:hint="eastAsia" w:ascii="宋体" w:hAnsi="宋体" w:cs="宋体"/>
          <w:color w:val="auto"/>
          <w:szCs w:val="21"/>
          <w:highlight w:val="none"/>
        </w:rPr>
        <w:t>与</w:t>
      </w:r>
      <w:r>
        <w:rPr>
          <w:rFonts w:ascii="宋体" w:hAnsi="宋体" w:cs="宋体"/>
          <w:color w:val="auto"/>
          <w:szCs w:val="21"/>
          <w:highlight w:val="none"/>
        </w:rPr>
        <w:t>预留印鉴</w:t>
      </w:r>
      <w:r>
        <w:rPr>
          <w:rFonts w:hint="eastAsia" w:ascii="宋体" w:hAnsi="宋体" w:cs="宋体"/>
          <w:color w:val="auto"/>
          <w:szCs w:val="21"/>
          <w:highlight w:val="none"/>
        </w:rPr>
        <w:t>样本、被授权人的签字样本或名章样本</w:t>
      </w:r>
      <w:r>
        <w:rPr>
          <w:rFonts w:ascii="宋体" w:hAnsi="宋体" w:cs="宋体"/>
          <w:color w:val="auto"/>
          <w:szCs w:val="21"/>
          <w:highlight w:val="none"/>
        </w:rPr>
        <w:t>相符。</w:t>
      </w:r>
    </w:p>
    <w:p w14:paraId="0BC305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基金管理人应保证以上所提供的作为划款依据的文件资料的真实、有效、完整、准确、合法，没有任何重大遗漏或误导；基金托管人对此类文件资料的真实性和有效性不作实质性判断。 </w:t>
      </w:r>
    </w:p>
    <w:p w14:paraId="577CF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复核无误后依据本合同约定在规定期限内及时执行，不得延误。若存在异议或不符，基金托管人及时与基金管理人指定人员通过电话、电子邮件或其他基金管理人和基金托管人认可的方式联系和沟通，暂停指令的执行并要求基金管理人重新发送经修改的指令。基金托管人可以要求基金管理人以电子邮件或其他基金管理人和基金托管人认可的方式提供相关交易凭证、合同或其他有效会计资料，以确保基金托管人有足够的资料来判断指令的有效性。基金托管人待收齐相关资料并判断指令有效后重新开始执行指令。基金管理人应在合理时间内补充相关资料，并给基金托管人执行指令预留必要的执行时间。 </w:t>
      </w:r>
    </w:p>
    <w:p w14:paraId="012E7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基金管理人向基金托管人下达指令时，应确保托管资金账户及其他账户有足够的资金余额，对基金管理人在没有充足资金的情况下向基金托管人发出的指令，基金托管人有权拒绝执行，基金托管人不承担因为不执行该指令而造成的损失。 </w:t>
      </w:r>
    </w:p>
    <w:p w14:paraId="41979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（四）基金托管人依照法律法规暂缓、拒绝执行指令的情形和处理程序 </w:t>
      </w:r>
    </w:p>
    <w:p w14:paraId="6E412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托管人发现基金管理人发送的指令违反法律、行政法规和其他规定，或者违反本合同约定时，不予执行，并应及时通知基金管理人纠正，基金管理人收到通知后应及时核对，并与基金托管人确认，由此造成的损失由基金管理人承担。基金托管人发现基金管理人依据交易程序已经生效的划款指令违反法律、行政法规和其他规定，或者违反本合同约定的，应当立即通知资产管理人并及时报告中国证监会、基金业协会，基金管理人的上述行为造成的损失由基金管理人承担。</w:t>
      </w:r>
    </w:p>
    <w:p w14:paraId="0005D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（五）基金管理人发送错误指令的情形和处理程序 </w:t>
      </w:r>
    </w:p>
    <w:p w14:paraId="21FDD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基金管理人发送错误指令的情形包括指令发送人员无权或超越权限发送指令及交割信息错误，指令中重要信息模糊不清或不全等。基金托管人在履行监督职能时，发现基金管理人的指令错误时，有权拒绝执行，并及时通知基金管理人改正。 </w:t>
      </w:r>
    </w:p>
    <w:p w14:paraId="1CAF2B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（六）更换被授权人的程序 </w:t>
      </w:r>
    </w:p>
    <w:p w14:paraId="20691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撤换被授权人员或改变被授权人员的权限，必须提前至少一个工作日，使用电子邮件或其他基金管理人和基金托管人认可的方式向基金托管人发出由基金管理人加盖公章和法定代表人签名或盖章的被授权人变更授权书，并提供新被授权人签字或</w:t>
      </w:r>
      <w:r>
        <w:rPr>
          <w:rFonts w:hint="eastAsia" w:ascii="宋体" w:hAnsi="宋体" w:cs="宋体"/>
          <w:color w:val="auto"/>
          <w:szCs w:val="21"/>
          <w:highlight w:val="none"/>
        </w:rPr>
        <w:t>名章</w:t>
      </w:r>
      <w:r>
        <w:rPr>
          <w:rFonts w:hint="eastAsia" w:asciiTheme="minorEastAsia" w:hAnsiTheme="minorEastAsia" w:eastAsiaTheme="minorEastAsia"/>
          <w:color w:val="auto"/>
          <w:szCs w:val="21"/>
          <w:highlight w:val="none"/>
        </w:rPr>
        <w:t>样本，同时向基金托管人确认。被授权人变更授权书须载明新授权的生效日期。被授权人变更授权书自载明的生效时间开始生效。基金托管人收到变更授权书并完成确认的日期晚于载明的生效日期或授权书未载明生效日期的，则自基金托管人收到并完成确认的日期生效，</w:t>
      </w:r>
      <w:r>
        <w:rPr>
          <w:rFonts w:hint="eastAsia" w:ascii="宋体" w:hAnsi="宋体"/>
          <w:color w:val="auto"/>
          <w:szCs w:val="21"/>
          <w:highlight w:val="none"/>
        </w:rPr>
        <w:t>原授权文件同时废止。变更授权书生效前，基金托管人仍应按原约定执行指令，基金管理人不得否认其效力</w:t>
      </w:r>
      <w:r>
        <w:rPr>
          <w:rFonts w:hint="eastAsia" w:asciiTheme="minorEastAsia" w:hAnsiTheme="minorEastAsia" w:eastAsiaTheme="minorEastAsia"/>
          <w:color w:val="auto"/>
          <w:szCs w:val="21"/>
          <w:highlight w:val="none"/>
        </w:rPr>
        <w:t>。被授权人变更授权书生效后，对于已被撤换的人员无权发送的指令，或新被授权人员超权限发送的指令，基金托管人有权拒绝执行，基金托管人不承担因为不执行该指令而造成的损失。</w:t>
      </w:r>
    </w:p>
    <w:p w14:paraId="5D616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（七）投资指令的保管 </w:t>
      </w:r>
    </w:p>
    <w:p w14:paraId="5FF14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投资指令若通过服务平台提交，则以电子数据的形式保管。投资指令若以电子邮件或传真形式发出，则正本由基金管理人保管，基金托管人保管指令扫描件或传真件。当两者不一致时，以基金托管人收到的投资指令扫描件或传真件为准。  </w:t>
      </w:r>
    </w:p>
    <w:p w14:paraId="65567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（八）相关责任 </w:t>
      </w:r>
    </w:p>
    <w:p w14:paraId="2D827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因基金管理人原因造成的传输不及时、未能留出足够执行时间、未能及时与基金托管人进行指令确认或及时跟踪指令执行情况、发送指令时托管账户未预留充足资金等致使资金未能及时清算或交易失败所造成的损失由基金管理人承担。因基金管理人提供的投资指令及指令附件（如有）不真实、不准确、不完整、不合法或失去效力等致使基金托管人执行指令给基金财产或任何第三人所造成的损失由基金管理人承担。在正常业务受理渠道和指令规定的时间内，因基金托管人过错导致未能及时或正确执行符合本合同约定的划款指令且致使基金财产受损的，基金托管人应承担相应责任，但遇到不可抗力等非可归责于基金托管人过错的情形除外。</w:t>
      </w:r>
    </w:p>
    <w:p w14:paraId="4CD19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2"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
          <w:bCs/>
          <w:color w:val="auto"/>
          <w:szCs w:val="21"/>
          <w:highlight w:val="none"/>
        </w:rPr>
        <w:t>基金托管人仅根据本合同约定履行形式审核职责，基金托管人按照本合同约定形式审核无误后正确执行基金管理人发出的指令造成基金财产损失的，基金托管人不承担任何形式的责任。如基金管理人的指令存在事实上未经授权（包括已被撤换的人员无权发送的指令、新被授权人员超权限发送的指令等）、欺诈、伪造等非基金托管人原因所致情形，基金托管人不承担因执行有关指令而给基金管理人、基金财产或任何第三人带来的损失，全部责任由基金管理人承担。</w:t>
      </w:r>
    </w:p>
    <w:p w14:paraId="3F662AF2">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38" w:name="_Toc459392416"/>
      <w:bookmarkStart w:id="39" w:name="_Toc194741912"/>
      <w:r>
        <w:rPr>
          <w:rFonts w:hint="eastAsia" w:asciiTheme="minorEastAsia" w:hAnsiTheme="minorEastAsia" w:eastAsiaTheme="minorEastAsia"/>
          <w:color w:val="auto"/>
          <w:sz w:val="28"/>
          <w:szCs w:val="28"/>
          <w:highlight w:val="none"/>
        </w:rPr>
        <w:t>十四、交易及清算交收安排</w:t>
      </w:r>
      <w:bookmarkEnd w:id="38"/>
      <w:bookmarkEnd w:id="39"/>
    </w:p>
    <w:p w14:paraId="1E618F7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bookmarkStart w:id="40" w:name="_Toc22454452"/>
      <w:bookmarkStart w:id="41" w:name="_Toc194741913"/>
      <w:bookmarkStart w:id="42" w:name="_Toc194292255"/>
      <w:bookmarkStart w:id="43" w:name="_Toc48703904"/>
      <w:r>
        <w:rPr>
          <w:rFonts w:hint="eastAsia" w:asciiTheme="minorEastAsia" w:hAnsiTheme="minorEastAsia" w:eastAsiaTheme="minorEastAsia"/>
          <w:color w:val="auto"/>
          <w:szCs w:val="21"/>
          <w:highlight w:val="none"/>
        </w:rPr>
        <w:t>（一）选择证券经纪机构的程序</w:t>
      </w:r>
    </w:p>
    <w:p w14:paraId="5B1B03D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基金管理人负责选择代理本基金财产证券买卖的证券经纪机构，并与其签订证券经纪合同，基金管理人、基金托管人和证券经纪机构可就基金参与证券交易的具体事项另行签订协议。</w:t>
      </w:r>
    </w:p>
    <w:bookmarkEnd w:id="40"/>
    <w:bookmarkEnd w:id="41"/>
    <w:bookmarkEnd w:id="42"/>
    <w:bookmarkEnd w:id="43"/>
    <w:p w14:paraId="219208C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bookmarkStart w:id="44" w:name="_Toc48703905"/>
      <w:bookmarkStart w:id="45" w:name="_Toc194741914"/>
      <w:bookmarkStart w:id="46" w:name="_Toc194292256"/>
      <w:r>
        <w:rPr>
          <w:rFonts w:hint="eastAsia" w:asciiTheme="minorEastAsia" w:hAnsiTheme="minorEastAsia" w:eastAsiaTheme="minorEastAsia"/>
          <w:color w:val="auto"/>
          <w:szCs w:val="21"/>
          <w:highlight w:val="none"/>
        </w:rPr>
        <w:t>（二）投资证券后的清算</w:t>
      </w:r>
      <w:bookmarkEnd w:id="44"/>
      <w:r>
        <w:rPr>
          <w:rFonts w:hint="eastAsia" w:asciiTheme="minorEastAsia" w:hAnsiTheme="minorEastAsia" w:eastAsiaTheme="minorEastAsia"/>
          <w:color w:val="auto"/>
          <w:szCs w:val="21"/>
          <w:highlight w:val="none"/>
        </w:rPr>
        <w:t>交收安排</w:t>
      </w:r>
      <w:bookmarkEnd w:id="45"/>
      <w:bookmarkEnd w:id="46"/>
    </w:p>
    <w:p w14:paraId="4FC12C4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1、本基金通过证券经纪机构进行的交易由证券经纪机构作为结算参与人代理本基金进行结算；本基金其他证券交易由基金托管人或相关机构负责结算。</w:t>
      </w:r>
    </w:p>
    <w:p w14:paraId="6ACA1B1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2、证券交易所证券资金结算</w:t>
      </w:r>
    </w:p>
    <w:p w14:paraId="1BD6240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基金托管人、基金管理人应共同遵守中登公司制定的相关业务规则和规定，该等规则和规定自动成为本条款约定的内容。</w:t>
      </w:r>
    </w:p>
    <w:p w14:paraId="674C1A5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基金管理人在投资前，应充分知晓与理解中登公司针对各类交易品种制定结算业务规则和规定。</w:t>
      </w:r>
    </w:p>
    <w:p w14:paraId="48A76D3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证券经纪机构代理本基金财产与中登公司完成证券交易及非交易涉及的证券资金结算业务，并承担由证券经纪机构原因造成的正常结算、交收业务无法完成的责任；若由于基金管理人原因造成的正常结算业务无法完成，责任由基金管理人承担。</w:t>
      </w:r>
    </w:p>
    <w:p w14:paraId="7C7CEC5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3、对于任何原因发生的证券资金交收违约事件，相关各方应当及时协商解决。</w:t>
      </w:r>
    </w:p>
    <w:p w14:paraId="6C43017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bookmarkStart w:id="47" w:name="_Toc194292257"/>
      <w:bookmarkStart w:id="48" w:name="_Toc48703906"/>
      <w:bookmarkStart w:id="49" w:name="_Toc194741915"/>
      <w:r>
        <w:rPr>
          <w:rFonts w:hint="eastAsia" w:asciiTheme="minorEastAsia" w:hAnsiTheme="minorEastAsia" w:eastAsiaTheme="minorEastAsia"/>
          <w:color w:val="auto"/>
          <w:szCs w:val="21"/>
          <w:highlight w:val="none"/>
        </w:rPr>
        <w:t>（三）资金、证券账目及交易记录的核对</w:t>
      </w:r>
      <w:bookmarkEnd w:id="47"/>
      <w:bookmarkEnd w:id="48"/>
      <w:bookmarkEnd w:id="49"/>
    </w:p>
    <w:p w14:paraId="3100153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基金管理人和基金托管人定期对资产的资金、证券账目、交易记录进行核对。</w:t>
      </w:r>
    </w:p>
    <w:p w14:paraId="77ACDE0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（四）申购或赎回</w:t>
      </w:r>
      <w:r>
        <w:rPr>
          <w:rFonts w:asciiTheme="minorEastAsia" w:hAnsiTheme="minorEastAsia" w:eastAsiaTheme="minorEastAsia"/>
          <w:color w:val="auto"/>
          <w:szCs w:val="21"/>
          <w:highlight w:val="none"/>
        </w:rPr>
        <w:t>的资金清算</w:t>
      </w:r>
    </w:p>
    <w:p w14:paraId="3686417C">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T日，</w:t>
      </w:r>
      <w:r>
        <w:rPr>
          <w:rFonts w:hint="eastAsia" w:asciiTheme="minorEastAsia" w:hAnsiTheme="minorEastAsia" w:eastAsiaTheme="minorEastAsia"/>
          <w:color w:val="auto"/>
          <w:szCs w:val="21"/>
          <w:highlight w:val="none"/>
        </w:rPr>
        <w:t>基金投资者进行申购或赎回</w:t>
      </w:r>
      <w:r>
        <w:rPr>
          <w:rFonts w:asciiTheme="minorEastAsia" w:hAnsiTheme="minorEastAsia" w:eastAsiaTheme="minorEastAsia"/>
          <w:color w:val="auto"/>
          <w:szCs w:val="21"/>
          <w:highlight w:val="none"/>
        </w:rPr>
        <w:t>申请</w:t>
      </w:r>
      <w:r>
        <w:rPr>
          <w:rFonts w:hint="eastAsia" w:asciiTheme="minorEastAsia" w:hAnsiTheme="minorEastAsia" w:eastAsiaTheme="minorEastAsia"/>
          <w:color w:val="auto"/>
          <w:szCs w:val="21"/>
          <w:highlight w:val="none"/>
        </w:rPr>
        <w:t>。在正常情况下，基金管理人或基金管理人委托的服务机构在</w:t>
      </w:r>
      <w:r>
        <w:rPr>
          <w:rFonts w:asciiTheme="minorEastAsia" w:hAnsiTheme="minorEastAsia" w:eastAsiaTheme="minorEastAsia"/>
          <w:color w:val="auto"/>
          <w:szCs w:val="21"/>
          <w:highlight w:val="none"/>
        </w:rPr>
        <w:t>T+2</w:t>
      </w:r>
      <w:r>
        <w:rPr>
          <w:rFonts w:hint="eastAsia" w:asciiTheme="minorEastAsia" w:hAnsiTheme="minorEastAsia" w:eastAsiaTheme="minorEastAsia"/>
          <w:color w:val="auto"/>
          <w:szCs w:val="21"/>
          <w:highlight w:val="none"/>
        </w:rPr>
        <w:t>日内对T日的申购、赎回申请进行确认，并将确认的申购、赎回等数据向基金托管人传送。基金管理人或基金管理人委托的服务机构、基金托管人根据确认数据进行账务处理。</w:t>
      </w:r>
    </w:p>
    <w:p w14:paraId="52B30ED7">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2、基金份额持有人赎回申请确认后，基金管理人将在</w:t>
      </w:r>
      <w:r>
        <w:rPr>
          <w:rFonts w:asciiTheme="minorEastAsia" w:hAnsiTheme="minorEastAsia" w:eastAsiaTheme="minorEastAsia"/>
          <w:color w:val="auto"/>
          <w:szCs w:val="21"/>
          <w:highlight w:val="none"/>
        </w:rPr>
        <w:t>T</w:t>
      </w:r>
      <w:r>
        <w:rPr>
          <w:rFonts w:hint="eastAsia" w:asciiTheme="minorEastAsia" w:hAnsiTheme="minorEastAsia" w:eastAsiaTheme="minorEastAsia"/>
          <w:color w:val="auto"/>
          <w:szCs w:val="21"/>
          <w:highlight w:val="none"/>
        </w:rPr>
        <w:t>＋5日</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包括T+5日</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内支付赎回款项。在发生巨额赎回时，款项的支付办法参照本合同有关条款处理。</w:t>
      </w:r>
    </w:p>
    <w:p w14:paraId="29101271">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3、基金管理人</w:t>
      </w:r>
      <w:r>
        <w:rPr>
          <w:rFonts w:asciiTheme="minorEastAsia" w:hAnsiTheme="minorEastAsia" w:eastAsiaTheme="minorEastAsia"/>
          <w:color w:val="auto"/>
          <w:szCs w:val="21"/>
          <w:highlight w:val="none"/>
        </w:rPr>
        <w:t>应对</w:t>
      </w:r>
      <w:r>
        <w:rPr>
          <w:rFonts w:hint="eastAsia" w:asciiTheme="minorEastAsia" w:hAnsiTheme="minorEastAsia" w:eastAsiaTheme="minorEastAsia"/>
          <w:color w:val="auto"/>
          <w:szCs w:val="21"/>
          <w:highlight w:val="none"/>
        </w:rPr>
        <w:t>份额登记数据的准确性</w:t>
      </w:r>
      <w:r>
        <w:rPr>
          <w:rFonts w:asciiTheme="minorEastAsia" w:hAnsiTheme="minorEastAsia" w:eastAsiaTheme="minorEastAsia"/>
          <w:color w:val="auto"/>
          <w:szCs w:val="21"/>
          <w:highlight w:val="none"/>
        </w:rPr>
        <w:t>负责。</w:t>
      </w:r>
      <w:r>
        <w:rPr>
          <w:rFonts w:hint="eastAsia" w:asciiTheme="minorEastAsia" w:hAnsiTheme="minorEastAsia" w:eastAsiaTheme="minorEastAsia"/>
          <w:color w:val="auto"/>
          <w:szCs w:val="21"/>
          <w:highlight w:val="none"/>
        </w:rPr>
        <w:t>基金托管人</w:t>
      </w:r>
      <w:r>
        <w:rPr>
          <w:rFonts w:asciiTheme="minorEastAsia" w:hAnsiTheme="minorEastAsia" w:eastAsiaTheme="minorEastAsia"/>
          <w:color w:val="auto"/>
          <w:szCs w:val="21"/>
          <w:highlight w:val="none"/>
        </w:rPr>
        <w:t>应及时查收</w:t>
      </w:r>
      <w:r>
        <w:rPr>
          <w:rFonts w:hint="eastAsia" w:asciiTheme="minorEastAsia" w:hAnsiTheme="minorEastAsia" w:eastAsiaTheme="minorEastAsia"/>
          <w:color w:val="auto"/>
          <w:szCs w:val="21"/>
          <w:highlight w:val="none"/>
        </w:rPr>
        <w:t>申购</w:t>
      </w:r>
      <w:r>
        <w:rPr>
          <w:rFonts w:asciiTheme="minorEastAsia" w:hAnsiTheme="minorEastAsia" w:eastAsiaTheme="minorEastAsia"/>
          <w:color w:val="auto"/>
          <w:szCs w:val="21"/>
          <w:highlight w:val="none"/>
        </w:rPr>
        <w:t>资金的到账情况</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并根据</w:t>
      </w:r>
      <w:r>
        <w:rPr>
          <w:rFonts w:hint="eastAsia" w:asciiTheme="minorEastAsia" w:hAnsiTheme="minorEastAsia" w:eastAsiaTheme="minorEastAsia"/>
          <w:color w:val="auto"/>
          <w:szCs w:val="21"/>
          <w:highlight w:val="none"/>
        </w:rPr>
        <w:t>基金管理人</w:t>
      </w:r>
      <w:r>
        <w:rPr>
          <w:rFonts w:asciiTheme="minorEastAsia" w:hAnsiTheme="minorEastAsia" w:eastAsiaTheme="minorEastAsia"/>
          <w:color w:val="auto"/>
          <w:szCs w:val="21"/>
          <w:highlight w:val="none"/>
        </w:rPr>
        <w:t>指令及时划付</w:t>
      </w:r>
      <w:r>
        <w:rPr>
          <w:rFonts w:hint="eastAsia" w:asciiTheme="minorEastAsia" w:hAnsiTheme="minorEastAsia" w:eastAsiaTheme="minorEastAsia"/>
          <w:color w:val="auto"/>
          <w:szCs w:val="21"/>
          <w:highlight w:val="none"/>
        </w:rPr>
        <w:t>赎回</w:t>
      </w:r>
      <w:r>
        <w:rPr>
          <w:rFonts w:asciiTheme="minorEastAsia" w:hAnsiTheme="minorEastAsia" w:eastAsiaTheme="minorEastAsia"/>
          <w:color w:val="auto"/>
          <w:szCs w:val="21"/>
          <w:highlight w:val="none"/>
        </w:rPr>
        <w:t>款项。</w:t>
      </w:r>
    </w:p>
    <w:p w14:paraId="63A74D82">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4、基金托管人仅接受基金管理人赎回指令，并根据赎回指令办理赎回款项的划付。因管理人拒绝接收投资者的赎回申请引起的纠纷或产生的任何损失和赔偿，托管人不承担任何责任。</w:t>
      </w:r>
    </w:p>
    <w:p w14:paraId="418596ED">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（五）选择期货经纪机构的程序及期货投资资金清算安排</w:t>
      </w:r>
    </w:p>
    <w:p w14:paraId="0089413C">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本基金投资于期货前，基金管理人负责选择为本基金提供期货交易服务的期货经纪公司，并与其签订期货经纪合同。基金管理人、基金托管人和期货公司可就基金参与期货交易的具体事项另行签订协议。</w:t>
      </w:r>
    </w:p>
    <w:p w14:paraId="50A3370D">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投资于期货发生的资金交割清算由基金管理人选定的期货经纪公司负责办理，基金托管人对由于期货交易所期货保证金制度和清算交割的需要而存放在期货经纪公司的资金不行使保管职责，基金管理人应在期货经纪协议或其他协议中约定由选定的期货经纪公司承担资金安全保管责任。</w:t>
      </w:r>
    </w:p>
    <w:p w14:paraId="341E5996">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（六）非证券交易所交易资金交收</w:t>
      </w:r>
    </w:p>
    <w:p w14:paraId="2F45F67D">
      <w:pPr>
        <w:tabs>
          <w:tab w:val="left" w:pos="142"/>
        </w:tabs>
        <w:adjustRightInd w:val="0"/>
        <w:snapToGrid w:val="0"/>
        <w:spacing w:before="93" w:beforeLines="30" w:after="93" w:afterLines="30" w:line="348" w:lineRule="auto"/>
        <w:ind w:firstLine="420" w:firstLineChars="200"/>
        <w:rPr>
          <w:rFonts w:cs="宋体" w:asciiTheme="minorEastAsia" w:hAnsiTheme="minorEastAsia" w:eastAsiaTheme="minorEastAsia"/>
          <w:color w:val="auto"/>
          <w:szCs w:val="21"/>
          <w:highlight w:val="none"/>
        </w:rPr>
      </w:pPr>
      <w:r>
        <w:rPr>
          <w:rFonts w:hint="eastAsia" w:cs="宋体" w:asciiTheme="minorEastAsia" w:hAnsiTheme="minorEastAsia" w:eastAsiaTheme="minorEastAsia"/>
          <w:color w:val="auto"/>
          <w:szCs w:val="21"/>
          <w:highlight w:val="none"/>
        </w:rPr>
        <w:t>1、对于本基金的投资及所投资的资产变现时，基金管理人应向基金托管人提交相关交易合同或协议、成交确认文件的复印件（加盖基金管理人有效印章），并通知基金托管人相关资金的到账时间。基金管理人保证以上所提供的文件资料的真实性和有效性。</w:t>
      </w:r>
    </w:p>
    <w:p w14:paraId="428E0043">
      <w:pPr>
        <w:tabs>
          <w:tab w:val="left" w:pos="142"/>
        </w:tabs>
        <w:adjustRightInd w:val="0"/>
        <w:snapToGrid w:val="0"/>
        <w:spacing w:before="93" w:beforeLines="30" w:after="93" w:afterLines="30" w:line="348" w:lineRule="auto"/>
        <w:ind w:firstLine="420" w:firstLineChars="200"/>
        <w:rPr>
          <w:rFonts w:cs="宋体" w:asciiTheme="minorEastAsia" w:hAnsiTheme="minorEastAsia" w:eastAsiaTheme="minorEastAsia"/>
          <w:color w:val="auto"/>
          <w:szCs w:val="21"/>
          <w:highlight w:val="none"/>
        </w:rPr>
      </w:pPr>
      <w:r>
        <w:rPr>
          <w:rFonts w:hint="eastAsia" w:cs="宋体"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基金管理人</w:t>
      </w:r>
      <w:r>
        <w:rPr>
          <w:rFonts w:hint="eastAsia" w:cs="宋体" w:asciiTheme="minorEastAsia" w:hAnsiTheme="minorEastAsia" w:eastAsiaTheme="minorEastAsia"/>
          <w:color w:val="auto"/>
          <w:szCs w:val="21"/>
          <w:highlight w:val="none"/>
        </w:rPr>
        <w:t>应指定本基金的托管资金账户为本基金投资所产生的本金、利息、投资收益以及其他收益的唯一收款账户。</w:t>
      </w:r>
    </w:p>
    <w:p w14:paraId="2A65D9B1">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cs="宋体" w:asciiTheme="minorEastAsia" w:hAnsiTheme="minorEastAsia" w:eastAsiaTheme="minorEastAsia"/>
          <w:color w:val="auto"/>
          <w:szCs w:val="21"/>
          <w:highlight w:val="none"/>
        </w:rPr>
        <w:t>3、基金托管资金账户当日若有应收款，在约定时间内未入账的，由基金管理人负责向相关当事人进行催收。</w:t>
      </w:r>
    </w:p>
    <w:p w14:paraId="552D117C">
      <w:pPr>
        <w:pStyle w:val="3"/>
        <w:keepNext w:val="0"/>
        <w:keepLines w:val="0"/>
        <w:adjustRightInd w:val="0"/>
        <w:snapToGrid w:val="0"/>
        <w:spacing w:before="312" w:beforeLines="100" w:after="312" w:afterLines="100" w:line="348" w:lineRule="auto"/>
        <w:jc w:val="center"/>
        <w:rPr>
          <w:rFonts w:asciiTheme="minorEastAsia" w:hAnsiTheme="minorEastAsia" w:eastAsiaTheme="minorEastAsia"/>
          <w:color w:val="auto"/>
          <w:sz w:val="28"/>
          <w:szCs w:val="28"/>
          <w:highlight w:val="none"/>
        </w:rPr>
      </w:pPr>
      <w:bookmarkStart w:id="50" w:name="_Toc459392417"/>
      <w:bookmarkStart w:id="51" w:name="_Toc391537514"/>
      <w:r>
        <w:rPr>
          <w:rFonts w:hint="eastAsia" w:asciiTheme="minorEastAsia" w:hAnsiTheme="minorEastAsia" w:eastAsiaTheme="minorEastAsia"/>
          <w:color w:val="auto"/>
          <w:sz w:val="28"/>
          <w:szCs w:val="28"/>
          <w:highlight w:val="none"/>
        </w:rPr>
        <w:t>十五、越权交易</w:t>
      </w:r>
      <w:bookmarkEnd w:id="50"/>
      <w:bookmarkEnd w:id="51"/>
    </w:p>
    <w:p w14:paraId="7914FC68">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（一）越权交易的界定</w:t>
      </w:r>
    </w:p>
    <w:p w14:paraId="645E3613">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本合同约定的越权交易是指基金管理人违反本合同的约定而进行的投资交易行为，包括：（1）违反本合同约定的投资范围和投资比例限制等进行的投资交易行为；（2）法律法规禁止的超买、超卖行为。</w:t>
      </w:r>
    </w:p>
    <w:p w14:paraId="358903B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基金管理人应在本合同规定的投资范围和投资限制权限内运用基金财产进行投资管理，不得违反本合同关于投资范围和投资限制的约定，超越权限从事投资。</w:t>
      </w:r>
    </w:p>
    <w:p w14:paraId="2E7B51F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（二）对越权交易的处理程序</w:t>
      </w:r>
    </w:p>
    <w:p w14:paraId="094841E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1、违反本合同投资范围和投资比例限制规定进行的投资交易行为</w:t>
      </w:r>
    </w:p>
    <w:p w14:paraId="5DB5633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基金托管人在行使监督职责时，发现基金管理人的投资指令违反本合同约定的，应当拒绝执行，立即通知基金管理人，并有权依据相关法律法规的要求报告中国证监会或中国基金业协会。</w:t>
      </w:r>
    </w:p>
    <w:p w14:paraId="04B7079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托管人在行使监督职责时，发现基金管理人依据交易程序已经生效的投资指令违反本合同约定的，应立即通知基金管理人，并有权依据相关法律法规的要求报告中国证监会或中国基金业协会。因执行该指令造成的损失基金托管人不承担任何责任。</w:t>
      </w:r>
    </w:p>
    <w:p w14:paraId="1CAD934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应向基金托管人主动报告越权交易。基金托管人有权督促基金管理人在限期内改正并在该期限内对通知事项进行复查。基金管理人对基金托管人通知的越权事项未能在限期内纠正的，基金托管人有权依据相关法律法规的要求报告中国证监会或中国基金业协会。</w:t>
      </w:r>
    </w:p>
    <w:p w14:paraId="10DDE4B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2、法律法规禁止的超买、超卖行为。</w:t>
      </w:r>
    </w:p>
    <w:p w14:paraId="68B5C86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托管人在行使监督职能时，如果发现基金资产投资过程中出现超买或超卖现象，应立即提醒基金管理人，由此给基金资产造成的损失由基金管理人承担，基金托管人不承担任何责任。如果因基金管理人原因发生交易所场内超买行为，必须于发生超买行为日的下一个工作日上午10：00点之前完成融资，保证完成清算交收。</w:t>
      </w:r>
    </w:p>
    <w:p w14:paraId="55A6925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3、越权交易所发生的损失及相关交易费用由管理人负担，所发生的收益归本基金资产所有。</w:t>
      </w:r>
    </w:p>
    <w:p w14:paraId="6D915E0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（三）基金托管人对基金管理人越权交易的监督</w:t>
      </w:r>
    </w:p>
    <w:p w14:paraId="21C3AE7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1、基金托管人对基金管理人的越权交易行使监督权，具体投资监督事项如下：</w:t>
      </w:r>
    </w:p>
    <w:p w14:paraId="0C5C3C5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（1）本基金的投资范围：</w:t>
      </w:r>
    </w:p>
    <w:p w14:paraId="59C98994">
      <w:pPr>
        <w:adjustRightInd w:val="0"/>
        <w:snapToGrid w:val="0"/>
        <w:spacing w:before="93" w:beforeLines="30" w:after="93" w:afterLines="30" w:line="360" w:lineRule="auto"/>
        <w:ind w:firstLine="420" w:firstLineChars="200"/>
        <w:rPr>
          <w:rFonts w:asciiTheme="minorEastAsia" w:hAnsiTheme="minorEastAsia"/>
          <w:color w:val="auto"/>
          <w:szCs w:val="21"/>
          <w:highlight w:val="none"/>
        </w:rPr>
      </w:pPr>
      <w:r>
        <w:rPr>
          <w:rFonts w:hint="eastAsia" w:asciiTheme="minorEastAsia" w:hAnsiTheme="minorEastAsia" w:eastAsiaTheme="minorEastAsia"/>
          <w:color w:val="auto"/>
          <w:szCs w:val="21"/>
          <w:highlight w:val="none"/>
        </w:rPr>
        <w:t>1）权益类：国内依法</w:t>
      </w:r>
      <w:r>
        <w:rPr>
          <w:rFonts w:hint="eastAsia" w:ascii="宋体" w:hAnsi="宋体"/>
          <w:color w:val="auto"/>
          <w:szCs w:val="21"/>
          <w:highlight w:val="none"/>
        </w:rPr>
        <w:t>发行上市的股票（含新股申购，不含优先股）。</w:t>
      </w:r>
    </w:p>
    <w:p w14:paraId="375EF759">
      <w:pPr>
        <w:adjustRightInd w:val="0"/>
        <w:snapToGrid w:val="0"/>
        <w:spacing w:before="93" w:beforeLines="30" w:after="93" w:afterLines="30" w:line="360" w:lineRule="auto"/>
        <w:ind w:firstLine="420" w:firstLineChars="200"/>
        <w:rPr>
          <w:rFonts w:asciiTheme="minorEastAsia" w:hAnsiTheme="minorEastAsia"/>
          <w:color w:val="auto"/>
          <w:szCs w:val="21"/>
          <w:highlight w:val="none"/>
        </w:rPr>
      </w:pPr>
      <w:r>
        <w:rPr>
          <w:rFonts w:hint="eastAsia" w:asciiTheme="minorEastAsia" w:hAnsiTheme="minorEastAsia" w:eastAsiaTheme="minorEastAsia"/>
          <w:color w:val="auto"/>
          <w:szCs w:val="21"/>
          <w:highlight w:val="none"/>
        </w:rPr>
        <w:t>2）固定收益类：</w:t>
      </w:r>
      <w:r>
        <w:rPr>
          <w:rFonts w:hint="eastAsia" w:ascii="宋体" w:hAnsi="宋体"/>
          <w:color w:val="auto"/>
          <w:szCs w:val="21"/>
          <w:highlight w:val="none"/>
        </w:rPr>
        <w:t>债券通用质押式回购。</w:t>
      </w:r>
    </w:p>
    <w:p w14:paraId="0E5E01A2">
      <w:pPr>
        <w:adjustRightInd w:val="0"/>
        <w:snapToGrid w:val="0"/>
        <w:spacing w:before="93" w:beforeLines="30" w:after="93" w:afterLines="30" w:line="360" w:lineRule="auto"/>
        <w:ind w:firstLine="420" w:firstLineChars="200"/>
        <w:rPr>
          <w:rFonts w:asciiTheme="minorEastAsia" w:hAnsiTheme="minorEastAsia"/>
          <w:color w:val="auto"/>
          <w:szCs w:val="21"/>
          <w:highlight w:val="none"/>
        </w:rPr>
      </w:pPr>
      <w:r>
        <w:rPr>
          <w:rFonts w:hint="eastAsia" w:asciiTheme="minorEastAsia" w:hAnsiTheme="minorEastAsia" w:eastAsiaTheme="minorEastAsia"/>
          <w:color w:val="auto"/>
          <w:szCs w:val="21"/>
          <w:highlight w:val="none"/>
        </w:rPr>
        <w:t>3）期货和衍生品类：</w:t>
      </w:r>
      <w:r>
        <w:rPr>
          <w:rFonts w:hint="eastAsia" w:ascii="宋体" w:hAnsi="宋体"/>
          <w:color w:val="auto"/>
          <w:szCs w:val="21"/>
          <w:highlight w:val="none"/>
        </w:rPr>
        <w:t>金融期货、商品期货。</w:t>
      </w:r>
    </w:p>
    <w:p w14:paraId="5076CF67">
      <w:pPr>
        <w:adjustRightInd w:val="0"/>
        <w:snapToGrid w:val="0"/>
        <w:spacing w:before="93" w:beforeLines="30" w:after="93" w:afterLines="30" w:line="360" w:lineRule="auto"/>
        <w:ind w:firstLine="420" w:firstLineChars="200"/>
        <w:rPr>
          <w:rFonts w:asciiTheme="minorEastAsia" w:hAnsiTheme="minorEastAsia"/>
          <w:color w:val="auto"/>
          <w:szCs w:val="21"/>
          <w:highlight w:val="none"/>
        </w:rPr>
      </w:pPr>
      <w:r>
        <w:rPr>
          <w:rFonts w:hint="eastAsia" w:asciiTheme="minorEastAsia" w:hAnsiTheme="minorEastAsia" w:eastAsiaTheme="minorEastAsia"/>
          <w:color w:val="auto"/>
          <w:szCs w:val="21"/>
          <w:highlight w:val="none"/>
        </w:rPr>
        <w:t>4）现金管理类：</w:t>
      </w:r>
      <w:r>
        <w:rPr>
          <w:rFonts w:hint="eastAsia" w:ascii="宋体" w:hAnsi="宋体"/>
          <w:color w:val="auto"/>
          <w:szCs w:val="21"/>
          <w:highlight w:val="none"/>
        </w:rPr>
        <w:t>银行活期存款、国债、货币市场基金等中国证监会认可的现金管理工具。</w:t>
      </w:r>
    </w:p>
    <w:p w14:paraId="70F1CEE7">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Theme="minorEastAsia" w:hAnsiTheme="minorEastAsia" w:eastAsiaTheme="minorEastAsia"/>
          <w:color w:val="auto"/>
          <w:szCs w:val="21"/>
          <w:highlight w:val="none"/>
        </w:rPr>
        <w:t>5）其他：</w:t>
      </w:r>
      <w:r>
        <w:rPr>
          <w:rFonts w:hint="eastAsia" w:ascii="宋体" w:hAnsi="宋体"/>
          <w:color w:val="auto"/>
          <w:szCs w:val="21"/>
          <w:highlight w:val="none"/>
        </w:rPr>
        <w:t>公开募集的证券投资基金、融资融券。</w:t>
      </w:r>
    </w:p>
    <w:p w14:paraId="5930E324">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宋体" w:hAnsi="宋体"/>
          <w:color w:val="auto"/>
          <w:szCs w:val="21"/>
          <w:highlight w:val="none"/>
        </w:rPr>
        <w:t>本基金不参与期货实物交割。</w:t>
      </w:r>
    </w:p>
    <w:p w14:paraId="2D2C7A8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如法律法规或中国证监会规定私募基金管理人需取得特定资质后方可投资上述证券或金融衍生产品的，则私募基金管理人投资上述证券或金融衍生产品前应获得相应资质。</w:t>
      </w:r>
    </w:p>
    <w:p w14:paraId="31AD399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（2）本基金的投资限制：</w:t>
      </w:r>
    </w:p>
    <w:p w14:paraId="5AAD8331">
      <w:pPr>
        <w:adjustRightInd w:val="0"/>
        <w:snapToGrid w:val="0"/>
        <w:spacing w:before="93" w:beforeLines="30" w:after="93" w:afterLines="30" w:line="360" w:lineRule="auto"/>
        <w:ind w:firstLine="420" w:firstLineChars="200"/>
        <w:rPr>
          <w:rFonts w:ascii="宋体" w:hAnsi="宋体"/>
          <w:color w:val="auto"/>
          <w:szCs w:val="21"/>
          <w:highlight w:val="none"/>
        </w:rPr>
      </w:pPr>
      <w:bookmarkStart w:id="52" w:name="_Hlk78817196"/>
      <w:r>
        <w:rPr>
          <w:rFonts w:hint="eastAsia" w:ascii="宋体" w:hAnsi="宋体"/>
          <w:color w:val="auto"/>
          <w:szCs w:val="21"/>
          <w:highlight w:val="none"/>
        </w:rPr>
        <w:t>1）本基金存续期内，基金总资产与净资产的比例不得超过200%。本基金投向AA级及以下信用债(可转债除外)、流动性受限资产合计不超过基金净资产20%。</w:t>
      </w:r>
    </w:p>
    <w:p w14:paraId="501BA56D">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宋体" w:hAnsi="宋体"/>
          <w:color w:val="auto"/>
          <w:szCs w:val="21"/>
          <w:highlight w:val="none"/>
        </w:rPr>
        <w:t>2）按市值计算，本基金直接和间接投资于股票等股权类资产的比例不低于本基金已投资产80%，已投资产不包含现金管理工具。</w:t>
      </w:r>
      <w:r>
        <w:rPr>
          <w:rFonts w:hint="eastAsia"/>
          <w:color w:val="auto"/>
          <w:highlight w:val="none"/>
        </w:rPr>
        <w:t>如本基金投资其他资管产品（含私募基金）的，本条监控按照穿透合并计算进行。</w:t>
      </w:r>
    </w:p>
    <w:p w14:paraId="5C6A374D">
      <w:pPr>
        <w:adjustRightInd w:val="0"/>
        <w:snapToGrid w:val="0"/>
        <w:spacing w:before="93" w:beforeLines="30" w:after="93" w:afterLines="30" w:line="360" w:lineRule="auto"/>
        <w:ind w:firstLine="420" w:firstLineChars="200"/>
        <w:rPr>
          <w:rFonts w:ascii="宋体" w:hAnsi="宋体" w:cs="宋体"/>
          <w:color w:val="auto"/>
          <w:highlight w:val="none"/>
        </w:rPr>
      </w:pPr>
      <w:r>
        <w:rPr>
          <w:rFonts w:hint="eastAsia" w:ascii="宋体" w:hAnsi="宋体"/>
          <w:color w:val="auto"/>
          <w:szCs w:val="21"/>
          <w:highlight w:val="none"/>
        </w:rPr>
        <w:t>3）</w:t>
      </w:r>
      <w:r>
        <w:rPr>
          <w:rFonts w:hint="eastAsia" w:asciiTheme="minorEastAsia" w:hAnsiTheme="minorEastAsia" w:eastAsiaTheme="minorEastAsia"/>
          <w:color w:val="auto"/>
          <w:szCs w:val="21"/>
          <w:highlight w:val="none"/>
        </w:rPr>
        <w:t>按市值和成本孰低计算，</w:t>
      </w:r>
      <w:r>
        <w:rPr>
          <w:rFonts w:hint="eastAsia" w:ascii="宋体" w:hAnsi="宋体"/>
          <w:color w:val="auto"/>
          <w:szCs w:val="21"/>
          <w:highlight w:val="none"/>
        </w:rPr>
        <w:t>本基金投资于同一资产的资金，不得超过基金净资产的25%（</w:t>
      </w:r>
      <w:r>
        <w:rPr>
          <w:rFonts w:hint="eastAsia"/>
          <w:color w:val="auto"/>
          <w:highlight w:val="none"/>
        </w:rPr>
        <w:t>银行活期存款、国债、债券通用质押式回购、中央银行票据、政策性金融债、地方政府债券、公开募集基金等中国证监会、基金业协会认可的投资品种除外</w:t>
      </w:r>
      <w:r>
        <w:rPr>
          <w:rFonts w:hint="eastAsia" w:ascii="宋体" w:hAnsi="宋体"/>
          <w:color w:val="auto"/>
          <w:szCs w:val="21"/>
          <w:highlight w:val="none"/>
        </w:rPr>
        <w:t>）。</w:t>
      </w:r>
      <w:r>
        <w:rPr>
          <w:rFonts w:hint="eastAsia"/>
          <w:color w:val="auto"/>
          <w:highlight w:val="none"/>
        </w:rPr>
        <w:t>如本基金投资其他资管产品（含私募基金）的，本条监控按照穿透合并计算进行。</w:t>
      </w:r>
    </w:p>
    <w:p w14:paraId="59919CB7">
      <w:pPr>
        <w:pStyle w:val="13"/>
        <w:adjustRightInd w:val="0"/>
        <w:snapToGrid w:val="0"/>
        <w:spacing w:line="360" w:lineRule="auto"/>
        <w:ind w:firstLine="422"/>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特别申明：</w:t>
      </w:r>
    </w:p>
    <w:bookmarkEnd w:id="52"/>
    <w:p w14:paraId="440D50A9">
      <w:pPr>
        <w:pStyle w:val="13"/>
        <w:adjustRightInd w:val="0"/>
        <w:snapToGrid w:val="0"/>
        <w:spacing w:before="93" w:beforeLines="30" w:after="93" w:afterLines="30" w:line="360" w:lineRule="auto"/>
        <w:ind w:firstLine="422"/>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私募证券投资基金参与场外衍生品交易的（如有），私募基金管理人应当在该基金下一估值日前将场外衍生品交易情况、交易文件等提供给私募基金托管人。私募基金管理人签订场外衍生品交易文件时，应当明确授权由交易对手方、相关交易的清算机构在该基金下一估值日前直接向私募基金托管人提供场外衍生品交易文件并持续提供估值信息。如因私募基金管理人（或交易对手方、相关交易的清算机构等）未提供/未及时向私募基金托管人提供前述材料或者向私募基金托管人提供虚假或不完整材料，导致私募基金托管人无法进行监督的，私募基金托管人免责。本基金投资场外衍生品时（如有），私募基金管理人应确保本基金符合投资者适当性要求，确保本基金及所投资的场外衍生品符合监管要求和本合同对其特殊约定（如有）。</w:t>
      </w:r>
    </w:p>
    <w:p w14:paraId="1A6180AD">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私募证券投资基金开展债券质押式协议回购业务的（如有），私募基金管理人（或其指定的相关清算机构等）应当在该基金下一估值日前将参与债券质押式协议回购业务的交易文件、交易对手方及质押标的等信息提供给私募基金托管人。如因私募基金管理人（或其指定的相关清算机构等）未提供/未及时向私募基金托管人提供前述材料或者向私募基金托管人提供虚假或不完整材料，导致私募基金托管人无法进行监督的，私募基金托管人免责。</w:t>
      </w:r>
    </w:p>
    <w:p w14:paraId="4724926A">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以上投资比例及限制中</w:t>
      </w:r>
      <w:r>
        <w:rPr>
          <w:rFonts w:asciiTheme="minorEastAsia" w:hAnsiTheme="minorEastAsia" w:eastAsiaTheme="minorEastAsia"/>
          <w:b/>
          <w:bCs/>
          <w:color w:val="auto"/>
          <w:szCs w:val="21"/>
          <w:highlight w:val="none"/>
        </w:rPr>
        <w:t>，如涉及新股新债申购的申报金额与数量、盘中监控、交易策略类等监控事项的，由基金管理人自行监控，基金托管人不承担投资监督职责。</w:t>
      </w:r>
    </w:p>
    <w:p w14:paraId="40DB09E0">
      <w:pPr>
        <w:pStyle w:val="13"/>
        <w:adjustRightInd w:val="0"/>
        <w:snapToGrid w:val="0"/>
        <w:spacing w:before="93" w:beforeLines="30" w:after="93" w:afterLines="30" w:line="360" w:lineRule="auto"/>
        <w:ind w:firstLine="422"/>
        <w:rPr>
          <w:rFonts w:asciiTheme="minorEastAsia" w:hAnsiTheme="minorEastAsia" w:eastAsiaTheme="minorEastAsia"/>
          <w:b/>
          <w:bCs/>
          <w:color w:val="auto"/>
          <w:szCs w:val="21"/>
          <w:highlight w:val="none"/>
        </w:rPr>
      </w:pPr>
      <w:r>
        <w:rPr>
          <w:rFonts w:asciiTheme="minorEastAsia" w:hAnsiTheme="minorEastAsia" w:eastAsiaTheme="minorEastAsia"/>
          <w:b/>
          <w:bCs/>
          <w:color w:val="auto"/>
          <w:szCs w:val="21"/>
          <w:highlight w:val="none"/>
        </w:rPr>
        <w:t>本基金投资其他金融产品时（如有），</w:t>
      </w:r>
      <w:r>
        <w:rPr>
          <w:rFonts w:hint="eastAsia" w:asciiTheme="minorEastAsia" w:hAnsiTheme="minorEastAsia" w:eastAsiaTheme="minorEastAsia"/>
          <w:b/>
          <w:bCs/>
          <w:color w:val="auto"/>
          <w:szCs w:val="21"/>
          <w:highlight w:val="none"/>
        </w:rPr>
        <w:t>私募基金管理人保证严格遵守</w:t>
      </w:r>
      <w:r>
        <w:rPr>
          <w:rFonts w:asciiTheme="minorEastAsia" w:hAnsiTheme="minorEastAsia" w:eastAsiaTheme="minorEastAsia"/>
          <w:b/>
          <w:bCs/>
          <w:color w:val="auto"/>
          <w:szCs w:val="21"/>
          <w:highlight w:val="none"/>
        </w:rPr>
        <w:t>监管</w:t>
      </w:r>
      <w:r>
        <w:rPr>
          <w:rFonts w:hint="eastAsia" w:asciiTheme="minorEastAsia" w:hAnsiTheme="minorEastAsia" w:eastAsiaTheme="minorEastAsia"/>
          <w:b/>
          <w:bCs/>
          <w:color w:val="auto"/>
          <w:szCs w:val="21"/>
          <w:highlight w:val="none"/>
        </w:rPr>
        <w:t>、自律组织等</w:t>
      </w:r>
      <w:r>
        <w:rPr>
          <w:rFonts w:asciiTheme="minorEastAsia" w:hAnsiTheme="minorEastAsia" w:eastAsiaTheme="minorEastAsia"/>
          <w:b/>
          <w:bCs/>
          <w:color w:val="auto"/>
          <w:szCs w:val="21"/>
          <w:highlight w:val="none"/>
        </w:rPr>
        <w:t>要求对下层资产进行穿透审核</w:t>
      </w:r>
      <w:r>
        <w:rPr>
          <w:rFonts w:hint="eastAsia" w:asciiTheme="minorEastAsia" w:hAnsiTheme="minorEastAsia" w:eastAsiaTheme="minorEastAsia"/>
          <w:b/>
          <w:bCs/>
          <w:color w:val="auto"/>
          <w:szCs w:val="21"/>
          <w:highlight w:val="none"/>
        </w:rPr>
        <w:t>：1、私募基金管理人负责</w:t>
      </w:r>
      <w:r>
        <w:rPr>
          <w:rFonts w:asciiTheme="minorEastAsia" w:hAnsiTheme="minorEastAsia" w:eastAsiaTheme="minorEastAsia"/>
          <w:b/>
          <w:bCs/>
          <w:color w:val="auto"/>
          <w:szCs w:val="21"/>
          <w:highlight w:val="none"/>
        </w:rPr>
        <w:t>确保该金融产品的投资范围符合监管要求</w:t>
      </w:r>
      <w:r>
        <w:rPr>
          <w:rFonts w:hint="eastAsia" w:asciiTheme="minorEastAsia" w:hAnsiTheme="minorEastAsia" w:eastAsiaTheme="minorEastAsia"/>
          <w:b/>
          <w:bCs/>
          <w:color w:val="auto"/>
          <w:szCs w:val="21"/>
          <w:highlight w:val="none"/>
        </w:rPr>
        <w:t>，</w:t>
      </w:r>
      <w:r>
        <w:rPr>
          <w:rFonts w:hint="eastAsia" w:ascii="宋体" w:hAnsi="宋体"/>
          <w:b/>
          <w:bCs/>
          <w:color w:val="auto"/>
          <w:highlight w:val="none"/>
        </w:rPr>
        <w:t>如本合同对拟投资标的进行穿透约定的（如投资某基金，对该基金的投向或如何运作进行约定），私募基金管理人负责审查本合同穿透约定与该投资标的交易文件的具体约定是否一致</w:t>
      </w:r>
      <w:r>
        <w:rPr>
          <w:rFonts w:hint="eastAsia" w:asciiTheme="minorEastAsia" w:hAnsiTheme="minorEastAsia" w:eastAsiaTheme="minorEastAsia"/>
          <w:b/>
          <w:bCs/>
          <w:color w:val="auto"/>
          <w:szCs w:val="21"/>
          <w:highlight w:val="none"/>
        </w:rPr>
        <w:t>；2、私募</w:t>
      </w:r>
      <w:r>
        <w:rPr>
          <w:rFonts w:asciiTheme="minorEastAsia" w:hAnsiTheme="minorEastAsia" w:eastAsiaTheme="minorEastAsia"/>
          <w:b/>
          <w:bCs/>
          <w:color w:val="auto"/>
          <w:szCs w:val="21"/>
          <w:highlight w:val="none"/>
        </w:rPr>
        <w:t>基金管理人</w:t>
      </w:r>
      <w:r>
        <w:rPr>
          <w:rFonts w:hint="eastAsia" w:asciiTheme="minorEastAsia" w:hAnsiTheme="minorEastAsia" w:eastAsiaTheme="minorEastAsia"/>
          <w:b/>
          <w:bCs/>
          <w:color w:val="auto"/>
          <w:szCs w:val="21"/>
          <w:highlight w:val="none"/>
        </w:rPr>
        <w:t>负责</w:t>
      </w:r>
      <w:r>
        <w:rPr>
          <w:rFonts w:asciiTheme="minorEastAsia" w:hAnsiTheme="minorEastAsia" w:eastAsiaTheme="minorEastAsia"/>
          <w:b/>
          <w:bCs/>
          <w:color w:val="auto"/>
          <w:szCs w:val="21"/>
          <w:highlight w:val="none"/>
        </w:rPr>
        <w:t>按</w:t>
      </w:r>
      <w:r>
        <w:rPr>
          <w:rFonts w:hint="eastAsia" w:asciiTheme="minorEastAsia" w:hAnsiTheme="minorEastAsia" w:eastAsiaTheme="minorEastAsia"/>
          <w:b/>
          <w:bCs/>
          <w:color w:val="auto"/>
          <w:szCs w:val="21"/>
          <w:highlight w:val="none"/>
        </w:rPr>
        <w:t>照</w:t>
      </w:r>
      <w:r>
        <w:rPr>
          <w:rFonts w:asciiTheme="minorEastAsia" w:hAnsiTheme="minorEastAsia" w:eastAsiaTheme="minorEastAsia"/>
          <w:b/>
          <w:bCs/>
          <w:color w:val="auto"/>
          <w:szCs w:val="21"/>
          <w:highlight w:val="none"/>
        </w:rPr>
        <w:t>穿透</w:t>
      </w:r>
      <w:r>
        <w:rPr>
          <w:rFonts w:hint="eastAsia" w:asciiTheme="minorEastAsia" w:hAnsiTheme="minorEastAsia" w:eastAsiaTheme="minorEastAsia"/>
          <w:b/>
          <w:bCs/>
          <w:color w:val="auto"/>
          <w:szCs w:val="21"/>
          <w:highlight w:val="none"/>
        </w:rPr>
        <w:t>原则</w:t>
      </w:r>
      <w:r>
        <w:rPr>
          <w:rFonts w:hint="eastAsia" w:ascii="宋体" w:hAnsi="宋体"/>
          <w:b/>
          <w:bCs/>
          <w:color w:val="auto"/>
          <w:highlight w:val="none"/>
        </w:rPr>
        <w:t>合并计算已投基金的资产比例、金额以及组合投资要求等是否符合要求，私募基金管理人应当按照所投资金融产品披露投资组合的频率，及时更新计算本基金所投资资产的金额或比例，并至少按季度向私募基金托管人主动发送私募基金管理人计算的穿透后各类资产比例以及相关核查材料或计算数据，私募基金托管人仅按照私募基金管理人提供的数据材料及提供频率进行事后监督，私募基金管理人应对所提供数据材料的真实性、准确性以及完整性负责，</w:t>
      </w:r>
      <w:r>
        <w:rPr>
          <w:rFonts w:hint="eastAsia" w:asciiTheme="minorEastAsia" w:hAnsiTheme="minorEastAsia" w:eastAsiaTheme="minorEastAsia"/>
          <w:b/>
          <w:bCs/>
          <w:color w:val="auto"/>
          <w:szCs w:val="21"/>
          <w:highlight w:val="none"/>
        </w:rPr>
        <w:t>如因私募基金管理人未提供/未及时向私募基金托管人提供前述材料或者向私募基金托管人提供虚假或不完整材料，导致私募基金托管人无法进行监督的，私募基金托管人免责。本基金如通过份额转让等方式投资金融产品时，私募基金管理人负责确保本基金投资金融产品符合嵌套层级的监管要求，基金份额转让价格由私募基金管理人负责控制和确定。</w:t>
      </w:r>
    </w:p>
    <w:p w14:paraId="08D8174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由于包括但不限于证券、期货市场波动、上市公司合并、组合规模变动等基金管理人之外的原因导致的投资比例不符合本合同约定的投资限制或投资禁止政策，为被动超标，除法律法规或本合同另有约定外，基金管理人应在发生不符合法律法规或投资政策之日起的20个交易日内调整完毕。如发生证券停牌或其他非基金管理人可以控制的原因导致基金管理人不能履行调整义务的，则调整期限相应顺延。基金管理人应当自证券恢复交易之日起的20个交易日内调整完毕，法律、行政法规、金融监管部门另有规定的，从其规定。</w:t>
      </w:r>
    </w:p>
    <w:p w14:paraId="7EC36D6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在本基金到期日前10个交易日内，因基金财产变现需要，本基金财产的投资比例限制可以不符合上述基金配置比例规定。</w:t>
      </w:r>
    </w:p>
    <w:p w14:paraId="2CD42C4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（3）法律法规或监管部门对上述比例限制另有规定的，从其规定。若法律法规或监管部门取消上述限制，本基金投资可不受上述规定限制。</w:t>
      </w:r>
    </w:p>
    <w:p w14:paraId="7F25009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因证券市场波动、上市公司合并、基金规模变动等基金管理人之外的因素致使本基金不符合本合同约定的投资比例的，基金管理人应当在合理期限内调整完毕。</w:t>
      </w:r>
    </w:p>
    <w:p w14:paraId="71EE314F">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基金托管人以（</w:t>
      </w:r>
      <w:r>
        <w:rPr>
          <w:rFonts w:asciiTheme="minorEastAsia" w:hAnsiTheme="minorEastAsia" w:eastAsiaTheme="minorEastAsia"/>
          <w:b/>
          <w:color w:val="auto"/>
          <w:szCs w:val="21"/>
          <w:highlight w:val="none"/>
        </w:rPr>
        <w:t>1）—（</w:t>
      </w:r>
      <w:r>
        <w:rPr>
          <w:rFonts w:hint="eastAsia" w:asciiTheme="minorEastAsia" w:hAnsiTheme="minorEastAsia" w:eastAsiaTheme="minorEastAsia"/>
          <w:b/>
          <w:color w:val="auto"/>
          <w:szCs w:val="21"/>
          <w:highlight w:val="none"/>
        </w:rPr>
        <w:t>3</w:t>
      </w:r>
      <w:r>
        <w:rPr>
          <w:rFonts w:asciiTheme="minorEastAsia" w:hAnsiTheme="minorEastAsia" w:eastAsiaTheme="minorEastAsia"/>
          <w:b/>
          <w:color w:val="auto"/>
          <w:szCs w:val="21"/>
          <w:highlight w:val="none"/>
        </w:rPr>
        <w:t>）项为限</w:t>
      </w:r>
      <w:r>
        <w:rPr>
          <w:rFonts w:hint="eastAsia" w:asciiTheme="minorEastAsia" w:hAnsiTheme="minorEastAsia" w:eastAsiaTheme="minorEastAsia"/>
          <w:b/>
          <w:color w:val="auto"/>
          <w:szCs w:val="21"/>
          <w:highlight w:val="none"/>
        </w:rPr>
        <w:t>履行监督职责，对基金管理人的其他职责和行为不承担监督责任。</w:t>
      </w:r>
    </w:p>
    <w:p w14:paraId="051EF38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基金托管人对基金管理人进行本基金越权交易的监督和检查自基金合同生效之日起开始。</w:t>
      </w:r>
    </w:p>
    <w:p w14:paraId="23F9E45A">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2</w:t>
      </w:r>
      <w:r>
        <w:rPr>
          <w:rFonts w:asciiTheme="minorEastAsia" w:hAnsiTheme="minorEastAsia" w:eastAsiaTheme="minorEastAsia"/>
          <w:b/>
          <w:color w:val="auto"/>
          <w:szCs w:val="21"/>
          <w:highlight w:val="none"/>
        </w:rPr>
        <w:t>、基金托管人</w:t>
      </w:r>
      <w:r>
        <w:rPr>
          <w:rFonts w:hint="eastAsia" w:asciiTheme="minorEastAsia" w:hAnsiTheme="minorEastAsia" w:eastAsiaTheme="minorEastAsia"/>
          <w:b/>
          <w:color w:val="auto"/>
          <w:szCs w:val="21"/>
          <w:highlight w:val="none"/>
        </w:rPr>
        <w:t>越权交易监督的真实性、准确性、及时性和完整性受限于管理人、证券经纪商、期货经纪商及其他中介机构提供的数据和信息，合规投资的责任在基金管理人。基金托管人对上述机构提供信息的真实性、准确性、及时性和完整性不作任何担保、暗示或表示，并对上述机构提供信息的错误、遗漏或延迟所引起的损失不承担任何责任。</w:t>
      </w:r>
    </w:p>
    <w:p w14:paraId="03D356E1">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3</w:t>
      </w:r>
      <w:r>
        <w:rPr>
          <w:rFonts w:asciiTheme="minorEastAsia" w:hAnsiTheme="minorEastAsia" w:eastAsiaTheme="minorEastAsia"/>
          <w:b/>
          <w:color w:val="auto"/>
          <w:szCs w:val="21"/>
          <w:highlight w:val="none"/>
        </w:rPr>
        <w:t>、对于基金管理人的任何投资行为、投资策略、投资决定或由于基金产品设计缺陷或越权交易造成的任何损失，基金托管人不承担任何责任。</w:t>
      </w:r>
      <w:r>
        <w:rPr>
          <w:rFonts w:hint="eastAsia" w:asciiTheme="minorEastAsia" w:hAnsiTheme="minorEastAsia" w:eastAsiaTheme="minorEastAsia"/>
          <w:b/>
          <w:color w:val="auto"/>
          <w:szCs w:val="21"/>
          <w:highlight w:val="none"/>
        </w:rPr>
        <w:t>基金托管人按照本合同约定履行了上述越权交易监督义务的，即代表托管人对基金投资运作进行了监督。对于基金管理人实际发生的越权交易，无论托管人是否发现，托管人对该越权交易的行为以及产生的后果和损失不承担任何补充或连带责任。</w:t>
      </w:r>
      <w:r>
        <w:rPr>
          <w:rFonts w:hint="eastAsia" w:asciiTheme="minorEastAsia" w:hAnsiTheme="minorEastAsia" w:eastAsiaTheme="minorEastAsia"/>
          <w:b/>
          <w:bCs/>
          <w:color w:val="auto"/>
          <w:szCs w:val="21"/>
          <w:highlight w:val="none"/>
        </w:rPr>
        <w:t>私募基金托管人不会因为提供投资监督提示而承担任何因私募基金管理人违规投资所产生的有关责任，也没有义务去采取任何手段回应任何与投资监督提示有关的信息和报道。</w:t>
      </w:r>
    </w:p>
    <w:p w14:paraId="3342ED41">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53" w:name="_Toc194741917"/>
      <w:bookmarkStart w:id="54" w:name="_Toc459392418"/>
      <w:r>
        <w:rPr>
          <w:rFonts w:hint="eastAsia" w:asciiTheme="minorEastAsia" w:hAnsiTheme="minorEastAsia" w:eastAsiaTheme="minorEastAsia"/>
          <w:color w:val="auto"/>
          <w:sz w:val="28"/>
          <w:szCs w:val="28"/>
          <w:highlight w:val="none"/>
        </w:rPr>
        <w:t>十六、基金财产的估值</w:t>
      </w:r>
      <w:bookmarkEnd w:id="53"/>
      <w:r>
        <w:rPr>
          <w:rFonts w:hint="eastAsia" w:asciiTheme="minorEastAsia" w:hAnsiTheme="minorEastAsia" w:eastAsiaTheme="minorEastAsia"/>
          <w:color w:val="auto"/>
          <w:sz w:val="28"/>
          <w:szCs w:val="28"/>
          <w:highlight w:val="none"/>
        </w:rPr>
        <w:t>和会计核算</w:t>
      </w:r>
      <w:bookmarkEnd w:id="54"/>
    </w:p>
    <w:p w14:paraId="606FD2D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一</w:t>
      </w:r>
      <w:r>
        <w:rPr>
          <w:rFonts w:hint="eastAsia" w:asciiTheme="minorEastAsia" w:hAnsiTheme="minorEastAsia" w:eastAsiaTheme="minorEastAsia"/>
          <w:color w:val="auto"/>
          <w:szCs w:val="21"/>
          <w:highlight w:val="none"/>
        </w:rPr>
        <w:t>）基金财产的估值</w:t>
      </w:r>
    </w:p>
    <w:p w14:paraId="3B695D5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1、基金资产总值</w:t>
      </w:r>
    </w:p>
    <w:p w14:paraId="487FC95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基金资产总值是指其所购买的各类证券、银行存款及利息、基金各项应收款以及其他资产的价值总和。本基金基金资产总值保留到小数点后2位，小数点后第3位四舍五入。</w:t>
      </w:r>
    </w:p>
    <w:p w14:paraId="782993F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2、基金资产净值</w:t>
      </w:r>
    </w:p>
    <w:p w14:paraId="4281A0B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基金资产净值是指基金资产总值减去负债后的净额。本基金基金资产净值保留到小数点后2位，小数点后第3位四舍五入。</w:t>
      </w:r>
    </w:p>
    <w:p w14:paraId="74D5E4B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3、基金份额净值、各类别基金份额净值</w:t>
      </w:r>
    </w:p>
    <w:p w14:paraId="7B2D2BB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基金份额净值、各类别基金份额净值精确到小数点后第</w:t>
      </w:r>
      <w:r>
        <w:rPr>
          <w:rFonts w:asciiTheme="minorEastAsia" w:hAnsiTheme="minorEastAsia" w:eastAsiaTheme="minorEastAsia"/>
          <w:color w:val="auto"/>
          <w:szCs w:val="21"/>
          <w:highlight w:val="none"/>
        </w:rPr>
        <w:t>4</w:t>
      </w:r>
      <w:r>
        <w:rPr>
          <w:rFonts w:hint="eastAsia" w:asciiTheme="minorEastAsia" w:hAnsiTheme="minorEastAsia" w:eastAsiaTheme="minorEastAsia"/>
          <w:color w:val="auto"/>
          <w:szCs w:val="21"/>
          <w:highlight w:val="none"/>
        </w:rPr>
        <w:t>位，小数点后第</w:t>
      </w:r>
      <w:r>
        <w:rPr>
          <w:rFonts w:asciiTheme="minorEastAsia" w:hAnsiTheme="minorEastAsia" w:eastAsiaTheme="minorEastAsia"/>
          <w:color w:val="auto"/>
          <w:szCs w:val="21"/>
          <w:highlight w:val="none"/>
        </w:rPr>
        <w:t>5</w:t>
      </w:r>
      <w:r>
        <w:rPr>
          <w:rFonts w:hint="eastAsia" w:asciiTheme="minorEastAsia" w:hAnsiTheme="minorEastAsia" w:eastAsiaTheme="minorEastAsia"/>
          <w:color w:val="auto"/>
          <w:szCs w:val="21"/>
          <w:highlight w:val="none"/>
        </w:rPr>
        <w:t>位四舍五入。如本合同中涉及基金份额净值、各类别基金份额净值的具体约定的，均以此小数位数为准。</w:t>
      </w:r>
    </w:p>
    <w:p w14:paraId="032576C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w:t>
      </w:r>
      <w:r>
        <w:rPr>
          <w:rFonts w:asciiTheme="minorEastAsia" w:hAnsiTheme="minorEastAsia" w:eastAsiaTheme="minorEastAsia"/>
          <w:color w:val="auto"/>
          <w:szCs w:val="21"/>
          <w:highlight w:val="none"/>
        </w:rPr>
        <w:t>估值目的</w:t>
      </w:r>
    </w:p>
    <w:p w14:paraId="1AEA606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基金财产估值目的是客观、准确地反映基金财产的价值，并为基金份额申购、赎回提供计价依据。</w:t>
      </w:r>
    </w:p>
    <w:p w14:paraId="606E95D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5、估值时间</w:t>
      </w:r>
    </w:p>
    <w:p w14:paraId="32F585C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私募基金管理人或其委托的服务机构对每个交易日的基金财产进行估值，T+1日与托管人核对估值结果。</w:t>
      </w:r>
      <w:r>
        <w:rPr>
          <w:rFonts w:hint="eastAsia" w:asciiTheme="minorEastAsia" w:hAnsiTheme="minorEastAsia" w:eastAsiaTheme="minorEastAsia"/>
          <w:b/>
          <w:color w:val="auto"/>
          <w:szCs w:val="21"/>
          <w:highlight w:val="none"/>
        </w:rPr>
        <w:t>对于非私募基金托管人原因造成的估值核对时效延误，私募基金托管人不承担责任。</w:t>
      </w:r>
    </w:p>
    <w:p w14:paraId="6386C4E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6、估值材料的交互要求</w:t>
      </w:r>
    </w:p>
    <w:p w14:paraId="47F7DA4A">
      <w:pPr>
        <w:adjustRightInd w:val="0"/>
        <w:snapToGrid w:val="0"/>
        <w:spacing w:before="93" w:beforeLines="30" w:after="93" w:afterLines="30" w:line="360" w:lineRule="auto"/>
        <w:ind w:firstLine="422" w:firstLineChars="200"/>
        <w:rPr>
          <w:rStyle w:val="11"/>
          <w:rFonts w:asciiTheme="minorEastAsia" w:hAnsiTheme="minorEastAsia" w:eastAsiaTheme="minorEastAsia"/>
          <w:b/>
          <w:bCs/>
          <w:color w:val="auto"/>
          <w:highlight w:val="none"/>
        </w:rPr>
      </w:pPr>
      <w:bookmarkStart w:id="55" w:name="_Hlk34476335"/>
      <w:r>
        <w:rPr>
          <w:rStyle w:val="11"/>
          <w:rFonts w:hint="eastAsia" w:asciiTheme="minorEastAsia" w:hAnsiTheme="minorEastAsia" w:eastAsiaTheme="minorEastAsia"/>
          <w:b/>
          <w:bCs/>
          <w:color w:val="auto"/>
          <w:highlight w:val="none"/>
        </w:rPr>
        <w:t>私募基金管理人应当按照本合同约定提供经托管人认可的相关估值材料供私募基金托管人对基金净值进行复核，自行或敦促第三方机构及时、准确、完整地向私募基金托管人提供相关估值材料：</w:t>
      </w:r>
    </w:p>
    <w:p w14:paraId="207010FD">
      <w:pPr>
        <w:adjustRightInd w:val="0"/>
        <w:snapToGrid w:val="0"/>
        <w:spacing w:before="93" w:beforeLines="30" w:after="93" w:afterLines="30" w:line="360" w:lineRule="auto"/>
        <w:ind w:firstLine="420" w:firstLineChars="200"/>
        <w:rPr>
          <w:rStyle w:val="11"/>
          <w:rFonts w:asciiTheme="minorEastAsia" w:hAnsiTheme="minorEastAsia" w:eastAsiaTheme="minorEastAsia"/>
          <w:color w:val="auto"/>
          <w:highlight w:val="none"/>
        </w:rPr>
      </w:pPr>
      <w:r>
        <w:rPr>
          <w:rStyle w:val="11"/>
          <w:rFonts w:hint="eastAsia" w:asciiTheme="minorEastAsia" w:hAnsiTheme="minorEastAsia" w:eastAsiaTheme="minorEastAsia"/>
          <w:color w:val="auto"/>
          <w:highlight w:val="none"/>
        </w:rPr>
        <w:t>（</w:t>
      </w:r>
      <w:r>
        <w:rPr>
          <w:rStyle w:val="11"/>
          <w:rFonts w:asciiTheme="minorEastAsia" w:hAnsiTheme="minorEastAsia" w:eastAsiaTheme="minorEastAsia"/>
          <w:color w:val="auto"/>
          <w:highlight w:val="none"/>
        </w:rPr>
        <w:t>1</w:t>
      </w:r>
      <w:r>
        <w:rPr>
          <w:rStyle w:val="11"/>
          <w:rFonts w:hint="eastAsia" w:asciiTheme="minorEastAsia" w:hAnsiTheme="minorEastAsia" w:eastAsiaTheme="minorEastAsia"/>
          <w:color w:val="auto"/>
          <w:highlight w:val="none"/>
        </w:rPr>
        <w:t>）本基金投资于公募基金、资产管理产品或私募基金管理人发行的私募基金的，私募基金管理人应于标的产品合同等相关协议约定的确权时效内或本基金开放日前提供完整、准确及有效的估值材料（包括但不限于前述投资标的管理人、服务机构或托管人提供的最新份额净值）作为私募基金托管人确认该笔投资权益的依据。</w:t>
      </w:r>
    </w:p>
    <w:p w14:paraId="04C396C4">
      <w:pPr>
        <w:adjustRightInd w:val="0"/>
        <w:snapToGrid w:val="0"/>
        <w:spacing w:before="93" w:beforeLines="30" w:after="93" w:afterLines="30" w:line="360" w:lineRule="auto"/>
        <w:ind w:firstLine="420" w:firstLineChars="200"/>
        <w:rPr>
          <w:rStyle w:val="11"/>
          <w:rFonts w:asciiTheme="minorEastAsia" w:hAnsiTheme="minorEastAsia" w:eastAsiaTheme="minorEastAsia"/>
          <w:color w:val="auto"/>
          <w:highlight w:val="none"/>
        </w:rPr>
      </w:pPr>
      <w:r>
        <w:rPr>
          <w:rStyle w:val="11"/>
          <w:rFonts w:hint="eastAsia" w:asciiTheme="minorEastAsia" w:hAnsiTheme="minorEastAsia" w:eastAsiaTheme="minorEastAsia"/>
          <w:color w:val="auto"/>
          <w:highlight w:val="none"/>
        </w:rPr>
        <w:t>（</w:t>
      </w:r>
      <w:r>
        <w:rPr>
          <w:rStyle w:val="11"/>
          <w:rFonts w:asciiTheme="minorEastAsia" w:hAnsiTheme="minorEastAsia" w:eastAsiaTheme="minorEastAsia"/>
          <w:color w:val="auto"/>
          <w:highlight w:val="none"/>
        </w:rPr>
        <w:t>2</w:t>
      </w:r>
      <w:r>
        <w:rPr>
          <w:rStyle w:val="11"/>
          <w:rFonts w:hint="eastAsia" w:asciiTheme="minorEastAsia" w:hAnsiTheme="minorEastAsia" w:eastAsiaTheme="minorEastAsia"/>
          <w:color w:val="auto"/>
          <w:highlight w:val="none"/>
        </w:rPr>
        <w:t>）私募基金管理人应敦促投资标的的管理人、管理人委托的服务机构或其他相关方及时、准确、完整地向私募基金托管人提供场外投资标的的份额数量、净值、申赎情况、分红情况以及其他权益变动等估值信息。</w:t>
      </w:r>
    </w:p>
    <w:p w14:paraId="4F65C9A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Style w:val="11"/>
          <w:rFonts w:hint="eastAsia" w:asciiTheme="minorEastAsia" w:hAnsiTheme="minorEastAsia" w:eastAsiaTheme="minorEastAsia"/>
          <w:color w:val="auto"/>
          <w:highlight w:val="none"/>
        </w:rPr>
        <w:t>（3）</w:t>
      </w:r>
      <w:r>
        <w:rPr>
          <w:rFonts w:hint="eastAsia" w:asciiTheme="minorEastAsia" w:hAnsiTheme="minorEastAsia" w:eastAsiaTheme="minorEastAsia"/>
          <w:color w:val="auto"/>
          <w:szCs w:val="21"/>
          <w:highlight w:val="none"/>
        </w:rPr>
        <w:t>本基金持有场外衍生品（包括但不限于场外收益互换、</w:t>
      </w:r>
      <w:bookmarkStart w:id="56" w:name="_Hlk34849530"/>
      <w:r>
        <w:rPr>
          <w:rFonts w:hint="eastAsia" w:asciiTheme="minorEastAsia" w:hAnsiTheme="minorEastAsia" w:eastAsiaTheme="minorEastAsia"/>
          <w:color w:val="auto"/>
          <w:szCs w:val="21"/>
          <w:highlight w:val="none"/>
        </w:rPr>
        <w:t>场外期权、非本金保障型收益凭证</w:t>
      </w:r>
      <w:bookmarkEnd w:id="56"/>
      <w:r>
        <w:rPr>
          <w:rFonts w:hint="eastAsia" w:asciiTheme="minorEastAsia" w:hAnsiTheme="minorEastAsia" w:eastAsiaTheme="minorEastAsia"/>
          <w:color w:val="auto"/>
          <w:szCs w:val="21"/>
          <w:highlight w:val="none"/>
        </w:rPr>
        <w:t>、信用衍生品等）合约的，为确保申购、赎回开放日净值复核工作的准确性，以保护全体投资者的利益。</w:t>
      </w:r>
      <w:bookmarkStart w:id="57" w:name="_Hlk34851257"/>
      <w:r>
        <w:rPr>
          <w:rFonts w:hint="eastAsia" w:asciiTheme="minorEastAsia" w:hAnsiTheme="minorEastAsia" w:eastAsiaTheme="minorEastAsia"/>
          <w:color w:val="auto"/>
          <w:szCs w:val="21"/>
          <w:highlight w:val="none"/>
        </w:rPr>
        <w:t>私募基金管理人应敦促交易对手方至少按周向私募基金托管人提供该等衍生品的当期合约价值报告。</w:t>
      </w:r>
    </w:p>
    <w:p w14:paraId="1526F87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如遇基金开放日（包括临时开放日（如有））、分红权益登记日，私募基金管理人应敦促交易对手方直接向私募基金托管人发送当期合约价值报告</w:t>
      </w:r>
      <w:bookmarkEnd w:id="57"/>
      <w:r>
        <w:rPr>
          <w:rFonts w:hint="eastAsia" w:asciiTheme="minorEastAsia" w:hAnsiTheme="minorEastAsia" w:eastAsiaTheme="minorEastAsia"/>
          <w:color w:val="auto"/>
          <w:szCs w:val="21"/>
          <w:highlight w:val="none"/>
        </w:rPr>
        <w:t>。</w:t>
      </w:r>
    </w:p>
    <w:p w14:paraId="5AC578E7">
      <w:pPr>
        <w:numPr>
          <w:ilvl w:val="255"/>
          <w:numId w:val="0"/>
        </w:numPr>
        <w:adjustRightInd w:val="0"/>
        <w:snapToGrid w:val="0"/>
        <w:spacing w:before="93" w:beforeLines="30" w:after="93" w:afterLines="30" w:line="360" w:lineRule="auto"/>
        <w:ind w:firstLine="422" w:firstLineChars="200"/>
        <w:rPr>
          <w:rStyle w:val="11"/>
          <w:rFonts w:asciiTheme="minorEastAsia" w:hAnsiTheme="minorEastAsia" w:eastAsiaTheme="minorEastAsia"/>
          <w:b/>
          <w:color w:val="auto"/>
          <w:highlight w:val="none"/>
        </w:rPr>
      </w:pPr>
      <w:r>
        <w:rPr>
          <w:rStyle w:val="11"/>
          <w:rFonts w:hint="eastAsia" w:asciiTheme="minorEastAsia" w:hAnsiTheme="minorEastAsia" w:eastAsiaTheme="minorEastAsia"/>
          <w:b/>
          <w:color w:val="auto"/>
          <w:highlight w:val="none"/>
        </w:rPr>
        <w:t>如因私募基金管理人或第三方机构未及时按上述约定向私募基金托管人提供估值材料的，本私募基金开放日份额净值不得作为办理基金份额申购、赎回的依据。如私募基金管理人在前述情形下以开放日份额净值作为办理申购、赎回的依据而造成投资者损失的，由私募基金管理人承担相应责任。</w:t>
      </w:r>
    </w:p>
    <w:p w14:paraId="7E4AB72F">
      <w:pPr>
        <w:adjustRightInd w:val="0"/>
        <w:snapToGrid w:val="0"/>
        <w:spacing w:before="93" w:beforeLines="30" w:after="93" w:afterLines="30" w:line="360" w:lineRule="auto"/>
        <w:ind w:firstLine="422" w:firstLineChars="200"/>
        <w:rPr>
          <w:rStyle w:val="11"/>
          <w:rFonts w:asciiTheme="minorEastAsia" w:hAnsiTheme="minorEastAsia" w:eastAsiaTheme="minorEastAsia"/>
          <w:b/>
          <w:color w:val="auto"/>
          <w:highlight w:val="none"/>
        </w:rPr>
      </w:pPr>
      <w:r>
        <w:rPr>
          <w:rStyle w:val="11"/>
          <w:rFonts w:hint="eastAsia" w:asciiTheme="minorEastAsia" w:hAnsiTheme="minorEastAsia" w:eastAsiaTheme="minorEastAsia"/>
          <w:b/>
          <w:color w:val="auto"/>
          <w:highlight w:val="none"/>
        </w:rPr>
        <w:t>如因私募基金托管人未及时获得完整、准确及有效的并经托管人认可的估值材料或估值材料记载的信息发生变更致使本基金净值发生波动或无法反映真实资产状况造成投资者损失的，私募基金托管人不承担任何责任。</w:t>
      </w:r>
    </w:p>
    <w:bookmarkEnd w:id="55"/>
    <w:p w14:paraId="383CB926">
      <w:pPr>
        <w:adjustRightInd w:val="0"/>
        <w:snapToGrid w:val="0"/>
        <w:spacing w:before="93" w:beforeLines="30" w:after="93" w:afterLines="30" w:line="360" w:lineRule="auto"/>
        <w:ind w:firstLine="422" w:firstLineChars="200"/>
        <w:rPr>
          <w:rStyle w:val="11"/>
          <w:rFonts w:asciiTheme="minorEastAsia" w:hAnsiTheme="minorEastAsia" w:eastAsiaTheme="minorEastAsia"/>
          <w:b/>
          <w:color w:val="auto"/>
          <w:highlight w:val="none"/>
        </w:rPr>
      </w:pPr>
      <w:r>
        <w:rPr>
          <w:rStyle w:val="11"/>
          <w:rFonts w:hint="eastAsia" w:asciiTheme="minorEastAsia" w:hAnsiTheme="minorEastAsia" w:eastAsiaTheme="minorEastAsia"/>
          <w:b/>
          <w:color w:val="auto"/>
          <w:highlight w:val="none"/>
        </w:rPr>
        <w:t>经私募基金托管人事先同意，私募基金管理人可以根据实际情况对上述估值材料交互要求进行新增、删减、调整、变更。</w:t>
      </w:r>
    </w:p>
    <w:p w14:paraId="43D790D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7</w:t>
      </w:r>
      <w:r>
        <w:rPr>
          <w:rFonts w:hint="eastAsia" w:asciiTheme="minorEastAsia" w:hAnsiTheme="minorEastAsia" w:eastAsiaTheme="minorEastAsia"/>
          <w:color w:val="auto"/>
          <w:szCs w:val="21"/>
          <w:highlight w:val="none"/>
        </w:rPr>
        <w:t>、估值对象</w:t>
      </w:r>
    </w:p>
    <w:p w14:paraId="2FA2575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基金拥有的所有资产及负债。</w:t>
      </w:r>
    </w:p>
    <w:p w14:paraId="070B2E5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8</w:t>
      </w:r>
      <w:r>
        <w:rPr>
          <w:rFonts w:hint="eastAsia" w:asciiTheme="minorEastAsia" w:hAnsiTheme="minorEastAsia" w:eastAsiaTheme="minorEastAsia"/>
          <w:color w:val="auto"/>
          <w:szCs w:val="21"/>
          <w:highlight w:val="none"/>
        </w:rPr>
        <w:t>、估值方法</w:t>
      </w:r>
    </w:p>
    <w:p w14:paraId="298D2AD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本基金按以下方式进行估值：</w:t>
      </w:r>
    </w:p>
    <w:p w14:paraId="66827B1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（1）证券交易所上市的有价证券的估值</w:t>
      </w:r>
    </w:p>
    <w:p w14:paraId="70E3EA14">
      <w:pPr>
        <w:autoSpaceDE w:val="0"/>
        <w:autoSpaceDN w:val="0"/>
        <w:adjustRightInd w:val="0"/>
        <w:snapToGrid w:val="0"/>
        <w:spacing w:before="93" w:beforeLines="30" w:after="93" w:afterLines="30" w:line="360" w:lineRule="auto"/>
        <w:ind w:firstLine="420" w:firstLineChars="200"/>
        <w:rPr>
          <w:rFonts w:cs="宋体" w:asciiTheme="minorEastAsia" w:hAnsiTheme="minorEastAsia" w:eastAsiaTheme="minorEastAsia"/>
          <w:color w:val="auto"/>
          <w:kern w:val="0"/>
          <w:szCs w:val="21"/>
          <w:highlight w:val="none"/>
        </w:rPr>
      </w:pPr>
      <w:r>
        <w:rPr>
          <w:rFonts w:asciiTheme="minorEastAsia" w:hAnsiTheme="minorEastAsia" w:eastAsiaTheme="minorEastAsia"/>
          <w:color w:val="auto"/>
          <w:szCs w:val="21"/>
          <w:highlight w:val="none"/>
        </w:rPr>
        <w:t>A</w:t>
      </w:r>
      <w:r>
        <w:rPr>
          <w:rFonts w:hint="eastAsia" w:asciiTheme="minorEastAsia" w:hAnsiTheme="minorEastAsia" w:eastAsiaTheme="minorEastAsia"/>
          <w:color w:val="auto"/>
          <w:szCs w:val="21"/>
          <w:highlight w:val="none"/>
        </w:rPr>
        <w:t>、</w:t>
      </w:r>
      <w:r>
        <w:rPr>
          <w:rFonts w:hint="eastAsia" w:cs="宋体" w:asciiTheme="minorEastAsia" w:hAnsiTheme="minorEastAsia" w:eastAsiaTheme="minorEastAsia"/>
          <w:color w:val="auto"/>
          <w:kern w:val="0"/>
          <w:szCs w:val="21"/>
          <w:highlight w:val="none"/>
        </w:rPr>
        <w:t>证券</w:t>
      </w:r>
      <w:r>
        <w:rPr>
          <w:rFonts w:hint="eastAsia" w:asciiTheme="minorEastAsia" w:hAnsiTheme="minorEastAsia" w:eastAsiaTheme="minorEastAsia"/>
          <w:color w:val="auto"/>
          <w:szCs w:val="21"/>
          <w:highlight w:val="none"/>
        </w:rPr>
        <w:t>交易所上市的有价证券（如股票、交易所上市交易的基金、供股权等），以其估值日在证券交易所挂牌的市价（收盘价）估值；估值日无交易的，以最近交易日的市价（收盘价）估值。</w:t>
      </w:r>
    </w:p>
    <w:p w14:paraId="7F2C77A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B</w:t>
      </w:r>
      <w:r>
        <w:rPr>
          <w:rFonts w:hint="eastAsia" w:asciiTheme="minorEastAsia" w:hAnsiTheme="minorEastAsia" w:eastAsiaTheme="minorEastAsia"/>
          <w:color w:val="auto"/>
          <w:szCs w:val="21"/>
          <w:highlight w:val="none"/>
        </w:rPr>
        <w:t>、</w:t>
      </w:r>
      <w:r>
        <w:rPr>
          <w:rFonts w:hint="eastAsia" w:cs="宋体" w:asciiTheme="minorEastAsia" w:hAnsiTheme="minorEastAsia" w:eastAsiaTheme="minorEastAsia"/>
          <w:color w:val="auto"/>
          <w:kern w:val="0"/>
          <w:szCs w:val="21"/>
          <w:highlight w:val="none"/>
        </w:rPr>
        <w:t>证券</w:t>
      </w:r>
      <w:r>
        <w:rPr>
          <w:rFonts w:hint="eastAsia" w:asciiTheme="minorEastAsia" w:hAnsiTheme="minorEastAsia" w:eastAsiaTheme="minorEastAsia"/>
          <w:color w:val="auto"/>
          <w:szCs w:val="21"/>
          <w:highlight w:val="none"/>
        </w:rPr>
        <w:t>交易所上市交易或挂牌转让的固定收益品种（包括但不限于债券、资产支持证券等投资品种，但可转换债券除外），选取第三方估值机构（中证指数有限公司）提供的相应品种当日的估值净价进行估值。如第三方估值机构（中证指数有限公司）不发布估值价的，按历史成本估值。</w:t>
      </w:r>
    </w:p>
    <w:p w14:paraId="7DAFFDC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C</w:t>
      </w:r>
      <w:r>
        <w:rPr>
          <w:rFonts w:hint="eastAsia" w:asciiTheme="minorEastAsia" w:hAnsiTheme="minorEastAsia" w:eastAsiaTheme="minorEastAsia"/>
          <w:color w:val="auto"/>
          <w:szCs w:val="21"/>
          <w:highlight w:val="none"/>
        </w:rPr>
        <w:t>、</w:t>
      </w:r>
      <w:r>
        <w:rPr>
          <w:rFonts w:hint="eastAsia" w:cs="宋体" w:asciiTheme="minorEastAsia" w:hAnsiTheme="minorEastAsia" w:eastAsiaTheme="minorEastAsia"/>
          <w:color w:val="auto"/>
          <w:kern w:val="0"/>
          <w:szCs w:val="21"/>
          <w:highlight w:val="none"/>
        </w:rPr>
        <w:t>对在证券交易所市场上市交易的可转换债券，选取每日收盘价作为估值全价，减去其中所含当日的债券应收利息得到的净价进行估值；</w:t>
      </w:r>
      <w:r>
        <w:rPr>
          <w:rFonts w:hint="eastAsia" w:asciiTheme="minorEastAsia" w:hAnsiTheme="minorEastAsia" w:eastAsiaTheme="minorEastAsia"/>
          <w:color w:val="auto"/>
          <w:szCs w:val="21"/>
          <w:highlight w:val="none"/>
        </w:rPr>
        <w:t>估值日没有交易的，以最近交易日债券收盘价作为全价，减去其中所含截止最近交易日的债券应收利息得到的净价进行估值。</w:t>
      </w:r>
    </w:p>
    <w:p w14:paraId="40C1C65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bookmarkStart w:id="58" w:name="_Hlk54364857"/>
      <w:r>
        <w:rPr>
          <w:rFonts w:hint="eastAsia" w:asciiTheme="minorEastAsia" w:hAnsiTheme="minorEastAsia" w:eastAsiaTheme="minorEastAsia"/>
          <w:color w:val="auto"/>
          <w:szCs w:val="21"/>
          <w:highlight w:val="none"/>
        </w:rPr>
        <w:t>D、本基金投资存托凭证的估值核算，依照境内上市交易的股票进行。</w:t>
      </w:r>
      <w:bookmarkEnd w:id="58"/>
    </w:p>
    <w:p w14:paraId="71552EC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（2）处于特定期间的有价证券应区分如下情况处理：</w:t>
      </w:r>
    </w:p>
    <w:p w14:paraId="5C3E949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A</w:t>
      </w:r>
      <w:r>
        <w:rPr>
          <w:rFonts w:hint="eastAsia" w:asciiTheme="minorEastAsia" w:hAnsiTheme="minorEastAsia" w:eastAsiaTheme="minorEastAsia"/>
          <w:color w:val="auto"/>
          <w:szCs w:val="21"/>
          <w:highlight w:val="none"/>
        </w:rPr>
        <w:t>、送股、转增股、配股和增发的新股（前述中有明确锁定期或在发行时明确限售期的股票除外），按估值日在证券交易所挂牌的同一股票的市价（收盘价）估值；该日无交易的，以最近一日的市价（收盘价）估值。</w:t>
      </w:r>
    </w:p>
    <w:p w14:paraId="3E4618B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B</w:t>
      </w:r>
      <w:r>
        <w:rPr>
          <w:rFonts w:hint="eastAsia" w:asciiTheme="minorEastAsia" w:hAnsiTheme="minorEastAsia" w:eastAsiaTheme="minorEastAsia"/>
          <w:color w:val="auto"/>
          <w:szCs w:val="21"/>
          <w:highlight w:val="none"/>
        </w:rPr>
        <w:t>、首次公开发行未上市的有价证券（如股票、交易所上市交易的基金、可转换债券等），按历史成本估值。</w:t>
      </w:r>
    </w:p>
    <w:p w14:paraId="022D0927">
      <w:pPr>
        <w:adjustRightInd w:val="0"/>
        <w:snapToGrid w:val="0"/>
        <w:spacing w:before="93" w:beforeLines="30" w:after="93" w:afterLines="30" w:line="360" w:lineRule="auto"/>
        <w:ind w:firstLine="420" w:firstLineChars="200"/>
        <w:rPr>
          <w:rFonts w:asciiTheme="minorEastAsia" w:hAnsiTheme="minorEastAsia" w:eastAsiaTheme="minorEastAsia"/>
          <w:color w:val="auto"/>
          <w:kern w:val="0"/>
          <w:szCs w:val="21"/>
          <w:highlight w:val="none"/>
        </w:rPr>
      </w:pPr>
      <w:r>
        <w:rPr>
          <w:rFonts w:asciiTheme="minorEastAsia" w:hAnsiTheme="minorEastAsia" w:eastAsiaTheme="minorEastAsia"/>
          <w:color w:val="auto"/>
          <w:szCs w:val="21"/>
          <w:highlight w:val="none"/>
        </w:rPr>
        <w:t>C、</w:t>
      </w:r>
      <w:r>
        <w:rPr>
          <w:rFonts w:hint="eastAsia" w:asciiTheme="minorEastAsia" w:hAnsiTheme="minorEastAsia" w:eastAsiaTheme="minorEastAsia"/>
          <w:color w:val="auto"/>
          <w:szCs w:val="21"/>
          <w:highlight w:val="none"/>
        </w:rPr>
        <w:t>首次公开发行未上市的固定收益品种（包括但不限于债券、资产支持证券等投资品种，但可转换债券除外），选取第三方估值机构提供的相应品种当日的估值净价进行估值。如第三方估值机构不发布估值价的，按历史成本估值。</w:t>
      </w:r>
    </w:p>
    <w:p w14:paraId="76D1730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D、</w:t>
      </w:r>
      <w:r>
        <w:rPr>
          <w:rFonts w:hint="eastAsia" w:asciiTheme="minorEastAsia" w:hAnsiTheme="minorEastAsia" w:eastAsiaTheme="minorEastAsia"/>
          <w:color w:val="auto"/>
          <w:szCs w:val="21"/>
          <w:highlight w:val="none"/>
        </w:rPr>
        <w:t>有明确锁定期或在发行时有明确限售期的股票（不包括全国中小企业股份转让系统的股票），包括但不限于非公开发行股票、首次公开发行股票时公司股东公开发售股份、首次公开发行网下配售有限售期的股票、大宗交易买入有限售期的股票，按监管机构或行业协会的有关规定确定公允价值。对于基金业协会规定的流通受限股票估值取值中的“流通受限股票的流动性折扣”，当估值日【第三方估值机构】未提供该流动性折扣时，则优先采用距估值日最近交易日【第三方估值机构】提供的流动性折扣进行估值处理。若【第三方估值机构】从未提供该流通受限股票的流动性折扣，则按估值日该流通受限股票在证券交易所上市交易的同一股票的市价（收盘价）估值；该日无交易的，以最近一日的市价（收盘价）估值。</w:t>
      </w:r>
    </w:p>
    <w:p w14:paraId="1E92FCD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私募基金管理人应当及时通知私募基金托管人上述股票的锁定/限售情况，如私募基金管理人未及时告知私募基金托管人锁定/限售情况的，则按照无流通受限股票的方法估值。由此造成的后果由私募基金管理人承担，私募基金托管人不承担任何责任。</w:t>
      </w:r>
    </w:p>
    <w:p w14:paraId="67854A6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特别地，流通受限股票估值取值中的“流通受限股票的流动性折扣”优先采用中央国债登记结算有限责任公司（简称“中债”）提供的数据。若管理人需调整为中证指数有限公司（简称“中证”）提供的数据，则应自行采购中证数据并提前2个工作日书面通知托管人。</w:t>
      </w:r>
    </w:p>
    <w:p w14:paraId="3F20237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对在全国银行间债券市场交易的固定收益品种（包括但不限于债券、资产支持证券、非公开定向债务融资工具、同业存单等投资品种），选取第三方估值机构（中央国债登记结算有限责任公司）提供的相应品种当日的估值净价进行估值。如第三方估值机构（中央国债登记结算有限责任公司）不发布估值价的，按历史成本估值。</w:t>
      </w:r>
    </w:p>
    <w:p w14:paraId="6AF5E94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（4）同一债券同时在两个或两个以上市场交易的，按债券所处的市场分别估值。</w:t>
      </w:r>
    </w:p>
    <w:p w14:paraId="2AE3F6A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特别地，上述选用第三方估值机构提供的估值价进行估值的固定收益品种，其中：证券交易所固定收益品种优先按照中证指数有限公司（简称“中证”）提供的估值净价估值，银行间固定收益品种优先按照中央国债登记结算有限责任公司（简称“中债”）提供的估值净价估值。若管理人需调整前述对应第三方机构的，则以书面形式通知托管人。</w:t>
      </w:r>
    </w:p>
    <w:p w14:paraId="38B0A21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bookmarkStart w:id="59" w:name="_Hlk52141338"/>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5</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回购等计息资产按照约定利率在持有期内逐日计提应收</w:t>
      </w:r>
      <w:r>
        <w:rPr>
          <w:rFonts w:hint="eastAsia" w:asciiTheme="minorEastAsia" w:hAnsiTheme="minorEastAsia" w:eastAsiaTheme="minorEastAsia"/>
          <w:color w:val="auto"/>
          <w:szCs w:val="21"/>
          <w:highlight w:val="none"/>
        </w:rPr>
        <w:t>/应付</w:t>
      </w:r>
      <w:r>
        <w:rPr>
          <w:rFonts w:asciiTheme="minorEastAsia" w:hAnsiTheme="minorEastAsia" w:eastAsiaTheme="minorEastAsia"/>
          <w:color w:val="auto"/>
          <w:szCs w:val="21"/>
          <w:highlight w:val="none"/>
        </w:rPr>
        <w:t>利息，在利息到账日以实收利息入账。</w:t>
      </w:r>
      <w:bookmarkEnd w:id="59"/>
    </w:p>
    <w:p w14:paraId="194A036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6</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银行存款每日计提应收利息，按本金加应收利息计入资产</w:t>
      </w:r>
      <w:r>
        <w:rPr>
          <w:rFonts w:hint="eastAsia" w:asciiTheme="minorEastAsia" w:hAnsiTheme="minorEastAsia" w:eastAsiaTheme="minorEastAsia"/>
          <w:color w:val="auto"/>
          <w:szCs w:val="21"/>
          <w:highlight w:val="none"/>
        </w:rPr>
        <w:t>；证券、期货资金账户内资金不计提利息，以实际结息数为准。</w:t>
      </w:r>
    </w:p>
    <w:p w14:paraId="01288A1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7</w:t>
      </w:r>
      <w:r>
        <w:rPr>
          <w:rFonts w:hint="eastAsia" w:asciiTheme="minorEastAsia" w:hAnsiTheme="minorEastAsia" w:eastAsiaTheme="minorEastAsia"/>
          <w:color w:val="auto"/>
          <w:szCs w:val="21"/>
          <w:highlight w:val="none"/>
        </w:rPr>
        <w:t>）基金持有的公募证券投资基金按以下方法估值：</w:t>
      </w:r>
    </w:p>
    <w:p w14:paraId="3DC7DBD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A</w:t>
      </w:r>
      <w:r>
        <w:rPr>
          <w:rFonts w:hint="eastAsia" w:asciiTheme="minorEastAsia" w:hAnsiTheme="minorEastAsia" w:eastAsiaTheme="minorEastAsia"/>
          <w:color w:val="auto"/>
          <w:szCs w:val="21"/>
          <w:highlight w:val="none"/>
        </w:rPr>
        <w:t>、未在</w:t>
      </w:r>
      <w:r>
        <w:rPr>
          <w:rFonts w:hint="eastAsia" w:cs="宋体" w:asciiTheme="minorEastAsia" w:hAnsiTheme="minorEastAsia" w:eastAsiaTheme="minorEastAsia"/>
          <w:color w:val="auto"/>
          <w:kern w:val="0"/>
          <w:szCs w:val="21"/>
          <w:highlight w:val="none"/>
        </w:rPr>
        <w:t>证券</w:t>
      </w:r>
      <w:r>
        <w:rPr>
          <w:rFonts w:hint="eastAsia" w:asciiTheme="minorEastAsia" w:hAnsiTheme="minorEastAsia" w:eastAsiaTheme="minorEastAsia"/>
          <w:color w:val="auto"/>
          <w:szCs w:val="21"/>
          <w:highlight w:val="none"/>
        </w:rPr>
        <w:t>交易所上市交易的基金，按估值日前一交易日的基金份额净值估值；估值日前一交易日基金份额净值无公布的，按此前最近交易日的基金份额净值估值。</w:t>
      </w:r>
    </w:p>
    <w:p w14:paraId="563E780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B</w:t>
      </w:r>
      <w:r>
        <w:rPr>
          <w:rFonts w:hint="eastAsia" w:asciiTheme="minorEastAsia" w:hAnsiTheme="minorEastAsia" w:eastAsiaTheme="minorEastAsia"/>
          <w:color w:val="auto"/>
          <w:szCs w:val="21"/>
          <w:highlight w:val="none"/>
        </w:rPr>
        <w:t>、货币市场基金以成本列示，按基金管理公司公布的前一交易日（含节假日）的每万份收益计提收益。</w:t>
      </w:r>
    </w:p>
    <w:p w14:paraId="78638BD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8</w:t>
      </w: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kern w:val="0"/>
          <w:szCs w:val="21"/>
          <w:highlight w:val="none"/>
        </w:rPr>
        <w:t>期货合约以估值日的结算价估值，若估值当日无结算价的，且最近交易日后未发生影响公允价值计量的重大变化的，采用最近交易日结算价估值。法律法规另有规定的，从其规定</w:t>
      </w:r>
      <w:r>
        <w:rPr>
          <w:rFonts w:hint="eastAsia" w:asciiTheme="minorEastAsia" w:hAnsiTheme="minorEastAsia" w:eastAsiaTheme="minorEastAsia"/>
          <w:color w:val="auto"/>
          <w:szCs w:val="21"/>
          <w:highlight w:val="none"/>
        </w:rPr>
        <w:t>。</w:t>
      </w:r>
    </w:p>
    <w:p w14:paraId="0CCCF9A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上海黄金交易所挂盘的贵金属现货实盘合约，以其估值日在上海黄金交易所挂盘的收盘价估值。若估值当日无收盘价的，且最近交易日后未发生影响公允价值计量的重大变化的，以最近交易日的收盘价估值。法律法规另有规定的，从其规定。</w:t>
      </w:r>
    </w:p>
    <w:p w14:paraId="0D1E392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上海黄金交易所挂盘的贵金属现货延期交收合约，以其估值日在上海黄金交易所挂盘的结算价估值。若估值当日无结算价的，且最近交易日后未发生影响公允价值计量的重大变化的，采用最近交易日结算价估值。法律法规另有规定的，从其规定。</w:t>
      </w:r>
    </w:p>
    <w:p w14:paraId="4E81394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9</w:t>
      </w:r>
      <w:r>
        <w:rPr>
          <w:rFonts w:hint="eastAsia" w:asciiTheme="minorEastAsia" w:hAnsiTheme="minorEastAsia" w:eastAsiaTheme="minorEastAsia"/>
          <w:color w:val="auto"/>
          <w:szCs w:val="21"/>
          <w:highlight w:val="none"/>
        </w:rPr>
        <w:t>）基金持有的场内期权，按估值日的结算价估值；估值日没有交易的，按最近交易日的结算价估值。</w:t>
      </w:r>
    </w:p>
    <w:p w14:paraId="61F4339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asciiTheme="minorEastAsia" w:hAnsiTheme="minorEastAsia" w:eastAsiaTheme="minorEastAsia"/>
          <w:color w:val="auto"/>
          <w:szCs w:val="21"/>
          <w:highlight w:val="none"/>
        </w:rPr>
        <w:t>0</w:t>
      </w:r>
      <w:r>
        <w:rPr>
          <w:rFonts w:hint="eastAsia" w:asciiTheme="minorEastAsia" w:hAnsiTheme="minorEastAsia" w:eastAsiaTheme="minorEastAsia"/>
          <w:color w:val="auto"/>
          <w:szCs w:val="21"/>
          <w:highlight w:val="none"/>
        </w:rPr>
        <w:t>）基金持有的场外期权、场外收益互换以及其他金融衍生工具，依据合约盈亏估值结果或估值报告确认合约损益，无法获得或未及时获得合约盈亏估值结果或估值报告的，按最近一次的合约盈亏估值结果或估值报告进行估值，如从未获得合约盈亏估值结果或估值报告的，按历史成本估值。</w:t>
      </w:r>
    </w:p>
    <w:p w14:paraId="014BDA4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基金持有的资产管理产品（证券公司及其子公司资产管理计划、保险公司及其子公司资产管理计划、期货公司及其子公司资产管理计划、基金公司及其子公司资产管理计划、私募基金等），按如下方式进行估值：</w:t>
      </w:r>
    </w:p>
    <w:p w14:paraId="1E4E778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A</w:t>
      </w:r>
      <w:r>
        <w:rPr>
          <w:rFonts w:hint="eastAsia" w:asciiTheme="minorEastAsia" w:hAnsiTheme="minorEastAsia" w:eastAsiaTheme="minorEastAsia"/>
          <w:color w:val="auto"/>
          <w:szCs w:val="21"/>
          <w:highlight w:val="none"/>
        </w:rPr>
        <w:t>、场外投资标的合同或场外投资标的管理人出具的相关文件能够提供固定收益率的投资标的，按成本列示，并每日加计应收利息（或应计收益）进行估值</w:t>
      </w:r>
      <w:r>
        <w:rPr>
          <w:rFonts w:asciiTheme="minorEastAsia" w:hAnsiTheme="minorEastAsia" w:eastAsiaTheme="minorEastAsia"/>
          <w:color w:val="auto"/>
          <w:szCs w:val="21"/>
          <w:highlight w:val="none"/>
        </w:rPr>
        <w:t>；</w:t>
      </w:r>
    </w:p>
    <w:p w14:paraId="5A6E97C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B、按面值及每万份收益计价的</w:t>
      </w:r>
      <w:r>
        <w:rPr>
          <w:rFonts w:hint="eastAsia" w:asciiTheme="minorEastAsia" w:hAnsiTheme="minorEastAsia" w:eastAsiaTheme="minorEastAsia"/>
          <w:color w:val="auto"/>
          <w:szCs w:val="21"/>
          <w:highlight w:val="none"/>
        </w:rPr>
        <w:t>场外</w:t>
      </w:r>
      <w:r>
        <w:rPr>
          <w:rFonts w:asciiTheme="minorEastAsia" w:hAnsiTheme="minorEastAsia" w:eastAsiaTheme="minorEastAsia"/>
          <w:color w:val="auto"/>
          <w:szCs w:val="21"/>
          <w:highlight w:val="none"/>
        </w:rPr>
        <w:t>投资标的，以成本列示，</w:t>
      </w:r>
      <w:r>
        <w:rPr>
          <w:rFonts w:hint="eastAsia" w:asciiTheme="minorEastAsia" w:hAnsiTheme="minorEastAsia" w:eastAsiaTheme="minorEastAsia"/>
          <w:color w:val="auto"/>
          <w:szCs w:val="21"/>
          <w:highlight w:val="none"/>
        </w:rPr>
        <w:t>按场外投资标的管理人、场外投资标的服务机构或场外投资标的托管人提供的</w:t>
      </w:r>
      <w:r>
        <w:rPr>
          <w:rFonts w:asciiTheme="minorEastAsia" w:hAnsiTheme="minorEastAsia" w:eastAsiaTheme="minorEastAsia"/>
          <w:color w:val="auto"/>
          <w:szCs w:val="21"/>
          <w:highlight w:val="none"/>
        </w:rPr>
        <w:t>最新</w:t>
      </w:r>
      <w:r>
        <w:rPr>
          <w:rFonts w:hint="eastAsia" w:asciiTheme="minorEastAsia" w:hAnsiTheme="minorEastAsia" w:eastAsiaTheme="minorEastAsia"/>
          <w:color w:val="auto"/>
          <w:szCs w:val="21"/>
          <w:highlight w:val="none"/>
        </w:rPr>
        <w:t>（含节假日）</w:t>
      </w:r>
      <w:r>
        <w:rPr>
          <w:rFonts w:asciiTheme="minorEastAsia" w:hAnsiTheme="minorEastAsia" w:eastAsiaTheme="minorEastAsia"/>
          <w:color w:val="auto"/>
          <w:szCs w:val="21"/>
          <w:highlight w:val="none"/>
        </w:rPr>
        <w:t>每万份收益计提收益</w:t>
      </w:r>
      <w:r>
        <w:rPr>
          <w:rFonts w:hint="eastAsia" w:asciiTheme="minorEastAsia" w:hAnsiTheme="minorEastAsia" w:eastAsiaTheme="minorEastAsia"/>
          <w:color w:val="auto"/>
          <w:szCs w:val="21"/>
          <w:highlight w:val="none"/>
        </w:rPr>
        <w:t>；</w:t>
      </w:r>
    </w:p>
    <w:p w14:paraId="26C41650">
      <w:pPr>
        <w:adjustRightInd w:val="0"/>
        <w:spacing w:line="360" w:lineRule="auto"/>
        <w:ind w:firstLine="420" w:firstLineChars="200"/>
        <w:rPr>
          <w:rFonts w:ascii="宋体" w:hAnsi="宋体"/>
          <w:color w:val="auto"/>
          <w:szCs w:val="21"/>
          <w:highlight w:val="none"/>
        </w:rPr>
      </w:pPr>
      <w:r>
        <w:rPr>
          <w:rFonts w:hint="eastAsia" w:ascii="宋体" w:hAnsi="宋体"/>
          <w:color w:val="auto"/>
          <w:highlight w:val="none"/>
        </w:rPr>
        <w:t>【</w:t>
      </w:r>
      <w:r>
        <w:rPr>
          <w:rFonts w:ascii="宋体" w:hAnsi="宋体"/>
          <w:color w:val="auto"/>
          <w:highlight w:val="none"/>
        </w:rPr>
        <w:t>C、</w:t>
      </w:r>
      <w:r>
        <w:rPr>
          <w:rFonts w:ascii="宋体" w:hAnsi="宋体"/>
          <w:color w:val="auto"/>
          <w:szCs w:val="21"/>
          <w:highlight w:val="none"/>
        </w:rPr>
        <w:t>按份额净值计价的</w:t>
      </w:r>
      <w:r>
        <w:rPr>
          <w:rFonts w:hint="eastAsia" w:ascii="宋体" w:hAnsi="宋体"/>
          <w:color w:val="auto"/>
          <w:szCs w:val="21"/>
          <w:highlight w:val="none"/>
        </w:rPr>
        <w:t>场外</w:t>
      </w:r>
      <w:r>
        <w:rPr>
          <w:rFonts w:ascii="宋体" w:hAnsi="宋体"/>
          <w:color w:val="auto"/>
          <w:highlight w:val="none"/>
        </w:rPr>
        <w:t>资产管理产品</w:t>
      </w:r>
      <w:r>
        <w:rPr>
          <w:rFonts w:ascii="宋体" w:hAnsi="宋体"/>
          <w:color w:val="auto"/>
          <w:szCs w:val="21"/>
          <w:highlight w:val="none"/>
        </w:rPr>
        <w:t>，按照</w:t>
      </w:r>
      <w:r>
        <w:rPr>
          <w:rFonts w:hint="eastAsia" w:ascii="宋体" w:hAnsi="宋体"/>
          <w:color w:val="auto"/>
          <w:szCs w:val="21"/>
          <w:highlight w:val="none"/>
        </w:rPr>
        <w:t>场外</w:t>
      </w:r>
      <w:r>
        <w:rPr>
          <w:rFonts w:ascii="宋体" w:hAnsi="宋体"/>
          <w:color w:val="auto"/>
          <w:highlight w:val="none"/>
        </w:rPr>
        <w:t>资产管理产品</w:t>
      </w:r>
      <w:r>
        <w:rPr>
          <w:rFonts w:ascii="宋体" w:hAnsi="宋体"/>
          <w:color w:val="auto"/>
          <w:szCs w:val="21"/>
          <w:highlight w:val="none"/>
        </w:rPr>
        <w:t>管理人</w:t>
      </w:r>
      <w:r>
        <w:rPr>
          <w:rFonts w:hint="eastAsia" w:ascii="宋体" w:hAnsi="宋体"/>
          <w:color w:val="auto"/>
          <w:szCs w:val="21"/>
          <w:highlight w:val="none"/>
        </w:rPr>
        <w:t>、场外</w:t>
      </w:r>
      <w:r>
        <w:rPr>
          <w:rFonts w:ascii="宋体" w:hAnsi="宋体"/>
          <w:color w:val="auto"/>
          <w:highlight w:val="none"/>
        </w:rPr>
        <w:t>资产管理产品</w:t>
      </w:r>
      <w:r>
        <w:rPr>
          <w:rFonts w:hint="eastAsia" w:ascii="宋体" w:hAnsi="宋体"/>
          <w:color w:val="auto"/>
          <w:szCs w:val="21"/>
          <w:highlight w:val="none"/>
        </w:rPr>
        <w:t>服务机构</w:t>
      </w:r>
      <w:r>
        <w:rPr>
          <w:rFonts w:ascii="宋体" w:hAnsi="宋体"/>
          <w:color w:val="auto"/>
          <w:szCs w:val="21"/>
          <w:highlight w:val="none"/>
        </w:rPr>
        <w:t>或</w:t>
      </w:r>
      <w:r>
        <w:rPr>
          <w:rFonts w:hint="eastAsia" w:ascii="宋体" w:hAnsi="宋体"/>
          <w:color w:val="auto"/>
          <w:szCs w:val="21"/>
          <w:highlight w:val="none"/>
        </w:rPr>
        <w:t>场外</w:t>
      </w:r>
      <w:r>
        <w:rPr>
          <w:rFonts w:ascii="宋体" w:hAnsi="宋体"/>
          <w:color w:val="auto"/>
          <w:highlight w:val="none"/>
        </w:rPr>
        <w:t>资产管理产品</w:t>
      </w:r>
      <w:r>
        <w:rPr>
          <w:rFonts w:ascii="宋体" w:hAnsi="宋体"/>
          <w:color w:val="auto"/>
          <w:szCs w:val="21"/>
          <w:highlight w:val="none"/>
        </w:rPr>
        <w:t>托管人提供的最新份额净值估值，如</w:t>
      </w:r>
      <w:r>
        <w:rPr>
          <w:rFonts w:hint="eastAsia" w:ascii="宋体" w:hAnsi="宋体"/>
          <w:color w:val="auto"/>
          <w:szCs w:val="21"/>
          <w:highlight w:val="none"/>
        </w:rPr>
        <w:t>前述的场外</w:t>
      </w:r>
      <w:r>
        <w:rPr>
          <w:rFonts w:ascii="宋体" w:hAnsi="宋体"/>
          <w:color w:val="auto"/>
          <w:highlight w:val="none"/>
        </w:rPr>
        <w:t>资产管理产品</w:t>
      </w:r>
      <w:r>
        <w:rPr>
          <w:rFonts w:ascii="宋体" w:hAnsi="宋体"/>
          <w:color w:val="auto"/>
          <w:szCs w:val="21"/>
          <w:highlight w:val="none"/>
        </w:rPr>
        <w:t>管理人</w:t>
      </w:r>
      <w:r>
        <w:rPr>
          <w:rFonts w:hint="eastAsia" w:ascii="宋体" w:hAnsi="宋体"/>
          <w:color w:val="auto"/>
          <w:szCs w:val="21"/>
          <w:highlight w:val="none"/>
        </w:rPr>
        <w:t>、服务机构</w:t>
      </w:r>
      <w:r>
        <w:rPr>
          <w:rFonts w:ascii="宋体" w:hAnsi="宋体"/>
          <w:color w:val="auto"/>
          <w:szCs w:val="21"/>
          <w:highlight w:val="none"/>
        </w:rPr>
        <w:t>或托管人未提供份额净值依据，则按成本估值；</w:t>
      </w:r>
    </w:p>
    <w:p w14:paraId="0557D98C">
      <w:pPr>
        <w:adjustRightInd w:val="0"/>
        <w:spacing w:line="360" w:lineRule="auto"/>
        <w:ind w:firstLine="420" w:firstLineChars="200"/>
        <w:rPr>
          <w:rFonts w:ascii="宋体" w:hAnsi="宋体"/>
          <w:color w:val="auto"/>
          <w:highlight w:val="none"/>
        </w:rPr>
      </w:pPr>
      <w:r>
        <w:rPr>
          <w:rFonts w:ascii="宋体" w:hAnsi="宋体"/>
          <w:color w:val="auto"/>
          <w:highlight w:val="none"/>
        </w:rPr>
        <w:t>按份额净值计价的前述投资标的，</w:t>
      </w:r>
      <w:r>
        <w:rPr>
          <w:rFonts w:hint="eastAsia" w:ascii="宋体" w:hAnsi="宋体"/>
          <w:color w:val="auto"/>
          <w:highlight w:val="none"/>
        </w:rPr>
        <w:t>如需启</w:t>
      </w:r>
      <w:r>
        <w:rPr>
          <w:rFonts w:ascii="宋体" w:hAnsi="宋体"/>
          <w:color w:val="auto"/>
          <w:highlight w:val="none"/>
        </w:rPr>
        <w:t>用虚拟计提业绩报酬进行估值的，作为本基金的主会计方</w:t>
      </w:r>
      <w:r>
        <w:rPr>
          <w:rFonts w:hint="eastAsia" w:ascii="宋体" w:hAnsi="宋体"/>
          <w:color w:val="auto"/>
          <w:highlight w:val="none"/>
        </w:rPr>
        <w:t>，</w:t>
      </w:r>
      <w:r>
        <w:rPr>
          <w:rFonts w:ascii="宋体" w:hAnsi="宋体"/>
          <w:color w:val="auto"/>
          <w:highlight w:val="none"/>
        </w:rPr>
        <w:t>私募基金管理人应当对该等</w:t>
      </w:r>
      <w:r>
        <w:rPr>
          <w:rFonts w:hint="eastAsia" w:ascii="宋体" w:hAnsi="宋体"/>
          <w:color w:val="auto"/>
          <w:highlight w:val="none"/>
        </w:rPr>
        <w:t>场外</w:t>
      </w:r>
      <w:r>
        <w:rPr>
          <w:rFonts w:ascii="宋体" w:hAnsi="宋体"/>
          <w:color w:val="auto"/>
          <w:highlight w:val="none"/>
        </w:rPr>
        <w:t>资产管理产品采用虚拟净值估值的准确性</w:t>
      </w:r>
      <w:r>
        <w:rPr>
          <w:rFonts w:hint="eastAsia" w:ascii="宋体" w:hAnsi="宋体"/>
          <w:color w:val="auto"/>
          <w:highlight w:val="none"/>
        </w:rPr>
        <w:t>、</w:t>
      </w:r>
      <w:r>
        <w:rPr>
          <w:rFonts w:ascii="宋体" w:hAnsi="宋体"/>
          <w:color w:val="auto"/>
          <w:highlight w:val="none"/>
        </w:rPr>
        <w:t>公允性</w:t>
      </w:r>
      <w:r>
        <w:rPr>
          <w:rFonts w:hint="eastAsia" w:ascii="宋体" w:hAnsi="宋体"/>
          <w:color w:val="auto"/>
          <w:highlight w:val="none"/>
        </w:rPr>
        <w:t>以及可能发生的相关操作性风险、法律风险等风险进行审慎评估，因采用虚拟净值估值引起本基金份额净值的准确性、公允性存在问题并导致任何一方造成损失的，私募基金管理人应当独立承担赔偿责任。</w:t>
      </w:r>
      <w:r>
        <w:rPr>
          <w:rFonts w:ascii="宋体" w:hAnsi="宋体"/>
          <w:color w:val="auto"/>
          <w:highlight w:val="none"/>
        </w:rPr>
        <w:t>私募基金管理人经评估后拟采取虚拟净值作为估值依据的</w:t>
      </w:r>
      <w:r>
        <w:rPr>
          <w:rFonts w:hint="eastAsia" w:ascii="宋体" w:hAnsi="宋体"/>
          <w:color w:val="auto"/>
          <w:highlight w:val="none"/>
        </w:rPr>
        <w:t>，</w:t>
      </w:r>
      <w:r>
        <w:rPr>
          <w:rFonts w:ascii="宋体" w:hAnsi="宋体"/>
          <w:color w:val="auto"/>
          <w:highlight w:val="none"/>
        </w:rPr>
        <w:t>应与私募基金托管人进行协商并就操作标准</w:t>
      </w:r>
      <w:r>
        <w:rPr>
          <w:rFonts w:hint="eastAsia" w:ascii="宋体" w:hAnsi="宋体"/>
          <w:color w:val="auto"/>
          <w:highlight w:val="none"/>
        </w:rPr>
        <w:t>、</w:t>
      </w:r>
      <w:r>
        <w:rPr>
          <w:rFonts w:ascii="宋体" w:hAnsi="宋体"/>
          <w:color w:val="auto"/>
          <w:highlight w:val="none"/>
        </w:rPr>
        <w:t>材料交互要求等事宜出具书面函件</w:t>
      </w:r>
      <w:r>
        <w:rPr>
          <w:rFonts w:hint="eastAsia" w:ascii="宋体" w:hAnsi="宋体"/>
          <w:color w:val="auto"/>
          <w:highlight w:val="none"/>
        </w:rPr>
        <w:t>。经私募基金托管人同意，本基金可以就特定场外</w:t>
      </w:r>
      <w:r>
        <w:rPr>
          <w:rFonts w:ascii="宋体" w:hAnsi="宋体"/>
          <w:color w:val="auto"/>
          <w:highlight w:val="none"/>
        </w:rPr>
        <w:t>资产管理产品</w:t>
      </w:r>
      <w:r>
        <w:rPr>
          <w:rFonts w:hint="eastAsia" w:ascii="宋体" w:hAnsi="宋体"/>
          <w:color w:val="auto"/>
          <w:highlight w:val="none"/>
        </w:rPr>
        <w:t>采用其虚拟净值作为估值依据。</w:t>
      </w:r>
    </w:p>
    <w:p w14:paraId="6BA93BD4">
      <w:pPr>
        <w:adjustRightInd w:val="0"/>
        <w:spacing w:line="360" w:lineRule="auto"/>
        <w:ind w:firstLine="420" w:firstLineChars="200"/>
        <w:rPr>
          <w:rFonts w:ascii="宋体" w:hAnsi="宋体"/>
          <w:color w:val="auto"/>
          <w:highlight w:val="none"/>
        </w:rPr>
      </w:pPr>
      <w:r>
        <w:rPr>
          <w:rFonts w:hint="eastAsia" w:ascii="宋体" w:hAnsi="宋体"/>
          <w:color w:val="auto"/>
          <w:highlight w:val="none"/>
        </w:rPr>
        <w:t>私募基金管理人应督促场外</w:t>
      </w:r>
      <w:r>
        <w:rPr>
          <w:rFonts w:ascii="宋体" w:hAnsi="宋体"/>
          <w:color w:val="auto"/>
          <w:highlight w:val="none"/>
        </w:rPr>
        <w:t>资产管理产品</w:t>
      </w:r>
      <w:r>
        <w:rPr>
          <w:rFonts w:hint="eastAsia" w:ascii="宋体" w:hAnsi="宋体"/>
          <w:color w:val="auto"/>
          <w:highlight w:val="none"/>
        </w:rPr>
        <w:t>托管人、服务机构或管理人及时向私募基金托管人提供场外</w:t>
      </w:r>
      <w:r>
        <w:rPr>
          <w:rFonts w:ascii="宋体" w:hAnsi="宋体"/>
          <w:color w:val="auto"/>
          <w:highlight w:val="none"/>
        </w:rPr>
        <w:t>资产管理产品</w:t>
      </w:r>
      <w:r>
        <w:rPr>
          <w:rFonts w:hint="eastAsia" w:ascii="宋体" w:hAnsi="宋体"/>
          <w:color w:val="auto"/>
          <w:highlight w:val="none"/>
        </w:rPr>
        <w:t>的虚拟单位净值，如前述场外</w:t>
      </w:r>
      <w:r>
        <w:rPr>
          <w:rFonts w:ascii="宋体" w:hAnsi="宋体"/>
          <w:color w:val="auto"/>
          <w:highlight w:val="none"/>
        </w:rPr>
        <w:t>资产管理产品</w:t>
      </w:r>
      <w:r>
        <w:rPr>
          <w:rFonts w:hint="eastAsia" w:ascii="宋体" w:hAnsi="宋体"/>
          <w:color w:val="auto"/>
          <w:highlight w:val="none"/>
        </w:rPr>
        <w:t>托管人、服务机构、管理人未提供的，采用其最近一次提供的场外标的虚拟单位净值进行估值。如场外</w:t>
      </w:r>
      <w:r>
        <w:rPr>
          <w:rFonts w:ascii="宋体" w:hAnsi="宋体"/>
          <w:color w:val="auto"/>
          <w:highlight w:val="none"/>
        </w:rPr>
        <w:t>资产管理产品</w:t>
      </w:r>
      <w:r>
        <w:rPr>
          <w:rFonts w:hint="eastAsia" w:ascii="宋体" w:hAnsi="宋体"/>
          <w:color w:val="auto"/>
          <w:highlight w:val="none"/>
        </w:rPr>
        <w:t>托管人、服务机构、管理人从未提供过前述场外</w:t>
      </w:r>
      <w:r>
        <w:rPr>
          <w:rFonts w:ascii="宋体" w:hAnsi="宋体"/>
          <w:color w:val="auto"/>
          <w:highlight w:val="none"/>
        </w:rPr>
        <w:t>资产管理产品</w:t>
      </w:r>
      <w:r>
        <w:rPr>
          <w:rFonts w:hint="eastAsia" w:ascii="宋体" w:hAnsi="宋体"/>
          <w:color w:val="auto"/>
          <w:highlight w:val="none"/>
        </w:rPr>
        <w:t>虚拟单位净值的，私募基金管理人视具体实际情况，采用：（i）</w:t>
      </w:r>
      <w:r>
        <w:rPr>
          <w:rFonts w:ascii="宋体" w:hAnsi="宋体"/>
          <w:color w:val="auto"/>
          <w:highlight w:val="none"/>
        </w:rPr>
        <w:t>按</w:t>
      </w:r>
      <w:r>
        <w:rPr>
          <w:rFonts w:hint="eastAsia" w:ascii="宋体" w:hAnsi="宋体"/>
          <w:color w:val="auto"/>
          <w:highlight w:val="none"/>
        </w:rPr>
        <w:t>场外</w:t>
      </w:r>
      <w:r>
        <w:rPr>
          <w:rFonts w:ascii="宋体" w:hAnsi="宋体"/>
          <w:color w:val="auto"/>
          <w:highlight w:val="none"/>
        </w:rPr>
        <w:t>资产管理产品</w:t>
      </w:r>
      <w:r>
        <w:rPr>
          <w:rFonts w:hint="eastAsia" w:ascii="宋体" w:hAnsi="宋体"/>
          <w:color w:val="auto"/>
          <w:highlight w:val="none"/>
        </w:rPr>
        <w:t>最新的份额净值</w:t>
      </w:r>
      <w:r>
        <w:rPr>
          <w:rFonts w:ascii="宋体" w:hAnsi="宋体"/>
          <w:color w:val="auto"/>
          <w:highlight w:val="none"/>
        </w:rPr>
        <w:t>估值</w:t>
      </w:r>
      <w:r>
        <w:rPr>
          <w:rFonts w:hint="eastAsia" w:ascii="宋体" w:hAnsi="宋体"/>
          <w:color w:val="auto"/>
          <w:highlight w:val="none"/>
        </w:rPr>
        <w:t>；如从未提供过</w:t>
      </w:r>
      <w:r>
        <w:rPr>
          <w:rFonts w:ascii="宋体" w:hAnsi="宋体"/>
          <w:color w:val="auto"/>
          <w:highlight w:val="none"/>
        </w:rPr>
        <w:t>前述场外资产管理产品</w:t>
      </w:r>
      <w:r>
        <w:rPr>
          <w:rFonts w:hint="eastAsia" w:ascii="宋体" w:hAnsi="宋体"/>
          <w:color w:val="auto"/>
          <w:highlight w:val="none"/>
        </w:rPr>
        <w:t>的</w:t>
      </w:r>
      <w:r>
        <w:rPr>
          <w:rFonts w:ascii="宋体" w:hAnsi="宋体"/>
          <w:color w:val="auto"/>
          <w:szCs w:val="21"/>
          <w:highlight w:val="none"/>
        </w:rPr>
        <w:t>份额净值</w:t>
      </w:r>
      <w:r>
        <w:rPr>
          <w:rFonts w:hint="eastAsia" w:ascii="宋体" w:hAnsi="宋体"/>
          <w:color w:val="auto"/>
          <w:szCs w:val="21"/>
          <w:highlight w:val="none"/>
        </w:rPr>
        <w:t>的，按成本估值；</w:t>
      </w:r>
      <w:r>
        <w:rPr>
          <w:rFonts w:hint="eastAsia" w:ascii="宋体" w:hAnsi="宋体"/>
          <w:color w:val="auto"/>
          <w:highlight w:val="none"/>
        </w:rPr>
        <w:t>或者（ii）由本基金之私募基金管理人自行计算的场外标的虚拟单位净值作为本基金之估值依据。</w:t>
      </w:r>
    </w:p>
    <w:p w14:paraId="172DC3C2">
      <w:pPr>
        <w:adjustRightInd w:val="0"/>
        <w:snapToGrid w:val="0"/>
        <w:spacing w:before="93" w:beforeLines="30" w:after="93" w:afterLines="30" w:line="360" w:lineRule="auto"/>
        <w:ind w:firstLine="422" w:firstLineChars="200"/>
        <w:rPr>
          <w:rFonts w:asciiTheme="minorEastAsia" w:hAnsiTheme="minorEastAsia" w:eastAsiaTheme="minorEastAsia"/>
          <w:color w:val="auto"/>
          <w:szCs w:val="21"/>
          <w:highlight w:val="none"/>
        </w:rPr>
      </w:pPr>
      <w:r>
        <w:rPr>
          <w:rFonts w:hint="eastAsia" w:ascii="宋体" w:hAnsi="宋体"/>
          <w:b/>
          <w:color w:val="auto"/>
          <w:highlight w:val="none"/>
        </w:rPr>
        <w:t>由于场外资产管理产品虚拟净值的真实性、准确性、完整性取决于该等场外资产管理产品的相关基础数据的真实性、准确性、完整性、及时性等因素，受限于交互因素，私募基金托管人仅根据收到的虚拟净值对本基金进行估值，不就虚拟净值承担任何复核义务和责任。私募基金管理人应当对场外</w:t>
      </w:r>
      <w:r>
        <w:rPr>
          <w:rFonts w:ascii="宋体" w:hAnsi="宋体"/>
          <w:b/>
          <w:color w:val="auto"/>
          <w:highlight w:val="none"/>
        </w:rPr>
        <w:t>资产管理产品虚拟净值的真实性</w:t>
      </w:r>
      <w:r>
        <w:rPr>
          <w:rFonts w:hint="eastAsia" w:ascii="宋体" w:hAnsi="宋体"/>
          <w:b/>
          <w:color w:val="auto"/>
          <w:highlight w:val="none"/>
        </w:rPr>
        <w:t>、</w:t>
      </w:r>
      <w:r>
        <w:rPr>
          <w:rFonts w:ascii="宋体" w:hAnsi="宋体"/>
          <w:b/>
          <w:color w:val="auto"/>
          <w:highlight w:val="none"/>
        </w:rPr>
        <w:t>准确性</w:t>
      </w:r>
      <w:r>
        <w:rPr>
          <w:rFonts w:hint="eastAsia" w:ascii="宋体" w:hAnsi="宋体"/>
          <w:b/>
          <w:color w:val="auto"/>
          <w:highlight w:val="none"/>
        </w:rPr>
        <w:t>、</w:t>
      </w:r>
      <w:r>
        <w:rPr>
          <w:rFonts w:ascii="宋体" w:hAnsi="宋体"/>
          <w:b/>
          <w:color w:val="auto"/>
          <w:highlight w:val="none"/>
        </w:rPr>
        <w:t>完整性承担全部责任</w:t>
      </w:r>
      <w:r>
        <w:rPr>
          <w:rFonts w:hint="eastAsia" w:ascii="宋体" w:hAnsi="宋体"/>
          <w:b/>
          <w:color w:val="auto"/>
          <w:highlight w:val="none"/>
        </w:rPr>
        <w:t>。】</w:t>
      </w:r>
    </w:p>
    <w:p w14:paraId="12C2D77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基金持有的券商收益凭证，如收益凭证投资协议中有明确预期或固定收益率的，按成本列示并每日加计应收利息（或应计收益）进行估值；没有约定的，按照凭证发行方提供的定期价值报告估值，如无法提供的，由私募基金管理人与私募基金托管人根据本金与收益结算条款协商估值方法（其中包含按历史成本估值）。</w:t>
      </w:r>
    </w:p>
    <w:p w14:paraId="2BF7124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在全国中小企业股份转让系统挂牌交易的股票，以连续竞价方式或做市转让方式交易的股票，以其估值日挂牌的市价（收盘价）估值，估值日无交易的，以最近交易日的市价（收盘价）估值；以集合竞价方式交易的股票按成本估值。特别地，当股票挂牌交易方式由连续竞价方式或者做市转让方式变更为集合竞价方式时，自转让方式变更日起按该股票变更日前最新的挂牌市价（收盘价）进行估值；由集合竞价方式变更为连续竞价方式或者做市转让方式的股票则自转让方式变更日起按最新的挂牌市价（收盘价）估值，变更日无挂牌市价（收盘价）的，按变更日前该股票的最新估值价格进行估值。本基金通过大宗交易等协议转让方式受让股票的，根据该股票的挂牌交易方式所对应的估值方法进行估值。</w:t>
      </w:r>
    </w:p>
    <w:p w14:paraId="0D18395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asciiTheme="minorEastAsia" w:hAnsiTheme="minorEastAsia" w:eastAsiaTheme="minorEastAsia"/>
          <w:color w:val="auto"/>
          <w:szCs w:val="21"/>
          <w:highlight w:val="none"/>
        </w:rPr>
        <w:t>4</w:t>
      </w:r>
      <w:r>
        <w:rPr>
          <w:rFonts w:hint="eastAsia" w:asciiTheme="minorEastAsia" w:hAnsiTheme="minorEastAsia" w:eastAsiaTheme="minorEastAsia"/>
          <w:color w:val="auto"/>
          <w:szCs w:val="21"/>
          <w:highlight w:val="none"/>
        </w:rPr>
        <w:t>）证券交易所、新三板退市/摘牌的股份，以退市/摘牌前该股票的最新估值价格进行估值。</w:t>
      </w:r>
    </w:p>
    <w:p w14:paraId="4C90423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asciiTheme="minorEastAsia" w:hAnsiTheme="minorEastAsia" w:eastAsiaTheme="minorEastAsia"/>
          <w:color w:val="auto"/>
          <w:szCs w:val="21"/>
          <w:highlight w:val="none"/>
        </w:rPr>
        <w:t>5</w:t>
      </w:r>
      <w:r>
        <w:rPr>
          <w:rFonts w:hint="eastAsia" w:asciiTheme="minorEastAsia" w:hAnsiTheme="minorEastAsia" w:eastAsiaTheme="minorEastAsia"/>
          <w:color w:val="auto"/>
          <w:szCs w:val="21"/>
          <w:highlight w:val="none"/>
        </w:rPr>
        <w:t>）如存在上述估值约定未覆盖的投资品种，基金管理人可根据具体情况制定估值方法，并将估值方法提供给托管人进行估值。如管理人认为上述估值方法不合适，可就相关估值方法进行修改，并将修改后的方法提前通知托管人进行估值。</w:t>
      </w:r>
    </w:p>
    <w:p w14:paraId="50D0FA2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asciiTheme="minorEastAsia" w:hAnsiTheme="minorEastAsia" w:eastAsiaTheme="minorEastAsia"/>
          <w:color w:val="auto"/>
          <w:szCs w:val="21"/>
          <w:highlight w:val="none"/>
        </w:rPr>
        <w:t>6</w:t>
      </w:r>
      <w:r>
        <w:rPr>
          <w:rFonts w:hint="eastAsia" w:asciiTheme="minorEastAsia" w:hAnsiTheme="minorEastAsia" w:eastAsiaTheme="minorEastAsia"/>
          <w:color w:val="auto"/>
          <w:szCs w:val="21"/>
          <w:highlight w:val="none"/>
        </w:rPr>
        <w:t>）如基金管理人和基金托管人对基金份额净值的计算结果不能达成一致时，为避免不能按时公布的情形，以基金管理人计算或确认的结果对外公布，基金管理人应在单方面对外公告基金份额净值计算结果时注明未经基金托管人复核，而基金托管人有权将有关情况向中国证监会报告，由此给基金投资者和基金造成的损失，由基金管理人承担赔偿责任。</w:t>
      </w:r>
    </w:p>
    <w:p w14:paraId="0707547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asciiTheme="minorEastAsia" w:hAnsiTheme="minorEastAsia" w:eastAsiaTheme="minorEastAsia"/>
          <w:color w:val="auto"/>
          <w:szCs w:val="21"/>
          <w:highlight w:val="none"/>
        </w:rPr>
        <w:t>7</w:t>
      </w:r>
      <w:r>
        <w:rPr>
          <w:rFonts w:hint="eastAsia" w:asciiTheme="minorEastAsia" w:hAnsiTheme="minorEastAsia" w:eastAsiaTheme="minorEastAsia"/>
          <w:color w:val="auto"/>
          <w:szCs w:val="21"/>
          <w:highlight w:val="none"/>
        </w:rPr>
        <w:t>）相关法律法规以及监管部门有强制规定的，从其规定。如有新增事项，按国家最新规定估值。</w:t>
      </w:r>
    </w:p>
    <w:p w14:paraId="657C2B0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基金估值核算需要的相关信息，包括但不限于场外交易信息和场外行情信息，如果托管人无法获得相关估值数据，则</w:t>
      </w:r>
      <w:r>
        <w:rPr>
          <w:rFonts w:asciiTheme="minorEastAsia" w:hAnsiTheme="minorEastAsia" w:eastAsiaTheme="minorEastAsia"/>
          <w:color w:val="auto"/>
          <w:szCs w:val="21"/>
          <w:highlight w:val="none"/>
        </w:rPr>
        <w:t>由</w:t>
      </w:r>
      <w:r>
        <w:rPr>
          <w:rFonts w:hint="eastAsia" w:asciiTheme="minorEastAsia" w:hAnsiTheme="minorEastAsia" w:eastAsiaTheme="minorEastAsia"/>
          <w:color w:val="auto"/>
          <w:szCs w:val="21"/>
          <w:highlight w:val="none"/>
        </w:rPr>
        <w:t>管理人</w:t>
      </w:r>
      <w:r>
        <w:rPr>
          <w:rFonts w:asciiTheme="minorEastAsia" w:hAnsiTheme="minorEastAsia" w:eastAsiaTheme="minorEastAsia"/>
          <w:color w:val="auto"/>
          <w:szCs w:val="21"/>
          <w:highlight w:val="none"/>
        </w:rPr>
        <w:t>负责</w:t>
      </w:r>
      <w:r>
        <w:rPr>
          <w:rFonts w:hint="eastAsia" w:asciiTheme="minorEastAsia" w:hAnsiTheme="minorEastAsia" w:eastAsiaTheme="minorEastAsia"/>
          <w:color w:val="auto"/>
          <w:szCs w:val="21"/>
          <w:highlight w:val="none"/>
        </w:rPr>
        <w:t>提供，并且管理人需对数据准确性、完整性和及时性负责。否则，由于上述情况导致的估值不准确、不完整或不及时，托管人不承担责任。</w:t>
      </w:r>
    </w:p>
    <w:p w14:paraId="09EAE5E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9</w:t>
      </w:r>
      <w:r>
        <w:rPr>
          <w:rFonts w:hint="eastAsia" w:asciiTheme="minorEastAsia" w:hAnsiTheme="minorEastAsia" w:eastAsiaTheme="minorEastAsia"/>
          <w:color w:val="auto"/>
          <w:szCs w:val="21"/>
          <w:highlight w:val="none"/>
        </w:rPr>
        <w:t>、汇率</w:t>
      </w:r>
    </w:p>
    <w:p w14:paraId="756CE7F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若港股通估值计算中涉及港币的，将以中国证券登记结算有限责任公司或交易所提供的汇率进行估值。涉及其他货币的，如中国证券登记结算有限责任公司或交易所估值日提供了该币种兑人民币的汇率，则取该汇率，如未有提供，以双方协商一致的原则确定汇率。</w:t>
      </w:r>
    </w:p>
    <w:p w14:paraId="48C00F2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10</w:t>
      </w:r>
      <w:r>
        <w:rPr>
          <w:rFonts w:hint="eastAsia" w:asciiTheme="minorEastAsia" w:hAnsiTheme="minorEastAsia" w:eastAsiaTheme="minorEastAsia"/>
          <w:color w:val="auto"/>
          <w:szCs w:val="21"/>
          <w:highlight w:val="none"/>
        </w:rPr>
        <w:t>、税收</w:t>
      </w:r>
    </w:p>
    <w:p w14:paraId="4BB7E62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对于因税收规定调整或其他原因导致基金实际交纳税金与估算的应交税金有差异的，基金将在相关税金调整日或实际支付日进行相应的估值调整。</w:t>
      </w:r>
    </w:p>
    <w:p w14:paraId="6E6CDB0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、估值程序</w:t>
      </w:r>
    </w:p>
    <w:p w14:paraId="514D296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日常估值由基金管理人进行，根据相关法律法规，基金管理人可以委托服务机构办理基金的估值。基金管理人或其委托的服务机构完成估值后，将估值结果以书面形式、发送电子对账数据或者双方认可的其他形式送至基金托管人，基金托管人按法律法规、本合同规定的估值方法、时间、程序进行复核，复核无误后在基金管理人发送的书面估值结果上加盖业务章或者发送电子对账结果或者双方认可的其他形式返回给基金管理人或其委托的服务机构；月末、年中和年末估值复核与基金会计账目的核对同时进行。</w:t>
      </w:r>
    </w:p>
    <w:p w14:paraId="2B296ED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在法律法规和中国证监会允许的情况下，基金管理人与基金托管人可以各自委托服务机构进行基金资产估值，但不改变基金管理人与基金托管人对基金资产估值各自承担的责</w:t>
      </w:r>
      <w:r>
        <w:rPr>
          <w:rFonts w:hint="eastAsia" w:cs="宋体" w:asciiTheme="minorEastAsia" w:hAnsiTheme="minorEastAsia" w:eastAsiaTheme="minorEastAsia"/>
          <w:color w:val="auto"/>
          <w:kern w:val="0"/>
          <w:szCs w:val="21"/>
          <w:highlight w:val="none"/>
        </w:rPr>
        <w:t>任。</w:t>
      </w:r>
    </w:p>
    <w:p w14:paraId="706C255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、估值错误的处理</w:t>
      </w:r>
    </w:p>
    <w:p w14:paraId="7FB58FD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当基金净值发生计算错误超过基金净值0.25%时，视为估值错误。</w:t>
      </w:r>
    </w:p>
    <w:p w14:paraId="2C08914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本合同的当事人应按照以下约定处理：</w:t>
      </w:r>
    </w:p>
    <w:p w14:paraId="64A6C48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（1）估值错误类型</w:t>
      </w:r>
    </w:p>
    <w:p w14:paraId="0A69CE5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本基金运作过程中，如果由于基金管理人、基金托管人、证券交易所、基金服务机构、募集机构或基金投资者自身的过错造成估值错误，导致其他当事人遭受损失的，按如下估值错误处理原则和处理程序执行。</w:t>
      </w:r>
    </w:p>
    <w:p w14:paraId="69DEEEA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上述估值错误的主要类型包括但不限于：资料申报差错、数据传输差错、数据计算差错、系统故障差错、下达指令差错等。</w:t>
      </w:r>
    </w:p>
    <w:p w14:paraId="74B0430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自然灾害、突发事件、以及因技术原因引起的差错，若系同行业现有技术水平不能预见、不能避免、不能克服，则属不可抗力，由于不可抗力造成基金份额持有人的交易资料灭失或被错误处理或造成其他差错，因不可抗力原因出现差错的当事人不对其他当事人承担赔偿责任，但因该差错取得不当得利的当事人仍应负有返还不当得利的义务。</w:t>
      </w:r>
    </w:p>
    <w:p w14:paraId="28684A3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（2）估值错误处理原则</w:t>
      </w:r>
    </w:p>
    <w:p w14:paraId="3F0E16C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A、如基金管理人或基金托管人发现基金资产估值违反本合同订明的估值方法、程序的规定，导致基金净值发生计算错误超过基金净值0.25%时，应立即通知对方，共同查明原因，协商解决；</w:t>
      </w:r>
    </w:p>
    <w:p w14:paraId="0C0735C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B、估值错误的责任人应当对由于该估值错误遭受损失的直接当事人的直接损失承担赔偿责任；估值错误的责任人对有关当事人的直接损失负责，不对间接损失负责，并且仅对估值错误的有关直接当事人负责，不对第三方负责；</w:t>
      </w:r>
    </w:p>
    <w:p w14:paraId="38C768B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C、因估值错误而获得不当得利的当事人负有及时返还不当得利的义务；</w:t>
      </w:r>
    </w:p>
    <w:p w14:paraId="6CC537F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D、估值错误调整采用尽量恢复至假设未发生估值错误的正确情形的方式；</w:t>
      </w:r>
    </w:p>
    <w:p w14:paraId="34B6737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E、基金管理人和基金托管人由于各自技术系统设置而产生的净值计算尾差，以基金管理人计算结果为准；</w:t>
      </w:r>
    </w:p>
    <w:p w14:paraId="4AFBF4E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F、基金</w:t>
      </w:r>
      <w:r>
        <w:rPr>
          <w:rFonts w:asciiTheme="minorEastAsia" w:hAnsiTheme="minorEastAsia" w:eastAsiaTheme="minorEastAsia"/>
          <w:color w:val="auto"/>
          <w:szCs w:val="21"/>
          <w:highlight w:val="none"/>
        </w:rPr>
        <w:t>管理人按</w:t>
      </w:r>
      <w:r>
        <w:rPr>
          <w:rFonts w:hint="eastAsia" w:asciiTheme="minorEastAsia" w:hAnsiTheme="minorEastAsia" w:eastAsiaTheme="minorEastAsia"/>
          <w:color w:val="auto"/>
          <w:szCs w:val="21"/>
          <w:highlight w:val="none"/>
        </w:rPr>
        <w:t>本合同约定的估值方法进行估值时，</w:t>
      </w:r>
      <w:r>
        <w:rPr>
          <w:rFonts w:asciiTheme="minorEastAsia" w:hAnsiTheme="minorEastAsia" w:eastAsiaTheme="minorEastAsia"/>
          <w:color w:val="auto"/>
          <w:szCs w:val="21"/>
          <w:highlight w:val="none"/>
        </w:rPr>
        <w:t>所造成的误差不作为</w:t>
      </w:r>
      <w:r>
        <w:rPr>
          <w:rFonts w:hint="eastAsia" w:asciiTheme="minorEastAsia" w:hAnsiTheme="minorEastAsia" w:eastAsiaTheme="minorEastAsia"/>
          <w:color w:val="auto"/>
          <w:szCs w:val="21"/>
          <w:highlight w:val="none"/>
        </w:rPr>
        <w:t>基金资产估值</w:t>
      </w:r>
      <w:r>
        <w:rPr>
          <w:rFonts w:asciiTheme="minorEastAsia" w:hAnsiTheme="minorEastAsia" w:eastAsiaTheme="minorEastAsia"/>
          <w:color w:val="auto"/>
          <w:szCs w:val="21"/>
          <w:highlight w:val="none"/>
        </w:rPr>
        <w:t>错误处理</w:t>
      </w:r>
      <w:r>
        <w:rPr>
          <w:rFonts w:hint="eastAsia" w:asciiTheme="minorEastAsia" w:hAnsiTheme="minorEastAsia" w:eastAsiaTheme="minorEastAsia"/>
          <w:color w:val="auto"/>
          <w:szCs w:val="21"/>
          <w:highlight w:val="none"/>
        </w:rPr>
        <w:t>；</w:t>
      </w:r>
    </w:p>
    <w:p w14:paraId="384D313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G、按法律法规规定的其他原则处理估值错误。</w:t>
      </w:r>
    </w:p>
    <w:p w14:paraId="7CE42D9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（3）估值错误处理程序</w:t>
      </w:r>
    </w:p>
    <w:p w14:paraId="6D9C29C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估值错误被发现后，有关的当事人应当及时进行处理，处理的程序如下：</w:t>
      </w:r>
    </w:p>
    <w:p w14:paraId="1CF24565">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A、基金份额净值计算出现错误时，基金管理人应当立即予以纠正，通报基金托管人，并采取合理的措施防止损失进一步扩大；</w:t>
      </w:r>
    </w:p>
    <w:p w14:paraId="69AAFC80">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B、当基金净值发生计算错误超过基金净值0.25%时，查明估值错误发生的原因，根据当事人协商的方法对因估值错误造成的损失进行评估；</w:t>
      </w:r>
    </w:p>
    <w:p w14:paraId="00DB4D04">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C、根据估值错误处理原则或当事人协商的方法，对估值错误进行处理；</w:t>
      </w:r>
    </w:p>
    <w:p w14:paraId="570963C9">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D</w:t>
      </w:r>
      <w:r>
        <w:rPr>
          <w:rFonts w:hint="eastAsia" w:asciiTheme="minorEastAsia" w:hAnsiTheme="minorEastAsia" w:eastAsiaTheme="minorEastAsia"/>
          <w:color w:val="auto"/>
          <w:szCs w:val="21"/>
          <w:highlight w:val="none"/>
        </w:rPr>
        <w:t>、前述内容如法律法规或监管机关另有规定的，从其规定处理。</w:t>
      </w:r>
    </w:p>
    <w:p w14:paraId="31F99FE7">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、暂停估值的情形</w:t>
      </w:r>
    </w:p>
    <w:p w14:paraId="2C54C208">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（1）基金投资所涉及的证券交易场所遇法定节假日或因其他原因暂停营业时；</w:t>
      </w:r>
    </w:p>
    <w:p w14:paraId="6D1AB024">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（2）因不可抗力或其他情形致使基金管理人、基金托管人无法准确评估基金财产价值时；</w:t>
      </w:r>
    </w:p>
    <w:p w14:paraId="1F40AA44">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（3）占基金相当比例的投资品种的估值出现重大转变，而基金管理人为保障基金投资者的利益，决定延迟估值的情形；</w:t>
      </w:r>
    </w:p>
    <w:p w14:paraId="5380B35F">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（4）对于没有或未及时获取交易数据或行情数据、交易数据或行情数据不完整或有误时；</w:t>
      </w:r>
    </w:p>
    <w:p w14:paraId="2F279EB0">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（5）中国证监会认定的其他情形。</w:t>
      </w:r>
    </w:p>
    <w:p w14:paraId="07D09523">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14、基金份额净值的确认</w:t>
      </w:r>
    </w:p>
    <w:p w14:paraId="30CFCEAF">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用于基金信息披露的基金份额净值由基金管理人负责计算，基金托管人负责进行复核。基金管理人应于每个</w:t>
      </w:r>
      <w:r>
        <w:rPr>
          <w:rFonts w:hint="eastAsia" w:asciiTheme="minorEastAsia" w:hAnsiTheme="minorEastAsia" w:eastAsiaTheme="minorEastAsia"/>
          <w:color w:val="auto"/>
          <w:szCs w:val="21"/>
          <w:highlight w:val="none"/>
        </w:rPr>
        <w:t>估值核对</w:t>
      </w:r>
      <w:r>
        <w:rPr>
          <w:rFonts w:asciiTheme="minorEastAsia" w:hAnsiTheme="minorEastAsia" w:eastAsiaTheme="minorEastAsia"/>
          <w:color w:val="auto"/>
          <w:szCs w:val="21"/>
          <w:highlight w:val="none"/>
        </w:rPr>
        <w:t>日计算</w:t>
      </w:r>
      <w:r>
        <w:rPr>
          <w:rFonts w:hint="eastAsia" w:asciiTheme="minorEastAsia" w:hAnsiTheme="minorEastAsia" w:eastAsiaTheme="minorEastAsia"/>
          <w:color w:val="auto"/>
          <w:szCs w:val="21"/>
          <w:highlight w:val="none"/>
        </w:rPr>
        <w:t>估值</w:t>
      </w:r>
      <w:r>
        <w:rPr>
          <w:rFonts w:asciiTheme="minorEastAsia" w:hAnsiTheme="minorEastAsia" w:eastAsiaTheme="minorEastAsia"/>
          <w:color w:val="auto"/>
          <w:szCs w:val="21"/>
          <w:highlight w:val="none"/>
        </w:rPr>
        <w:t>日的基金</w:t>
      </w:r>
      <w:r>
        <w:rPr>
          <w:rFonts w:hint="eastAsia" w:asciiTheme="minorEastAsia" w:hAnsiTheme="minorEastAsia" w:eastAsiaTheme="minorEastAsia"/>
          <w:color w:val="auto"/>
          <w:szCs w:val="21"/>
          <w:highlight w:val="none"/>
        </w:rPr>
        <w:t>份额</w:t>
      </w:r>
      <w:r>
        <w:rPr>
          <w:rFonts w:asciiTheme="minorEastAsia" w:hAnsiTheme="minorEastAsia" w:eastAsiaTheme="minorEastAsia"/>
          <w:color w:val="auto"/>
          <w:szCs w:val="21"/>
          <w:highlight w:val="none"/>
        </w:rPr>
        <w:t>净值并发送给基金托管人。基金托管人对</w:t>
      </w:r>
      <w:r>
        <w:rPr>
          <w:rFonts w:hint="eastAsia" w:asciiTheme="minorEastAsia" w:hAnsiTheme="minorEastAsia" w:eastAsiaTheme="minorEastAsia"/>
          <w:color w:val="auto"/>
          <w:szCs w:val="21"/>
          <w:highlight w:val="none"/>
        </w:rPr>
        <w:t>份额</w:t>
      </w:r>
      <w:r>
        <w:rPr>
          <w:rFonts w:asciiTheme="minorEastAsia" w:hAnsiTheme="minorEastAsia" w:eastAsiaTheme="minorEastAsia"/>
          <w:color w:val="auto"/>
          <w:szCs w:val="21"/>
          <w:highlight w:val="none"/>
        </w:rPr>
        <w:t>净值计算结果复核确认后发送给基金管理人</w:t>
      </w:r>
      <w:r>
        <w:rPr>
          <w:rFonts w:hint="eastAsia" w:asciiTheme="minorEastAsia" w:hAnsiTheme="minorEastAsia" w:eastAsiaTheme="minorEastAsia"/>
          <w:color w:val="auto"/>
          <w:szCs w:val="21"/>
          <w:highlight w:val="none"/>
        </w:rPr>
        <w:t>。基金份额净值</w:t>
      </w:r>
      <w:r>
        <w:rPr>
          <w:rFonts w:asciiTheme="minorEastAsia" w:hAnsiTheme="minorEastAsia" w:eastAsiaTheme="minorEastAsia"/>
          <w:color w:val="auto"/>
          <w:szCs w:val="21"/>
          <w:highlight w:val="none"/>
        </w:rPr>
        <w:t>由基金管理人</w:t>
      </w:r>
      <w:r>
        <w:rPr>
          <w:rFonts w:hint="eastAsia" w:asciiTheme="minorEastAsia" w:hAnsiTheme="minorEastAsia" w:eastAsiaTheme="minorEastAsia"/>
          <w:color w:val="auto"/>
          <w:szCs w:val="21"/>
          <w:highlight w:val="none"/>
        </w:rPr>
        <w:t>负责对投资者</w:t>
      </w:r>
      <w:r>
        <w:rPr>
          <w:rFonts w:asciiTheme="minorEastAsia" w:hAnsiTheme="minorEastAsia" w:eastAsiaTheme="minorEastAsia"/>
          <w:color w:val="auto"/>
          <w:szCs w:val="21"/>
          <w:highlight w:val="none"/>
        </w:rPr>
        <w:t>公布。</w:t>
      </w:r>
    </w:p>
    <w:p w14:paraId="01415816">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根据相关法规，基金会计责任方由基金管理人担任。因此，就与本基金有关的会计问题，如经相关各方在平等基础上充分讨论后，仍无法达成一致的意见，基金管理人有权按照其对基金资产净值的计算结果对外予以公布，并承担由此而产生的责任。基金托管人有权将该等情况报相关监管机构备案。</w:t>
      </w:r>
    </w:p>
    <w:p w14:paraId="6484BB49">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15、特殊情况的处理</w:t>
      </w:r>
    </w:p>
    <w:p w14:paraId="77B33ADD">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由于不可抗力</w:t>
      </w:r>
      <w:r>
        <w:rPr>
          <w:rFonts w:hint="eastAsia" w:asciiTheme="minorEastAsia" w:hAnsiTheme="minorEastAsia" w:eastAsiaTheme="minorEastAsia"/>
          <w:color w:val="auto"/>
          <w:szCs w:val="21"/>
          <w:highlight w:val="none"/>
        </w:rPr>
        <w:t>、系统等</w:t>
      </w:r>
      <w:r>
        <w:rPr>
          <w:rFonts w:asciiTheme="minorEastAsia" w:hAnsiTheme="minorEastAsia" w:eastAsiaTheme="minorEastAsia"/>
          <w:color w:val="auto"/>
          <w:szCs w:val="21"/>
          <w:highlight w:val="none"/>
        </w:rPr>
        <w:t>原因，或由于证券交易所</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登记结算公司</w:t>
      </w:r>
      <w:r>
        <w:rPr>
          <w:rFonts w:hint="eastAsia" w:asciiTheme="minorEastAsia" w:hAnsiTheme="minorEastAsia" w:eastAsiaTheme="minorEastAsia"/>
          <w:color w:val="auto"/>
          <w:szCs w:val="21"/>
          <w:highlight w:val="none"/>
        </w:rPr>
        <w:t>或证券经纪商</w:t>
      </w:r>
      <w:r>
        <w:rPr>
          <w:rFonts w:asciiTheme="minorEastAsia" w:hAnsiTheme="minorEastAsia" w:eastAsiaTheme="minorEastAsia"/>
          <w:color w:val="auto"/>
          <w:szCs w:val="21"/>
          <w:highlight w:val="none"/>
        </w:rPr>
        <w:t>发送的数据错误，或国家会计政策变更、市场规则变更等，基金管理人和基金托管人虽然已经</w:t>
      </w:r>
      <w:r>
        <w:rPr>
          <w:rFonts w:hint="eastAsia" w:asciiTheme="minorEastAsia" w:hAnsiTheme="minorEastAsia" w:eastAsiaTheme="minorEastAsia"/>
          <w:color w:val="auto"/>
          <w:szCs w:val="21"/>
          <w:highlight w:val="none"/>
        </w:rPr>
        <w:t>按照本合同约定的估值方法、程序</w:t>
      </w:r>
      <w:r>
        <w:rPr>
          <w:rFonts w:asciiTheme="minorEastAsia" w:hAnsiTheme="minorEastAsia" w:eastAsiaTheme="minorEastAsia"/>
          <w:color w:val="auto"/>
          <w:szCs w:val="21"/>
          <w:highlight w:val="none"/>
        </w:rPr>
        <w:t>进行检查，但未能发现错误的，由此造成的基金资产估值错误，基金管理人和基金托管人免除赔偿责任。但基金管理人应当积极采取必要的措施消除由此造成的影响。</w:t>
      </w:r>
    </w:p>
    <w:p w14:paraId="2175D6A8">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（二）基金的会计政策</w:t>
      </w:r>
    </w:p>
    <w:p w14:paraId="209A19E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、基金管理人为本基金的基金会计责任方；</w:t>
      </w:r>
    </w:p>
    <w:p w14:paraId="29CF251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、基金的会计年度为公历年度的</w:t>
      </w: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月</w:t>
      </w: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日至</w:t>
      </w:r>
      <w:r>
        <w:rPr>
          <w:rFonts w:asciiTheme="minorEastAsia" w:hAnsiTheme="minorEastAsia" w:eastAsiaTheme="minorEastAsia"/>
          <w:color w:val="auto"/>
          <w:szCs w:val="21"/>
          <w:highlight w:val="none"/>
        </w:rPr>
        <w:t>12</w:t>
      </w:r>
      <w:r>
        <w:rPr>
          <w:rFonts w:hint="eastAsia" w:asciiTheme="minorEastAsia" w:hAnsiTheme="minorEastAsia" w:eastAsiaTheme="minorEastAsia"/>
          <w:color w:val="auto"/>
          <w:szCs w:val="21"/>
          <w:highlight w:val="none"/>
        </w:rPr>
        <w:t>月</w:t>
      </w:r>
      <w:r>
        <w:rPr>
          <w:rFonts w:asciiTheme="minorEastAsia" w:hAnsiTheme="minorEastAsia" w:eastAsiaTheme="minorEastAsia"/>
          <w:color w:val="auto"/>
          <w:szCs w:val="21"/>
          <w:highlight w:val="none"/>
        </w:rPr>
        <w:t>31</w:t>
      </w:r>
      <w:r>
        <w:rPr>
          <w:rFonts w:hint="eastAsia" w:asciiTheme="minorEastAsia" w:hAnsiTheme="minorEastAsia" w:eastAsiaTheme="minorEastAsia"/>
          <w:color w:val="auto"/>
          <w:szCs w:val="21"/>
          <w:highlight w:val="none"/>
        </w:rPr>
        <w:t>日；基金首次募集的会计年度按如下原则：如果《基金合同》生效少于</w:t>
      </w: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个月，可以并入下一个会计年度；</w:t>
      </w:r>
    </w:p>
    <w:p w14:paraId="4A38C3D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、基金核算以人民币为记账本位币，以人民币元为记账单位；</w:t>
      </w:r>
    </w:p>
    <w:p w14:paraId="1A4AB63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4</w:t>
      </w:r>
      <w:r>
        <w:rPr>
          <w:rFonts w:hint="eastAsia" w:asciiTheme="minorEastAsia" w:hAnsiTheme="minorEastAsia" w:eastAsiaTheme="minorEastAsia"/>
          <w:color w:val="auto"/>
          <w:szCs w:val="21"/>
          <w:highlight w:val="none"/>
        </w:rPr>
        <w:t>、会计核算制度执行国家有关会计制度；</w:t>
      </w:r>
    </w:p>
    <w:p w14:paraId="36E8F5E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5</w:t>
      </w:r>
      <w:r>
        <w:rPr>
          <w:rFonts w:hint="eastAsia" w:asciiTheme="minorEastAsia" w:hAnsiTheme="minorEastAsia" w:eastAsiaTheme="minorEastAsia"/>
          <w:color w:val="auto"/>
          <w:szCs w:val="21"/>
          <w:highlight w:val="none"/>
        </w:rPr>
        <w:t>、本基金独立建账、独立核算；</w:t>
      </w:r>
    </w:p>
    <w:p w14:paraId="7FE0F85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6</w:t>
      </w:r>
      <w:r>
        <w:rPr>
          <w:rFonts w:hint="eastAsia" w:asciiTheme="minorEastAsia" w:hAnsiTheme="minorEastAsia" w:eastAsiaTheme="minorEastAsia"/>
          <w:color w:val="auto"/>
          <w:szCs w:val="21"/>
          <w:highlight w:val="none"/>
        </w:rPr>
        <w:t>、基金管理人或其委托的服务机构保留完整的会计账目、凭证并进行日常的会计核算，编制会计报表；基金托管人定期与基金管理人就基金的会计核算、报表编制等进行核对。</w:t>
      </w:r>
    </w:p>
    <w:p w14:paraId="5CEF1FBE">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60" w:name="_Toc194741918"/>
      <w:bookmarkEnd w:id="60"/>
      <w:bookmarkStart w:id="61" w:name="_Toc459392419"/>
      <w:r>
        <w:rPr>
          <w:rFonts w:hint="eastAsia" w:asciiTheme="minorEastAsia" w:hAnsiTheme="minorEastAsia" w:eastAsiaTheme="minorEastAsia"/>
          <w:color w:val="auto"/>
          <w:sz w:val="28"/>
          <w:szCs w:val="28"/>
          <w:highlight w:val="none"/>
        </w:rPr>
        <w:t>十七、基金的费用与税收</w:t>
      </w:r>
      <w:bookmarkEnd w:id="61"/>
    </w:p>
    <w:p w14:paraId="135451A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（一）基金费用的种类</w:t>
      </w:r>
    </w:p>
    <w:p w14:paraId="735F590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1、管理费；</w:t>
      </w:r>
    </w:p>
    <w:p w14:paraId="72BF174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2、托管费；</w:t>
      </w:r>
    </w:p>
    <w:p w14:paraId="4AE8CA4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3、基金服务费；</w:t>
      </w:r>
    </w:p>
    <w:p w14:paraId="7B7CB7E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4、业绩报酬；</w:t>
      </w:r>
    </w:p>
    <w:p w14:paraId="7FCF18F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color w:val="auto"/>
          <w:szCs w:val="21"/>
          <w:highlight w:val="none"/>
        </w:rPr>
        <w:t>5、销售服务费；</w:t>
      </w:r>
    </w:p>
    <w:p w14:paraId="23DA980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6、基金的证券、期货交易费用及账户开户费用；</w:t>
      </w:r>
    </w:p>
    <w:p w14:paraId="34BBC24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7、基金备案后与之相关的会计师费和律师费；</w:t>
      </w:r>
    </w:p>
    <w:p w14:paraId="4BDDEC2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8、基金的银行汇划费用；</w:t>
      </w:r>
    </w:p>
    <w:p w14:paraId="5B8E887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9、合同文件制作、印刷费用；</w:t>
      </w:r>
    </w:p>
    <w:p w14:paraId="60B8900D">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10、电子签约服务费（如有）；</w:t>
      </w:r>
    </w:p>
    <w:p w14:paraId="6B82D92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1、按照国家有关规定和本合同约定，可以在基金资产中列支的其他费用。</w:t>
      </w:r>
    </w:p>
    <w:p w14:paraId="47A5A49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（二）费用计提方式、计提标准和支付方式</w:t>
      </w:r>
    </w:p>
    <w:p w14:paraId="77B186D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1、管理费</w:t>
      </w:r>
    </w:p>
    <w:p w14:paraId="5CC11DE6">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本基金对D类份额不收取管理费，仅对</w:t>
      </w:r>
      <w:r>
        <w:rPr>
          <w:rFonts w:asciiTheme="minorEastAsia" w:hAnsiTheme="minorEastAsia" w:eastAsiaTheme="minorEastAsia"/>
          <w:b/>
          <w:color w:val="auto"/>
          <w:szCs w:val="21"/>
          <w:highlight w:val="none"/>
        </w:rPr>
        <w:t>A</w:t>
      </w:r>
      <w:r>
        <w:rPr>
          <w:rFonts w:hint="eastAsia" w:asciiTheme="minorEastAsia" w:hAnsiTheme="minorEastAsia" w:eastAsiaTheme="minorEastAsia"/>
          <w:b/>
          <w:color w:val="auto"/>
          <w:szCs w:val="21"/>
          <w:highlight w:val="none"/>
        </w:rPr>
        <w:t>、B、C类份额收取管理费。</w:t>
      </w:r>
    </w:p>
    <w:p w14:paraId="6CDE936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本基金的年管理费率详见“基金的基本情况”章节之“基金的份额分类”。计算方法如下：</w:t>
      </w:r>
    </w:p>
    <w:p w14:paraId="01788399">
      <w:pPr>
        <w:adjustRightInd w:val="0"/>
        <w:snapToGrid w:val="0"/>
        <w:spacing w:before="93" w:beforeLines="30" w:after="93" w:afterLines="30" w:line="360" w:lineRule="auto"/>
        <w:ind w:firstLine="1050" w:firstLineChars="5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H＝E×各类份额年管理费率÷当年天数</w:t>
      </w:r>
    </w:p>
    <w:p w14:paraId="63406D14">
      <w:pPr>
        <w:adjustRightInd w:val="0"/>
        <w:snapToGrid w:val="0"/>
        <w:spacing w:before="93" w:beforeLines="30" w:after="93" w:afterLines="30" w:line="360" w:lineRule="auto"/>
        <w:ind w:firstLine="1050" w:firstLineChars="5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H为每日应计提的各类份额基金管理费</w:t>
      </w:r>
    </w:p>
    <w:p w14:paraId="5A9287B5">
      <w:pPr>
        <w:adjustRightInd w:val="0"/>
        <w:snapToGrid w:val="0"/>
        <w:spacing w:before="93" w:beforeLines="30" w:after="93" w:afterLines="30" w:line="360" w:lineRule="auto"/>
        <w:ind w:firstLine="1050" w:firstLineChars="5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E为前一自然日各类份额基金资产净值</w:t>
      </w:r>
    </w:p>
    <w:p w14:paraId="3B06C03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管理费自基金成立日起，每日计提，按季支付给基金管理人。由基金托管人根据与基金管理人核对一致的财务数据，自动在下个自然季度起按照指定的账户路径进行资金支付，直至支付完毕，基金管理人无需再出具资金划拨指令，但应对托管资金账户的现金头寸进行管理，并自行解决由于费用自动支付可能产生的其他头寸问题。费用自动扣划后，基金管理人应进行核对，如发现数据不符，及时联系基金托管人协商解决。</w:t>
      </w:r>
    </w:p>
    <w:p w14:paraId="218B497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管理费收款账户：</w:t>
      </w:r>
    </w:p>
    <w:p w14:paraId="2A8B8070">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rPr>
        <w:t>账户名称：</w:t>
      </w:r>
      <w:r>
        <w:rPr>
          <w:rFonts w:hint="eastAsia" w:asciiTheme="minorEastAsia" w:hAnsiTheme="minorEastAsia" w:eastAsiaTheme="minorEastAsia"/>
          <w:color w:val="auto"/>
          <w:szCs w:val="21"/>
          <w:highlight w:val="none"/>
          <w:lang w:eastAsia="zh-CN"/>
        </w:rPr>
        <w:t>北京石云科技有限公司</w:t>
      </w:r>
    </w:p>
    <w:p w14:paraId="640900F8">
      <w:pPr>
        <w:adjustRightInd w:val="0"/>
        <w:snapToGrid w:val="0"/>
        <w:spacing w:before="93" w:beforeLines="30" w:after="93" w:afterLines="30" w:line="360" w:lineRule="auto"/>
        <w:ind w:firstLine="420" w:firstLineChars="200"/>
        <w:rPr>
          <w:rFonts w:hint="default" w:asciiTheme="minorEastAsia" w:hAnsiTheme="minorEastAsia" w:eastAsiaTheme="minorEastAsia"/>
          <w:color w:val="auto"/>
          <w:szCs w:val="21"/>
          <w:highlight w:val="none"/>
          <w:lang w:val="en-US" w:eastAsia="zh-CN"/>
        </w:rPr>
      </w:pPr>
      <w:r>
        <w:rPr>
          <w:rFonts w:hint="eastAsia" w:asciiTheme="minorEastAsia" w:hAnsiTheme="minorEastAsia" w:eastAsiaTheme="minorEastAsia"/>
          <w:color w:val="auto"/>
          <w:szCs w:val="21"/>
          <w:highlight w:val="none"/>
        </w:rPr>
        <w:t>账号：</w:t>
      </w:r>
      <w:r>
        <w:rPr>
          <w:rFonts w:hint="eastAsia" w:asciiTheme="minorEastAsia" w:hAnsiTheme="minorEastAsia" w:eastAsiaTheme="minorEastAsia"/>
          <w:color w:val="auto"/>
          <w:szCs w:val="21"/>
          <w:highlight w:val="none"/>
          <w:lang w:val="en-US" w:eastAsia="zh-CN"/>
        </w:rPr>
        <w:t>52156211552200000</w:t>
      </w:r>
    </w:p>
    <w:p w14:paraId="7E05CC5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开户银行全称：浙江泰隆商业银行股份有限公司上海浦东支行</w:t>
      </w:r>
    </w:p>
    <w:p w14:paraId="4852080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2、托管费</w:t>
      </w:r>
    </w:p>
    <w:p w14:paraId="231C4E9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基金的年托管费率为0.03</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。计算方法如下：</w:t>
      </w:r>
    </w:p>
    <w:p w14:paraId="6E1410D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H＝E×0.03</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÷N</w:t>
      </w:r>
    </w:p>
    <w:p w14:paraId="1F5579B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H：每日应计提的托管费</w:t>
      </w:r>
    </w:p>
    <w:p w14:paraId="3AD3B95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E：前一自然日的基金资产净值</w:t>
      </w:r>
    </w:p>
    <w:p w14:paraId="7D39CBF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N：当年天数</w:t>
      </w:r>
    </w:p>
    <w:p w14:paraId="57E9470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托管费自基金成立日起，每日计提，按季支付给基金托管人。由基金托管人根据与基金管理人核对一致的财务数据，自动在下个自然季度起按照指定的账户路径进行资金支付，直至支付完毕，基金管理人无需再出具资金划拨指令，但应对托管资金账户的现金头寸进行管理，并自行解决由于费用自动支付可能产生的其他头寸问题。费用自动扣划后，基金管理人应进行核对，如发现数据不符，及时联系基金托管人协商解决。</w:t>
      </w:r>
    </w:p>
    <w:p w14:paraId="556EF00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托管费收款账户：</w:t>
      </w:r>
    </w:p>
    <w:p w14:paraId="2C5D2A3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账户名称：华福证券股份有限公司</w:t>
      </w:r>
    </w:p>
    <w:p w14:paraId="202FB60E">
      <w:pPr>
        <w:adjustRightInd w:val="0"/>
        <w:snapToGrid w:val="0"/>
        <w:spacing w:before="93" w:beforeLines="30" w:after="93" w:afterLines="30" w:line="360" w:lineRule="auto"/>
        <w:ind w:firstLine="420" w:firstLineChars="200"/>
        <w:rPr>
          <w:rFonts w:hint="default" w:asciiTheme="minorEastAsia" w:hAnsiTheme="minorEastAsia" w:eastAsiaTheme="minorEastAsia"/>
          <w:color w:val="auto"/>
          <w:szCs w:val="21"/>
          <w:highlight w:val="none"/>
          <w:lang w:val="en-US" w:eastAsia="zh-CN"/>
        </w:rPr>
      </w:pPr>
      <w:r>
        <w:rPr>
          <w:rFonts w:hint="eastAsia" w:asciiTheme="minorEastAsia" w:hAnsiTheme="minorEastAsia" w:eastAsiaTheme="minorEastAsia"/>
          <w:color w:val="auto"/>
          <w:szCs w:val="21"/>
          <w:highlight w:val="none"/>
        </w:rPr>
        <w:t>账号：</w:t>
      </w:r>
      <w:r>
        <w:rPr>
          <w:rFonts w:hint="eastAsia" w:asciiTheme="minorEastAsia" w:hAnsiTheme="minorEastAsia" w:eastAsiaTheme="minorEastAsia"/>
          <w:color w:val="auto"/>
          <w:szCs w:val="21"/>
          <w:highlight w:val="none"/>
          <w:lang w:val="en-US" w:eastAsia="zh-CN"/>
        </w:rPr>
        <w:t>5201520004152000</w:t>
      </w:r>
    </w:p>
    <w:p w14:paraId="5A7BADF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开户银行全称：兴业银行福州东街支行</w:t>
      </w:r>
    </w:p>
    <w:p w14:paraId="3C27A5CE">
      <w:pPr>
        <w:adjustRightInd w:val="0"/>
        <w:snapToGrid w:val="0"/>
        <w:spacing w:before="93" w:beforeLines="30" w:after="93" w:afterLines="30" w:line="360" w:lineRule="auto"/>
        <w:ind w:firstLine="420" w:firstLineChars="200"/>
        <w:rPr>
          <w:rFonts w:hint="default" w:asciiTheme="minorEastAsia" w:hAnsiTheme="minorEastAsia" w:eastAsiaTheme="minorEastAsia"/>
          <w:color w:val="auto"/>
          <w:szCs w:val="21"/>
          <w:highlight w:val="none"/>
          <w:lang w:val="en-US" w:eastAsia="zh-CN"/>
        </w:rPr>
      </w:pPr>
      <w:r>
        <w:rPr>
          <w:rFonts w:hint="eastAsia" w:asciiTheme="minorEastAsia" w:hAnsiTheme="minorEastAsia" w:eastAsiaTheme="minorEastAsia"/>
          <w:color w:val="auto"/>
          <w:szCs w:val="21"/>
          <w:highlight w:val="none"/>
        </w:rPr>
        <w:t>大额支付号：</w:t>
      </w:r>
      <w:r>
        <w:rPr>
          <w:rFonts w:hint="eastAsia" w:asciiTheme="minorEastAsia" w:hAnsiTheme="minorEastAsia" w:eastAsiaTheme="minorEastAsia"/>
          <w:color w:val="auto"/>
          <w:szCs w:val="21"/>
          <w:highlight w:val="none"/>
          <w:lang w:val="en-US" w:eastAsia="zh-CN"/>
        </w:rPr>
        <w:t>2000124510001445</w:t>
      </w:r>
    </w:p>
    <w:p w14:paraId="138CDB3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3、基金服务费</w:t>
      </w:r>
    </w:p>
    <w:p w14:paraId="4A70319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本基金份额登记、基金估值核算等服务费用，年费率为0.01</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。计算方法如下：</w:t>
      </w:r>
    </w:p>
    <w:p w14:paraId="74826C0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H=E×</w:t>
      </w:r>
      <w:r>
        <w:rPr>
          <w:rFonts w:hint="eastAsia" w:asciiTheme="minorEastAsia" w:hAnsiTheme="minorEastAsia" w:eastAsiaTheme="minorEastAsia"/>
          <w:color w:val="auto"/>
          <w:szCs w:val="21"/>
          <w:highlight w:val="none"/>
        </w:rPr>
        <w:t>0.01</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N</w:t>
      </w:r>
    </w:p>
    <w:p w14:paraId="0031C9E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H</w:t>
      </w:r>
      <w:r>
        <w:rPr>
          <w:rFonts w:hint="eastAsia" w:asciiTheme="minorEastAsia" w:hAnsiTheme="minorEastAsia" w:eastAsiaTheme="minorEastAsia"/>
          <w:color w:val="auto"/>
          <w:szCs w:val="21"/>
          <w:highlight w:val="none"/>
        </w:rPr>
        <w:t>：每日应计提的基金服务费</w:t>
      </w:r>
    </w:p>
    <w:p w14:paraId="40082E7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E</w:t>
      </w:r>
      <w:r>
        <w:rPr>
          <w:rFonts w:hint="eastAsia" w:asciiTheme="minorEastAsia" w:hAnsiTheme="minorEastAsia" w:eastAsiaTheme="minorEastAsia"/>
          <w:color w:val="auto"/>
          <w:szCs w:val="21"/>
          <w:highlight w:val="none"/>
        </w:rPr>
        <w:t>：前一自然日基金资产净值</w:t>
      </w:r>
    </w:p>
    <w:p w14:paraId="4A2A4C0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N：当年天数</w:t>
      </w:r>
    </w:p>
    <w:p w14:paraId="5F87CD9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基金服务费自基金成立日起，每日计提，按季支付给服务机构。由基金托管人根据与基金管理人核对一致的财务数据，自动在下个自然季度起按照指定的账户路径进行资金支付，直至支付完毕，基金管理人无需再出具资金划拨指令，但应对托管资金账户的现金头寸进行管理，并自行解决由于费用自动支付可能产生的其他头寸问题。费用自动扣划后，基金管理人应进行核对，如发现数据不符，及时联系基金托管人协商解决。</w:t>
      </w:r>
    </w:p>
    <w:p w14:paraId="34E4C79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w:t>
      </w:r>
      <w:r>
        <w:rPr>
          <w:rFonts w:asciiTheme="minorEastAsia" w:hAnsiTheme="minorEastAsia" w:eastAsiaTheme="minorEastAsia"/>
          <w:color w:val="auto"/>
          <w:szCs w:val="21"/>
          <w:highlight w:val="none"/>
        </w:rPr>
        <w:t>服务费收费账户</w:t>
      </w:r>
    </w:p>
    <w:p w14:paraId="213FACF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户名：国泰海通证券股份有限公司</w:t>
      </w:r>
    </w:p>
    <w:p w14:paraId="6B33A37E">
      <w:pPr>
        <w:adjustRightInd w:val="0"/>
        <w:snapToGrid w:val="0"/>
        <w:spacing w:before="93" w:beforeLines="30" w:after="93" w:afterLines="30" w:line="360" w:lineRule="auto"/>
        <w:ind w:firstLine="420" w:firstLineChars="200"/>
        <w:rPr>
          <w:rFonts w:hint="default" w:asciiTheme="minorEastAsia" w:hAnsiTheme="minorEastAsia" w:eastAsiaTheme="minorEastAsia"/>
          <w:color w:val="auto"/>
          <w:szCs w:val="21"/>
          <w:highlight w:val="none"/>
          <w:lang w:val="en-US" w:eastAsia="zh-CN"/>
        </w:rPr>
      </w:pPr>
      <w:r>
        <w:rPr>
          <w:rFonts w:hint="eastAsia" w:asciiTheme="minorEastAsia" w:hAnsiTheme="minorEastAsia" w:eastAsiaTheme="minorEastAsia"/>
          <w:color w:val="auto"/>
          <w:szCs w:val="21"/>
          <w:highlight w:val="none"/>
        </w:rPr>
        <w:t>账号：</w:t>
      </w:r>
      <w:r>
        <w:rPr>
          <w:rFonts w:hint="eastAsia" w:asciiTheme="minorEastAsia" w:hAnsiTheme="minorEastAsia" w:eastAsiaTheme="minorEastAsia"/>
          <w:color w:val="auto"/>
          <w:szCs w:val="21"/>
          <w:highlight w:val="none"/>
          <w:lang w:val="en-US" w:eastAsia="zh-CN"/>
        </w:rPr>
        <w:t>8100054520000</w:t>
      </w:r>
    </w:p>
    <w:p w14:paraId="2EB850C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开户行：招商银行股份有限公司上海张江支行</w:t>
      </w:r>
    </w:p>
    <w:p w14:paraId="7CE9206D">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val="en-US" w:eastAsia="zh-CN"/>
        </w:rPr>
      </w:pPr>
      <w:r>
        <w:rPr>
          <w:rFonts w:hint="eastAsia" w:asciiTheme="minorEastAsia" w:hAnsiTheme="minorEastAsia" w:eastAsiaTheme="minorEastAsia"/>
          <w:color w:val="auto"/>
          <w:szCs w:val="21"/>
          <w:highlight w:val="none"/>
        </w:rPr>
        <w:t>大额支付号：</w:t>
      </w:r>
      <w:r>
        <w:rPr>
          <w:rFonts w:hint="eastAsia" w:asciiTheme="minorEastAsia" w:hAnsiTheme="minorEastAsia" w:eastAsiaTheme="minorEastAsia"/>
          <w:color w:val="auto"/>
          <w:szCs w:val="21"/>
          <w:highlight w:val="none"/>
          <w:lang w:val="en-US" w:eastAsia="zh-CN"/>
        </w:rPr>
        <w:t>820000000000</w:t>
      </w:r>
    </w:p>
    <w:p w14:paraId="680F4E7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4、基金管理人的业绩报酬</w:t>
      </w:r>
    </w:p>
    <w:p w14:paraId="6327F800">
      <w:pPr>
        <w:adjustRightInd w:val="0"/>
        <w:snapToGrid w:val="0"/>
        <w:spacing w:before="30" w:after="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本基金对D类份额不提取业绩报酬，仅对</w:t>
      </w:r>
      <w:r>
        <w:rPr>
          <w:rFonts w:asciiTheme="minorEastAsia" w:hAnsiTheme="minorEastAsia" w:eastAsiaTheme="minorEastAsia"/>
          <w:color w:val="auto"/>
          <w:szCs w:val="21"/>
          <w:highlight w:val="none"/>
        </w:rPr>
        <w:t>A</w:t>
      </w:r>
      <w:r>
        <w:rPr>
          <w:rFonts w:hint="eastAsia" w:asciiTheme="minorEastAsia" w:hAnsiTheme="minorEastAsia" w:eastAsiaTheme="minorEastAsia"/>
          <w:color w:val="auto"/>
          <w:szCs w:val="21"/>
          <w:highlight w:val="none"/>
        </w:rPr>
        <w:t>、B、C类份额提取业绩报酬，业绩报酬的计提方式如下：</w:t>
      </w:r>
    </w:p>
    <w:p w14:paraId="703356FA">
      <w:pPr>
        <w:spacing w:line="360" w:lineRule="auto"/>
        <w:ind w:left="-92" w:leftChars="-44" w:right="315" w:rightChars="150" w:firstLine="525" w:firstLineChars="250"/>
        <w:rPr>
          <w:rFonts w:ascii="宋体" w:hAnsi="宋体"/>
          <w:color w:val="auto"/>
          <w:szCs w:val="21"/>
          <w:highlight w:val="none"/>
        </w:rPr>
      </w:pPr>
      <w:r>
        <w:rPr>
          <w:rFonts w:hint="eastAsia" w:ascii="宋体" w:hAnsi="宋体"/>
          <w:color w:val="auto"/>
          <w:szCs w:val="21"/>
          <w:highlight w:val="none"/>
        </w:rPr>
        <w:t>（1）</w:t>
      </w:r>
      <w:r>
        <w:rPr>
          <w:rFonts w:ascii="宋体" w:hAnsi="宋体"/>
          <w:color w:val="auto"/>
          <w:szCs w:val="21"/>
          <w:highlight w:val="none"/>
        </w:rPr>
        <w:t>本基金业绩报酬计提基准</w:t>
      </w:r>
      <w:r>
        <w:rPr>
          <w:rFonts w:hint="eastAsia" w:ascii="宋体" w:hAnsi="宋体"/>
          <w:color w:val="auto"/>
          <w:szCs w:val="21"/>
          <w:highlight w:val="none"/>
        </w:rPr>
        <w:t>B=期间中证A500指数年化收益率</w:t>
      </w:r>
      <w:r>
        <w:rPr>
          <w:color w:val="auto"/>
          <w:highlight w:val="none"/>
        </w:rPr>
        <w:t>*1.5</w:t>
      </w:r>
      <w:r>
        <w:rPr>
          <w:rFonts w:ascii="宋体" w:hAnsi="宋体"/>
          <w:color w:val="auto"/>
          <w:szCs w:val="21"/>
          <w:highlight w:val="none"/>
        </w:rPr>
        <w:t>。</w:t>
      </w:r>
    </w:p>
    <w:p w14:paraId="7C9CA822">
      <w:pPr>
        <w:spacing w:line="360" w:lineRule="auto"/>
        <w:ind w:left="-92" w:leftChars="-44" w:right="315" w:rightChars="150" w:firstLine="525" w:firstLineChars="250"/>
        <w:rPr>
          <w:rFonts w:ascii="宋体" w:hAnsi="宋体"/>
          <w:b/>
          <w:bCs/>
          <w:color w:val="auto"/>
          <w:szCs w:val="21"/>
          <w:highlight w:val="none"/>
        </w:rPr>
      </w:pPr>
      <w:r>
        <w:rPr>
          <w:rFonts w:hint="eastAsia" w:ascii="宋体" w:hAnsi="宋体"/>
          <w:color w:val="auto"/>
          <w:szCs w:val="21"/>
          <w:highlight w:val="none"/>
        </w:rPr>
        <w:t>（2）</w:t>
      </w:r>
      <w:r>
        <w:rPr>
          <w:rFonts w:ascii="宋体" w:hAnsi="宋体"/>
          <w:color w:val="auto"/>
          <w:szCs w:val="21"/>
          <w:highlight w:val="none"/>
        </w:rPr>
        <w:t>业绩报酬的计提基准日：</w:t>
      </w:r>
      <w:r>
        <w:rPr>
          <w:rFonts w:hint="eastAsia" w:ascii="宋体" w:hAnsi="宋体"/>
          <w:color w:val="auto"/>
          <w:szCs w:val="21"/>
          <w:highlight w:val="none"/>
        </w:rPr>
        <w:t>投资者赎回日、分红权益登记日、基金清算日。</w:t>
      </w:r>
      <w:r>
        <w:rPr>
          <w:rFonts w:hint="eastAsia" w:ascii="宋体" w:hAnsi="宋体"/>
          <w:color w:val="auto"/>
          <w:highlight w:val="none"/>
        </w:rPr>
        <w:t>本基金各类份额连续两次成功计提业绩报酬基准日的间隔不应短于</w:t>
      </w:r>
      <w:r>
        <w:rPr>
          <w:rFonts w:ascii="宋体" w:hAnsi="宋体"/>
          <w:color w:val="auto"/>
          <w:highlight w:val="none"/>
        </w:rPr>
        <w:t>6</w:t>
      </w:r>
      <w:r>
        <w:rPr>
          <w:rFonts w:hint="eastAsia" w:ascii="宋体" w:hAnsi="宋体"/>
          <w:color w:val="auto"/>
          <w:highlight w:val="none"/>
        </w:rPr>
        <w:t>个月，投资者赎回日、基金清算日以及合同约定的其他业绩报酬计提基准日遇非交易日顺延的情况除外。</w:t>
      </w:r>
    </w:p>
    <w:p w14:paraId="20EB0F2C">
      <w:pPr>
        <w:spacing w:line="360" w:lineRule="auto"/>
        <w:ind w:left="-92" w:leftChars="-44" w:right="315" w:rightChars="150" w:firstLine="525" w:firstLineChars="250"/>
        <w:rPr>
          <w:rFonts w:ascii="宋体" w:hAnsi="宋体"/>
          <w:color w:val="auto"/>
          <w:szCs w:val="21"/>
          <w:highlight w:val="none"/>
        </w:rPr>
      </w:pPr>
      <w:r>
        <w:rPr>
          <w:rFonts w:hint="eastAsia" w:ascii="宋体" w:hAnsi="宋体"/>
          <w:color w:val="auto"/>
          <w:szCs w:val="21"/>
          <w:highlight w:val="none"/>
        </w:rPr>
        <w:t>（3）</w:t>
      </w:r>
      <w:r>
        <w:rPr>
          <w:rFonts w:ascii="宋体" w:hAnsi="宋体"/>
          <w:color w:val="auto"/>
          <w:szCs w:val="21"/>
          <w:highlight w:val="none"/>
        </w:rPr>
        <w:t>业绩报酬的计算：业绩报酬的计算采用单个投资者单笔投资年化收益差额法计提，即</w:t>
      </w:r>
      <w:r>
        <w:rPr>
          <w:rFonts w:hint="eastAsia" w:ascii="宋体" w:hAnsi="宋体"/>
          <w:color w:val="auto"/>
          <w:szCs w:val="21"/>
          <w:highlight w:val="none"/>
        </w:rPr>
        <w:t>各类</w:t>
      </w:r>
      <w:r>
        <w:rPr>
          <w:rFonts w:ascii="宋体" w:hAnsi="宋体"/>
          <w:color w:val="auto"/>
          <w:szCs w:val="21"/>
          <w:highlight w:val="none"/>
        </w:rPr>
        <w:t>基金份额持有人</w:t>
      </w:r>
      <w:r>
        <w:rPr>
          <w:rFonts w:hint="eastAsia" w:ascii="宋体" w:hAnsi="宋体"/>
          <w:color w:val="auto"/>
          <w:szCs w:val="21"/>
          <w:highlight w:val="none"/>
        </w:rPr>
        <w:t>每笔</w:t>
      </w:r>
      <w:r>
        <w:rPr>
          <w:rFonts w:ascii="宋体" w:hAnsi="宋体"/>
          <w:color w:val="auto"/>
          <w:szCs w:val="21"/>
          <w:highlight w:val="none"/>
        </w:rPr>
        <w:t>所持份额或赎回份额在持有期</w:t>
      </w:r>
      <w:r>
        <w:rPr>
          <w:rFonts w:hint="eastAsia" w:ascii="宋体" w:hAnsi="宋体"/>
          <w:color w:val="auto"/>
          <w:szCs w:val="21"/>
          <w:highlight w:val="none"/>
        </w:rPr>
        <w:t>（即下述计算公式中的“T”）</w:t>
      </w:r>
      <w:r>
        <w:rPr>
          <w:rFonts w:ascii="宋体" w:hAnsi="宋体"/>
          <w:color w:val="auto"/>
          <w:szCs w:val="21"/>
          <w:highlight w:val="none"/>
        </w:rPr>
        <w:t>的年化收益率</w:t>
      </w:r>
      <w:r>
        <w:rPr>
          <w:rFonts w:hint="eastAsia" w:ascii="宋体" w:hAnsi="宋体"/>
          <w:color w:val="auto"/>
          <w:szCs w:val="21"/>
          <w:highlight w:val="none"/>
        </w:rPr>
        <w:t>为正且</w:t>
      </w:r>
      <w:r>
        <w:rPr>
          <w:rFonts w:ascii="宋体" w:hAnsi="宋体"/>
          <w:color w:val="auto"/>
          <w:szCs w:val="21"/>
          <w:highlight w:val="none"/>
        </w:rPr>
        <w:t>大于业绩报酬计提基准时，对超出业绩报酬计提基准的持有期差额收益按</w:t>
      </w:r>
      <w:r>
        <w:rPr>
          <w:rFonts w:ascii="宋体" w:hAnsi="宋体"/>
          <w:color w:val="auto"/>
          <w:szCs w:val="21"/>
          <w:highlight w:val="none"/>
          <w:u w:val="single"/>
        </w:rPr>
        <w:t>“</w:t>
      </w:r>
      <w:r>
        <w:rPr>
          <w:rFonts w:hint="eastAsia" w:ascii="宋体" w:hAnsi="宋体"/>
          <w:color w:val="auto"/>
          <w:szCs w:val="21"/>
          <w:highlight w:val="none"/>
          <w:u w:val="single"/>
        </w:rPr>
        <w:t>私募基金的基本情况</w:t>
      </w:r>
      <w:r>
        <w:rPr>
          <w:rFonts w:ascii="宋体" w:hAnsi="宋体"/>
          <w:color w:val="auto"/>
          <w:szCs w:val="21"/>
          <w:highlight w:val="none"/>
          <w:u w:val="single"/>
        </w:rPr>
        <w:t>”</w:t>
      </w:r>
      <w:r>
        <w:rPr>
          <w:rFonts w:hint="eastAsia" w:ascii="宋体" w:hAnsi="宋体"/>
          <w:color w:val="auto"/>
          <w:szCs w:val="21"/>
          <w:highlight w:val="none"/>
          <w:u w:val="single"/>
        </w:rPr>
        <w:t>章节之</w:t>
      </w:r>
      <w:r>
        <w:rPr>
          <w:rFonts w:ascii="宋体" w:hAnsi="宋体"/>
          <w:color w:val="auto"/>
          <w:szCs w:val="21"/>
          <w:highlight w:val="none"/>
          <w:u w:val="single"/>
        </w:rPr>
        <w:t>“</w:t>
      </w:r>
      <w:r>
        <w:rPr>
          <w:rFonts w:hint="eastAsia" w:ascii="宋体" w:hAnsi="宋体"/>
          <w:color w:val="auto"/>
          <w:szCs w:val="21"/>
          <w:highlight w:val="none"/>
          <w:u w:val="single"/>
        </w:rPr>
        <w:t>私募基金的份额分类</w:t>
      </w:r>
      <w:r>
        <w:rPr>
          <w:rFonts w:ascii="宋体" w:hAnsi="宋体"/>
          <w:color w:val="auto"/>
          <w:szCs w:val="21"/>
          <w:highlight w:val="none"/>
          <w:u w:val="single"/>
        </w:rPr>
        <w:t>”</w:t>
      </w:r>
      <w:r>
        <w:rPr>
          <w:rFonts w:hint="eastAsia" w:ascii="宋体" w:hAnsi="宋体"/>
          <w:color w:val="auto"/>
          <w:szCs w:val="21"/>
          <w:highlight w:val="none"/>
          <w:u w:val="single"/>
        </w:rPr>
        <w:t>约定的比例</w:t>
      </w:r>
      <w:r>
        <w:rPr>
          <w:rFonts w:ascii="宋体" w:hAnsi="宋体"/>
          <w:color w:val="auto"/>
          <w:szCs w:val="21"/>
          <w:highlight w:val="none"/>
        </w:rPr>
        <w:t>进行计提</w:t>
      </w:r>
      <w:r>
        <w:rPr>
          <w:rFonts w:hint="eastAsia" w:ascii="宋体" w:hAnsi="宋体"/>
          <w:color w:val="auto"/>
          <w:szCs w:val="21"/>
          <w:highlight w:val="none"/>
        </w:rPr>
        <w:t>，且每笔份额可提取的业绩报酬上限为（</w:t>
      </w:r>
      <w:r>
        <w:rPr>
          <w:rFonts w:ascii="宋体" w:hAnsi="宋体"/>
          <w:color w:val="auto"/>
          <w:szCs w:val="21"/>
          <w:highlight w:val="none"/>
        </w:rPr>
        <w:t>T1</w:t>
      </w:r>
      <w:r>
        <w:rPr>
          <w:rFonts w:hint="eastAsia" w:ascii="宋体" w:hAnsi="宋体"/>
          <w:color w:val="auto"/>
          <w:szCs w:val="21"/>
          <w:highlight w:val="none"/>
        </w:rPr>
        <w:t>×R×</w:t>
      </w:r>
      <w:r>
        <w:rPr>
          <w:rFonts w:ascii="宋体" w:hAnsi="宋体"/>
          <w:color w:val="auto"/>
          <w:szCs w:val="21"/>
          <w:highlight w:val="none"/>
        </w:rPr>
        <w:t>T/365</w:t>
      </w:r>
      <w:r>
        <w:rPr>
          <w:rFonts w:hint="eastAsia" w:ascii="宋体" w:hAnsi="宋体"/>
          <w:color w:val="auto"/>
          <w:szCs w:val="21"/>
          <w:highlight w:val="none"/>
        </w:rPr>
        <w:t>）</w:t>
      </w:r>
      <w:r>
        <w:rPr>
          <w:rFonts w:ascii="宋体" w:hAnsi="宋体"/>
          <w:color w:val="auto"/>
          <w:szCs w:val="21"/>
          <w:highlight w:val="none"/>
        </w:rPr>
        <w:t>。</w:t>
      </w:r>
    </w:p>
    <w:p w14:paraId="74B1D755">
      <w:pPr>
        <w:spacing w:line="360" w:lineRule="auto"/>
        <w:ind w:left="-92" w:leftChars="-44" w:right="315" w:rightChars="150" w:firstLine="525" w:firstLineChars="250"/>
        <w:rPr>
          <w:rFonts w:ascii="宋体" w:hAnsi="宋体"/>
          <w:color w:val="auto"/>
          <w:szCs w:val="21"/>
          <w:highlight w:val="none"/>
        </w:rPr>
      </w:pPr>
      <w:r>
        <w:rPr>
          <w:rFonts w:hint="eastAsia" w:ascii="宋体" w:hAnsi="宋体"/>
          <w:color w:val="auto"/>
          <w:szCs w:val="21"/>
          <w:highlight w:val="none"/>
        </w:rPr>
        <w:t>业绩报酬的具体计算及支付如下：</w:t>
      </w:r>
    </w:p>
    <w:p w14:paraId="659EDB9A">
      <w:pPr>
        <w:spacing w:line="360" w:lineRule="auto"/>
        <w:ind w:left="-92" w:leftChars="-44" w:right="315" w:rightChars="150" w:firstLine="525" w:firstLineChars="250"/>
        <w:rPr>
          <w:rFonts w:ascii="宋体" w:hAnsi="宋体"/>
          <w:color w:val="auto"/>
          <w:szCs w:val="21"/>
          <w:highlight w:val="none"/>
        </w:rPr>
      </w:pPr>
      <w:r>
        <w:rPr>
          <w:rFonts w:ascii="宋体" w:hAnsi="宋体"/>
          <w:color w:val="auto"/>
          <w:szCs w:val="21"/>
          <w:highlight w:val="none"/>
        </w:rPr>
        <w:t>1）</w:t>
      </w:r>
      <w:r>
        <w:rPr>
          <w:rFonts w:ascii="宋体" w:hAnsi="宋体"/>
          <w:color w:val="auto"/>
          <w:szCs w:val="21"/>
          <w:highlight w:val="none"/>
        </w:rPr>
        <w:tab/>
      </w:r>
      <w:r>
        <w:rPr>
          <w:rFonts w:hint="eastAsia" w:ascii="宋体" w:hAnsi="宋体"/>
          <w:color w:val="auto"/>
          <w:szCs w:val="21"/>
          <w:highlight w:val="none"/>
        </w:rPr>
        <w:t>赎回、基金清算时提取业绩报酬</w:t>
      </w:r>
    </w:p>
    <w:p w14:paraId="1A5B8960">
      <w:pPr>
        <w:spacing w:line="360" w:lineRule="auto"/>
        <w:ind w:right="315" w:rightChars="150" w:firstLine="420" w:firstLineChars="200"/>
        <w:rPr>
          <w:rFonts w:ascii="宋体" w:hAnsi="宋体"/>
          <w:color w:val="auto"/>
          <w:szCs w:val="21"/>
          <w:highlight w:val="none"/>
        </w:rPr>
      </w:pPr>
      <w:r>
        <w:rPr>
          <w:rFonts w:hint="eastAsia" w:ascii="宋体" w:hAnsi="宋体"/>
          <w:color w:val="auto"/>
          <w:szCs w:val="21"/>
          <w:highlight w:val="none"/>
        </w:rPr>
        <w:t>期间中证A</w:t>
      </w:r>
      <w:r>
        <w:rPr>
          <w:rFonts w:ascii="宋体" w:hAnsi="宋体"/>
          <w:color w:val="auto"/>
          <w:szCs w:val="21"/>
          <w:highlight w:val="none"/>
        </w:rPr>
        <w:t>500指数（000510）年化收益率=（Hn - H0</w:t>
      </w:r>
      <w:r>
        <w:rPr>
          <w:rFonts w:hint="eastAsia" w:ascii="宋体" w:hAnsi="宋体"/>
          <w:color w:val="auto"/>
          <w:szCs w:val="21"/>
          <w:highlight w:val="none"/>
        </w:rPr>
        <w:t>）</w:t>
      </w:r>
      <w:r>
        <w:rPr>
          <w:rFonts w:ascii="宋体" w:hAnsi="宋体"/>
          <w:color w:val="auto"/>
          <w:szCs w:val="21"/>
          <w:highlight w:val="none"/>
        </w:rPr>
        <w:t xml:space="preserve">/ H0 </w:t>
      </w:r>
      <w:r>
        <w:rPr>
          <w:rFonts w:hint="eastAsia" w:ascii="宋体" w:hAnsi="宋体"/>
          <w:color w:val="auto"/>
          <w:szCs w:val="21"/>
          <w:highlight w:val="none"/>
        </w:rPr>
        <w:t>×</w:t>
      </w:r>
      <w:r>
        <w:rPr>
          <w:rFonts w:ascii="宋体" w:hAnsi="宋体"/>
          <w:color w:val="auto"/>
          <w:szCs w:val="21"/>
          <w:highlight w:val="none"/>
        </w:rPr>
        <w:t xml:space="preserve"> 365 / T </w:t>
      </w:r>
      <w:r>
        <w:rPr>
          <w:rFonts w:hint="eastAsia" w:ascii="宋体" w:hAnsi="宋体"/>
          <w:color w:val="auto"/>
          <w:szCs w:val="21"/>
          <w:highlight w:val="none"/>
        </w:rPr>
        <w:t>×</w:t>
      </w:r>
      <w:r>
        <w:rPr>
          <w:rFonts w:ascii="宋体" w:hAnsi="宋体"/>
          <w:color w:val="auto"/>
          <w:szCs w:val="21"/>
          <w:highlight w:val="none"/>
        </w:rPr>
        <w:t>100%</w:t>
      </w:r>
    </w:p>
    <w:p w14:paraId="44B1E6F7">
      <w:pPr>
        <w:spacing w:line="360" w:lineRule="auto"/>
        <w:ind w:left="-92" w:leftChars="-44" w:right="315" w:rightChars="150" w:firstLine="525" w:firstLineChars="250"/>
        <w:rPr>
          <w:rFonts w:ascii="宋体" w:hAnsi="宋体"/>
          <w:color w:val="auto"/>
          <w:szCs w:val="21"/>
          <w:highlight w:val="none"/>
        </w:rPr>
      </w:pPr>
      <w:r>
        <w:rPr>
          <w:rFonts w:ascii="宋体" w:hAnsi="宋体"/>
          <w:color w:val="auto"/>
          <w:szCs w:val="21"/>
          <w:highlight w:val="none"/>
        </w:rPr>
        <w:t>Hn</w:t>
      </w:r>
      <w:r>
        <w:rPr>
          <w:rFonts w:hint="eastAsia" w:ascii="宋体" w:hAnsi="宋体"/>
          <w:color w:val="auto"/>
          <w:szCs w:val="21"/>
          <w:highlight w:val="none"/>
        </w:rPr>
        <w:t>为本次业绩报酬计提基准日对应的中证A</w:t>
      </w:r>
      <w:r>
        <w:rPr>
          <w:rFonts w:ascii="宋体" w:hAnsi="宋体"/>
          <w:color w:val="auto"/>
          <w:szCs w:val="21"/>
          <w:highlight w:val="none"/>
        </w:rPr>
        <w:t>500指数收盘价；</w:t>
      </w:r>
    </w:p>
    <w:p w14:paraId="77F66952">
      <w:pPr>
        <w:spacing w:line="360" w:lineRule="auto"/>
        <w:ind w:left="-92" w:leftChars="-44" w:right="315" w:rightChars="150" w:firstLine="525" w:firstLineChars="250"/>
        <w:rPr>
          <w:rFonts w:ascii="宋体" w:hAnsi="宋体"/>
          <w:color w:val="auto"/>
          <w:szCs w:val="21"/>
          <w:highlight w:val="none"/>
        </w:rPr>
      </w:pPr>
      <w:r>
        <w:rPr>
          <w:rFonts w:ascii="宋体" w:hAnsi="宋体"/>
          <w:color w:val="auto"/>
          <w:szCs w:val="21"/>
          <w:highlight w:val="none"/>
        </w:rPr>
        <w:t>H0</w:t>
      </w:r>
      <w:r>
        <w:rPr>
          <w:rFonts w:hint="eastAsia" w:ascii="宋体" w:hAnsi="宋体"/>
          <w:color w:val="auto"/>
          <w:szCs w:val="21"/>
          <w:highlight w:val="none"/>
        </w:rPr>
        <w:t>为上一个业绩报酬成功计提基准日对应的中证A</w:t>
      </w:r>
      <w:r>
        <w:rPr>
          <w:rFonts w:ascii="宋体" w:hAnsi="宋体"/>
          <w:color w:val="auto"/>
          <w:szCs w:val="21"/>
          <w:highlight w:val="none"/>
        </w:rPr>
        <w:t>500</w:t>
      </w:r>
      <w:r>
        <w:rPr>
          <w:rFonts w:hint="eastAsia" w:ascii="宋体" w:hAnsi="宋体"/>
          <w:color w:val="auto"/>
          <w:szCs w:val="21"/>
          <w:highlight w:val="none"/>
        </w:rPr>
        <w:t>指数收盘价。</w:t>
      </w:r>
    </w:p>
    <w:p w14:paraId="43335597">
      <w:pPr>
        <w:spacing w:line="360" w:lineRule="auto"/>
        <w:ind w:left="-92" w:leftChars="-44" w:right="315" w:rightChars="150" w:firstLine="525" w:firstLineChars="250"/>
        <w:rPr>
          <w:rFonts w:ascii="宋体" w:hAnsi="宋体"/>
          <w:color w:val="auto"/>
          <w:szCs w:val="21"/>
          <w:highlight w:val="none"/>
        </w:rPr>
      </w:pPr>
      <w:r>
        <w:rPr>
          <w:rFonts w:ascii="宋体" w:hAnsi="宋体"/>
          <w:color w:val="auto"/>
          <w:szCs w:val="21"/>
          <w:highlight w:val="none"/>
        </w:rPr>
        <w:t>Tn =</w:t>
      </w:r>
      <w:r>
        <w:rPr>
          <w:rFonts w:hint="eastAsia" w:ascii="宋体" w:hAnsi="宋体"/>
          <w:color w:val="auto"/>
          <w:szCs w:val="21"/>
          <w:highlight w:val="none"/>
        </w:rPr>
        <w:t>本次业绩报酬计提基准日</w:t>
      </w:r>
      <w:r>
        <w:rPr>
          <w:rFonts w:ascii="宋体" w:hAnsi="宋体"/>
          <w:color w:val="auto"/>
          <w:szCs w:val="21"/>
          <w:highlight w:val="none"/>
        </w:rPr>
        <w:t>的</w:t>
      </w:r>
      <w:bookmarkStart w:id="62" w:name="OLE_LINK1"/>
      <w:r>
        <w:rPr>
          <w:rFonts w:hint="eastAsia" w:ascii="宋体" w:hAnsi="宋体"/>
          <w:color w:val="auto"/>
          <w:szCs w:val="21"/>
          <w:highlight w:val="none"/>
        </w:rPr>
        <w:t>各类别</w:t>
      </w:r>
      <w:bookmarkEnd w:id="62"/>
      <w:r>
        <w:rPr>
          <w:rFonts w:ascii="宋体" w:hAnsi="宋体"/>
          <w:color w:val="auto"/>
          <w:szCs w:val="21"/>
          <w:highlight w:val="none"/>
        </w:rPr>
        <w:t>基金份额累计净值；</w:t>
      </w:r>
    </w:p>
    <w:p w14:paraId="236763CA">
      <w:pPr>
        <w:spacing w:line="360" w:lineRule="auto"/>
        <w:ind w:left="-92" w:leftChars="-44" w:right="315" w:rightChars="150" w:firstLine="525" w:firstLineChars="250"/>
        <w:rPr>
          <w:rFonts w:ascii="宋体" w:hAnsi="宋体"/>
          <w:color w:val="auto"/>
          <w:szCs w:val="21"/>
          <w:highlight w:val="none"/>
        </w:rPr>
      </w:pPr>
      <w:r>
        <w:rPr>
          <w:rFonts w:ascii="宋体" w:hAnsi="宋体"/>
          <w:color w:val="auto"/>
          <w:szCs w:val="21"/>
          <w:highlight w:val="none"/>
        </w:rPr>
        <w:t>T0=</w:t>
      </w:r>
      <w:r>
        <w:rPr>
          <w:rFonts w:hint="eastAsia" w:ascii="宋体" w:hAnsi="宋体"/>
          <w:color w:val="auto"/>
          <w:szCs w:val="21"/>
          <w:highlight w:val="none"/>
        </w:rPr>
        <w:t>上一个业绩报酬成功计提基准日的各类别基金份额累计净值；</w:t>
      </w:r>
    </w:p>
    <w:p w14:paraId="506BFF5E">
      <w:pPr>
        <w:spacing w:line="360" w:lineRule="auto"/>
        <w:ind w:left="-92" w:leftChars="-44" w:right="315" w:rightChars="150" w:firstLine="525" w:firstLineChars="250"/>
        <w:rPr>
          <w:rFonts w:ascii="宋体" w:hAnsi="宋体"/>
          <w:color w:val="auto"/>
          <w:szCs w:val="21"/>
          <w:highlight w:val="none"/>
        </w:rPr>
      </w:pPr>
      <w:r>
        <w:rPr>
          <w:rFonts w:ascii="宋体" w:hAnsi="宋体"/>
          <w:color w:val="auto"/>
          <w:szCs w:val="21"/>
          <w:highlight w:val="none"/>
        </w:rPr>
        <w:t>T1 =</w:t>
      </w:r>
      <w:r>
        <w:rPr>
          <w:rFonts w:hint="eastAsia" w:ascii="宋体" w:hAnsi="宋体"/>
          <w:color w:val="auto"/>
          <w:szCs w:val="21"/>
          <w:highlight w:val="none"/>
        </w:rPr>
        <w:t>上一个业绩报酬成功计提基准日</w:t>
      </w:r>
      <w:r>
        <w:rPr>
          <w:rFonts w:ascii="宋体" w:hAnsi="宋体"/>
          <w:color w:val="auto"/>
          <w:szCs w:val="21"/>
          <w:highlight w:val="none"/>
        </w:rPr>
        <w:t>的</w:t>
      </w:r>
      <w:r>
        <w:rPr>
          <w:rFonts w:hint="eastAsia" w:ascii="宋体" w:hAnsi="宋体"/>
          <w:color w:val="auto"/>
          <w:szCs w:val="21"/>
          <w:highlight w:val="none"/>
        </w:rPr>
        <w:t>各类别</w:t>
      </w:r>
      <w:r>
        <w:rPr>
          <w:rFonts w:ascii="宋体" w:hAnsi="宋体"/>
          <w:color w:val="auto"/>
          <w:szCs w:val="21"/>
          <w:highlight w:val="none"/>
        </w:rPr>
        <w:t>基金份额净值；</w:t>
      </w:r>
    </w:p>
    <w:p w14:paraId="16BCEBFA">
      <w:pPr>
        <w:spacing w:line="360" w:lineRule="auto"/>
        <w:ind w:left="-92" w:leftChars="-44" w:right="315" w:rightChars="150" w:firstLine="525" w:firstLineChars="250"/>
        <w:rPr>
          <w:rFonts w:ascii="宋体" w:hAnsi="宋体"/>
          <w:color w:val="auto"/>
          <w:szCs w:val="21"/>
          <w:highlight w:val="none"/>
        </w:rPr>
      </w:pPr>
      <w:r>
        <w:rPr>
          <w:rFonts w:hint="eastAsia" w:ascii="宋体" w:hAnsi="宋体"/>
          <w:color w:val="auto"/>
          <w:szCs w:val="21"/>
          <w:highlight w:val="none"/>
        </w:rPr>
        <w:t>T=上一个业绩报酬成功计提基准日（不含）至本次业绩报酬计提基准日（含）之间的实际天数；</w:t>
      </w:r>
      <w:r>
        <w:rPr>
          <w:rFonts w:ascii="宋体" w:hAnsi="宋体"/>
          <w:color w:val="auto"/>
          <w:szCs w:val="21"/>
          <w:highlight w:val="none"/>
        </w:rPr>
        <w:t xml:space="preserve"> </w:t>
      </w:r>
    </w:p>
    <w:p w14:paraId="68B5A4DE">
      <w:pPr>
        <w:spacing w:line="360" w:lineRule="auto"/>
        <w:ind w:left="-92" w:leftChars="-44" w:right="315" w:rightChars="150" w:firstLine="525" w:firstLineChars="250"/>
        <w:rPr>
          <w:rFonts w:ascii="宋体" w:hAnsi="宋体"/>
          <w:color w:val="auto"/>
          <w:szCs w:val="21"/>
          <w:highlight w:val="none"/>
        </w:rPr>
      </w:pPr>
      <w:r>
        <w:rPr>
          <w:rFonts w:hint="eastAsia" w:ascii="宋体" w:hAnsi="宋体"/>
          <w:color w:val="auto"/>
          <w:szCs w:val="21"/>
          <w:highlight w:val="none"/>
        </w:rPr>
        <w:t>如果没有成功计提过业绩报酬，则通过认购和在启用日当日及启用日之前的申购开放日获得的各类份额，以启用日作为计算业绩报酬天数的起始点，且T取启用日起的天数，</w:t>
      </w:r>
      <w:r>
        <w:rPr>
          <w:rFonts w:ascii="宋体" w:hAnsi="宋体"/>
          <w:color w:val="auto"/>
          <w:szCs w:val="21"/>
          <w:highlight w:val="none"/>
        </w:rPr>
        <w:t>H0</w:t>
      </w:r>
      <w:r>
        <w:rPr>
          <w:rFonts w:hint="eastAsia" w:ascii="宋体" w:hAnsi="宋体"/>
          <w:color w:val="auto"/>
          <w:szCs w:val="21"/>
          <w:highlight w:val="none"/>
        </w:rPr>
        <w:t>、</w:t>
      </w:r>
      <w:r>
        <w:rPr>
          <w:rFonts w:ascii="宋体" w:hAnsi="宋体"/>
          <w:color w:val="auto"/>
          <w:szCs w:val="21"/>
          <w:highlight w:val="none"/>
        </w:rPr>
        <w:t>T0</w:t>
      </w:r>
      <w:r>
        <w:rPr>
          <w:rFonts w:hint="eastAsia" w:ascii="宋体" w:hAnsi="宋体"/>
          <w:color w:val="auto"/>
          <w:szCs w:val="21"/>
          <w:highlight w:val="none"/>
        </w:rPr>
        <w:t>、</w:t>
      </w:r>
      <w:r>
        <w:rPr>
          <w:rFonts w:ascii="宋体" w:hAnsi="宋体"/>
          <w:color w:val="auto"/>
          <w:szCs w:val="21"/>
          <w:highlight w:val="none"/>
        </w:rPr>
        <w:t>T1</w:t>
      </w:r>
      <w:r>
        <w:rPr>
          <w:rFonts w:hint="eastAsia" w:ascii="宋体" w:hAnsi="宋体"/>
          <w:color w:val="auto"/>
          <w:szCs w:val="21"/>
          <w:highlight w:val="none"/>
        </w:rPr>
        <w:t>分别取启用日对应的中证A</w:t>
      </w:r>
      <w:r>
        <w:rPr>
          <w:rFonts w:ascii="宋体" w:hAnsi="宋体"/>
          <w:color w:val="auto"/>
          <w:szCs w:val="21"/>
          <w:highlight w:val="none"/>
        </w:rPr>
        <w:t>500</w:t>
      </w:r>
      <w:r>
        <w:rPr>
          <w:rFonts w:hint="eastAsia" w:ascii="宋体" w:hAnsi="宋体"/>
          <w:color w:val="auto"/>
          <w:szCs w:val="21"/>
          <w:highlight w:val="none"/>
        </w:rPr>
        <w:t>指数收盘价、max{启用日各类份额累计净值，参与日各类份额累计净值}及该类份额累计净值所对应日期的份额净值（认购份额的参与日为基金成立日，申购份额的参与日为申购申请日）（启用日为本基金启用指数增强业绩报酬之日，</w:t>
      </w:r>
      <w:r>
        <w:rPr>
          <w:rFonts w:hint="eastAsia" w:ascii="宋体" w:hAnsi="宋体"/>
          <w:b/>
          <w:color w:val="auto"/>
          <w:szCs w:val="21"/>
          <w:highlight w:val="none"/>
        </w:rPr>
        <w:t>私募基金管理人应在启用日当日以书面方式通知全体基金份额持有人及运营服务机构，运营服务机构对此不负责监督</w:t>
      </w:r>
      <w:r>
        <w:rPr>
          <w:rFonts w:hint="eastAsia" w:ascii="宋体" w:hAnsi="宋体"/>
          <w:color w:val="auto"/>
          <w:szCs w:val="21"/>
          <w:highlight w:val="none"/>
        </w:rPr>
        <w:t>）,在启用日之后通过申购获得的基金份额，T取申购申请日起的天数，</w:t>
      </w:r>
      <w:r>
        <w:rPr>
          <w:rFonts w:ascii="宋体" w:hAnsi="宋体"/>
          <w:color w:val="auto"/>
          <w:szCs w:val="21"/>
          <w:highlight w:val="none"/>
        </w:rPr>
        <w:t>H0</w:t>
      </w:r>
      <w:r>
        <w:rPr>
          <w:rFonts w:hint="eastAsia" w:ascii="宋体" w:hAnsi="宋体"/>
          <w:color w:val="auto"/>
          <w:szCs w:val="21"/>
          <w:highlight w:val="none"/>
        </w:rPr>
        <w:t>、</w:t>
      </w:r>
      <w:r>
        <w:rPr>
          <w:rFonts w:ascii="宋体" w:hAnsi="宋体"/>
          <w:color w:val="auto"/>
          <w:szCs w:val="21"/>
          <w:highlight w:val="none"/>
        </w:rPr>
        <w:t>T0</w:t>
      </w:r>
      <w:r>
        <w:rPr>
          <w:rFonts w:hint="eastAsia" w:ascii="宋体" w:hAnsi="宋体"/>
          <w:color w:val="auto"/>
          <w:szCs w:val="21"/>
          <w:highlight w:val="none"/>
        </w:rPr>
        <w:t>、</w:t>
      </w:r>
      <w:r>
        <w:rPr>
          <w:rFonts w:ascii="宋体" w:hAnsi="宋体"/>
          <w:color w:val="auto"/>
          <w:szCs w:val="21"/>
          <w:highlight w:val="none"/>
        </w:rPr>
        <w:t>T1</w:t>
      </w:r>
      <w:r>
        <w:rPr>
          <w:rFonts w:hint="eastAsia" w:ascii="宋体" w:hAnsi="宋体"/>
          <w:color w:val="auto"/>
          <w:szCs w:val="21"/>
          <w:highlight w:val="none"/>
        </w:rPr>
        <w:t>分别取申购申请日对应的中证A500指数收盘价、各类份额累计净值及各类份额净值。</w:t>
      </w:r>
    </w:p>
    <w:p w14:paraId="1B82CAB1">
      <w:pPr>
        <w:spacing w:line="360" w:lineRule="auto"/>
        <w:ind w:left="-92" w:leftChars="-44" w:right="315" w:rightChars="150" w:firstLine="525" w:firstLineChars="250"/>
        <w:rPr>
          <w:rFonts w:ascii="宋体" w:hAnsi="宋体"/>
          <w:color w:val="auto"/>
          <w:szCs w:val="21"/>
          <w:highlight w:val="none"/>
        </w:rPr>
      </w:pPr>
      <w:r>
        <w:rPr>
          <w:rFonts w:ascii="宋体" w:hAnsi="宋体"/>
          <w:color w:val="auto"/>
          <w:szCs w:val="21"/>
          <w:highlight w:val="none"/>
        </w:rPr>
        <w:t>E=业绩报酬；</w:t>
      </w:r>
    </w:p>
    <w:p w14:paraId="03A6AD50">
      <w:pPr>
        <w:spacing w:line="360" w:lineRule="auto"/>
        <w:ind w:left="-92" w:leftChars="-44" w:right="315" w:rightChars="150" w:firstLine="525" w:firstLineChars="250"/>
        <w:rPr>
          <w:rFonts w:ascii="宋体" w:hAnsi="宋体"/>
          <w:color w:val="auto"/>
          <w:szCs w:val="21"/>
          <w:highlight w:val="none"/>
        </w:rPr>
      </w:pPr>
      <w:r>
        <w:rPr>
          <w:rFonts w:ascii="宋体" w:hAnsi="宋体"/>
          <w:color w:val="auto"/>
          <w:szCs w:val="21"/>
          <w:highlight w:val="none"/>
        </w:rPr>
        <w:t>B=业绩报酬计提基准；</w:t>
      </w:r>
    </w:p>
    <w:p w14:paraId="2C5394B4">
      <w:pPr>
        <w:spacing w:line="360" w:lineRule="auto"/>
        <w:ind w:left="-92" w:leftChars="-44" w:right="315" w:rightChars="150" w:firstLine="525" w:firstLineChars="250"/>
        <w:rPr>
          <w:rFonts w:ascii="宋体" w:hAnsi="宋体"/>
          <w:color w:val="auto"/>
          <w:szCs w:val="21"/>
          <w:highlight w:val="none"/>
        </w:rPr>
      </w:pPr>
      <w:r>
        <w:rPr>
          <w:rFonts w:ascii="宋体" w:hAnsi="宋体"/>
          <w:color w:val="auto"/>
          <w:szCs w:val="21"/>
          <w:highlight w:val="none"/>
        </w:rPr>
        <w:t>K=</w:t>
      </w:r>
      <w:r>
        <w:rPr>
          <w:rFonts w:hint="eastAsia" w:ascii="宋体" w:hAnsi="宋体"/>
          <w:color w:val="auto"/>
          <w:szCs w:val="21"/>
          <w:highlight w:val="none"/>
        </w:rPr>
        <w:t>本次</w:t>
      </w:r>
      <w:r>
        <w:rPr>
          <w:rFonts w:ascii="宋体" w:hAnsi="宋体"/>
          <w:color w:val="auto"/>
          <w:highlight w:val="none"/>
        </w:rPr>
        <w:t>业绩报酬计提基准日</w:t>
      </w:r>
      <w:r>
        <w:rPr>
          <w:rFonts w:ascii="宋体" w:hAnsi="宋体"/>
          <w:color w:val="auto"/>
          <w:szCs w:val="21"/>
          <w:highlight w:val="none"/>
        </w:rPr>
        <w:t>赎回份额数量</w:t>
      </w:r>
      <w:r>
        <w:rPr>
          <w:rFonts w:hint="eastAsia" w:ascii="宋体" w:hAnsi="宋体"/>
          <w:color w:val="auto"/>
          <w:szCs w:val="21"/>
          <w:highlight w:val="none"/>
        </w:rPr>
        <w:t>（赎回时）</w:t>
      </w:r>
      <w:r>
        <w:rPr>
          <w:rFonts w:ascii="宋体" w:hAnsi="宋体"/>
          <w:color w:val="auto"/>
          <w:szCs w:val="21"/>
          <w:highlight w:val="none"/>
        </w:rPr>
        <w:t>或持有的</w:t>
      </w:r>
      <w:r>
        <w:rPr>
          <w:rFonts w:hint="eastAsia" w:ascii="宋体" w:hAnsi="宋体"/>
          <w:color w:val="auto"/>
          <w:szCs w:val="21"/>
          <w:highlight w:val="none"/>
        </w:rPr>
        <w:t>各类</w:t>
      </w:r>
      <w:r>
        <w:rPr>
          <w:rFonts w:ascii="宋体" w:hAnsi="宋体"/>
          <w:color w:val="auto"/>
          <w:szCs w:val="21"/>
          <w:highlight w:val="none"/>
        </w:rPr>
        <w:t>份额数量</w:t>
      </w:r>
      <w:r>
        <w:rPr>
          <w:rFonts w:hint="eastAsia" w:ascii="宋体" w:hAnsi="宋体"/>
          <w:color w:val="auto"/>
          <w:szCs w:val="21"/>
          <w:highlight w:val="none"/>
        </w:rPr>
        <w:t>（非赎回时）；</w:t>
      </w:r>
    </w:p>
    <w:p w14:paraId="1D7C918A">
      <w:pPr>
        <w:spacing w:line="360" w:lineRule="auto"/>
        <w:ind w:left="-92" w:leftChars="-44" w:right="315" w:rightChars="150" w:firstLine="525" w:firstLineChars="250"/>
        <w:rPr>
          <w:rFonts w:ascii="宋体" w:hAnsi="宋体"/>
          <w:color w:val="auto"/>
          <w:szCs w:val="21"/>
          <w:highlight w:val="none"/>
        </w:rPr>
      </w:pPr>
      <w:r>
        <w:rPr>
          <w:rFonts w:hint="eastAsia" w:ascii="宋体" w:hAnsi="宋体"/>
          <w:color w:val="auto"/>
          <w:szCs w:val="21"/>
          <w:highlight w:val="none"/>
        </w:rPr>
        <w:t>Q=“私募基金的基本情况”章节之“私募基金的份额分类”约定的比例；</w:t>
      </w:r>
    </w:p>
    <w:p w14:paraId="4EE80DEF">
      <w:pPr>
        <w:spacing w:line="360" w:lineRule="auto"/>
        <w:ind w:left="-92" w:leftChars="-44" w:right="315" w:rightChars="150" w:firstLine="525" w:firstLineChars="250"/>
        <w:rPr>
          <w:rFonts w:ascii="宋体" w:hAnsi="宋体"/>
          <w:color w:val="auto"/>
          <w:szCs w:val="21"/>
          <w:highlight w:val="none"/>
        </w:rPr>
      </w:pPr>
      <w:r>
        <w:rPr>
          <w:rFonts w:ascii="宋体" w:hAnsi="宋体"/>
          <w:color w:val="auto"/>
          <w:szCs w:val="21"/>
          <w:highlight w:val="none"/>
        </w:rPr>
        <w:t xml:space="preserve">R=（Tn - T0）/ T1 </w:t>
      </w:r>
      <w:r>
        <w:rPr>
          <w:rFonts w:hint="eastAsia" w:ascii="宋体" w:hAnsi="宋体"/>
          <w:color w:val="auto"/>
          <w:szCs w:val="21"/>
          <w:highlight w:val="none"/>
        </w:rPr>
        <w:t>×</w:t>
      </w:r>
      <w:r>
        <w:rPr>
          <w:rFonts w:ascii="宋体" w:hAnsi="宋体"/>
          <w:color w:val="auto"/>
          <w:szCs w:val="21"/>
          <w:highlight w:val="none"/>
        </w:rPr>
        <w:t xml:space="preserve"> 365 / T </w:t>
      </w:r>
      <w:r>
        <w:rPr>
          <w:rFonts w:hint="eastAsia" w:ascii="宋体" w:hAnsi="宋体"/>
          <w:color w:val="auto"/>
          <w:szCs w:val="21"/>
          <w:highlight w:val="none"/>
        </w:rPr>
        <w:t>×</w:t>
      </w:r>
      <w:r>
        <w:rPr>
          <w:rFonts w:ascii="宋体" w:hAnsi="宋体"/>
          <w:color w:val="auto"/>
          <w:szCs w:val="21"/>
          <w:highlight w:val="none"/>
        </w:rPr>
        <w:t>100%；</w:t>
      </w:r>
    </w:p>
    <w:p w14:paraId="376B6982">
      <w:pPr>
        <w:spacing w:line="360" w:lineRule="auto"/>
        <w:ind w:left="-92" w:leftChars="-44" w:right="315" w:rightChars="150" w:firstLine="525" w:firstLineChars="250"/>
        <w:rPr>
          <w:rFonts w:ascii="宋体" w:hAnsi="宋体"/>
          <w:color w:val="auto"/>
          <w:szCs w:val="21"/>
          <w:highlight w:val="none"/>
        </w:rPr>
      </w:pPr>
      <w:r>
        <w:rPr>
          <w:rFonts w:hint="eastAsia" w:ascii="宋体" w:hAnsi="宋体"/>
          <w:color w:val="auto"/>
          <w:szCs w:val="21"/>
          <w:highlight w:val="none"/>
        </w:rPr>
        <w:t>业绩报酬计提的条件为：</w:t>
      </w:r>
    </w:p>
    <w:p w14:paraId="2EBB7858">
      <w:pPr>
        <w:pStyle w:val="4"/>
        <w:rPr>
          <w:rFonts w:ascii="宋体" w:hAnsi="宋体"/>
          <w:color w:val="auto"/>
          <w:highlight w:val="none"/>
        </w:rPr>
      </w:pPr>
      <w:r>
        <w:rPr>
          <w:rFonts w:ascii="宋体" w:hAnsi="宋体"/>
          <w:color w:val="auto"/>
          <w:highlight w:val="none"/>
        </w:rPr>
        <w:t>在</w:t>
      </w:r>
      <w:r>
        <w:rPr>
          <w:rFonts w:hint="eastAsia" w:ascii="宋体" w:hAnsi="宋体"/>
          <w:color w:val="auto"/>
          <w:highlight w:val="none"/>
        </w:rPr>
        <w:t>R</w:t>
      </w:r>
      <w:r>
        <w:rPr>
          <w:rFonts w:ascii="宋体" w:hAnsi="宋体"/>
          <w:color w:val="auto"/>
          <w:highlight w:val="none"/>
        </w:rPr>
        <w:t>≤ 0时</w:t>
      </w:r>
      <w:r>
        <w:rPr>
          <w:rFonts w:hint="eastAsia" w:ascii="宋体" w:hAnsi="宋体"/>
          <w:color w:val="auto"/>
          <w:highlight w:val="none"/>
        </w:rPr>
        <w:t>，</w:t>
      </w:r>
      <w:r>
        <w:rPr>
          <w:rFonts w:ascii="宋体" w:hAnsi="宋体"/>
          <w:color w:val="auto"/>
          <w:highlight w:val="none"/>
        </w:rPr>
        <w:t>不提取业绩报酬</w:t>
      </w:r>
      <w:r>
        <w:rPr>
          <w:rFonts w:hint="eastAsia" w:ascii="宋体" w:hAnsi="宋体"/>
          <w:color w:val="auto"/>
          <w:highlight w:val="none"/>
        </w:rPr>
        <w:t>。</w:t>
      </w:r>
    </w:p>
    <w:p w14:paraId="690492D2">
      <w:pPr>
        <w:pStyle w:val="4"/>
        <w:rPr>
          <w:rFonts w:ascii="宋体" w:hAnsi="宋体"/>
          <w:color w:val="auto"/>
          <w:highlight w:val="none"/>
        </w:rPr>
      </w:pPr>
      <w:r>
        <w:rPr>
          <w:rFonts w:ascii="宋体" w:hAnsi="宋体"/>
          <w:color w:val="auto"/>
          <w:highlight w:val="none"/>
        </w:rPr>
        <w:t>在</w:t>
      </w:r>
      <w:r>
        <w:rPr>
          <w:rFonts w:hint="eastAsia" w:ascii="宋体" w:hAnsi="宋体"/>
          <w:color w:val="auto"/>
          <w:highlight w:val="none"/>
        </w:rPr>
        <w:t>R</w:t>
      </w:r>
      <w:r>
        <w:rPr>
          <w:rFonts w:ascii="宋体" w:hAnsi="宋体"/>
          <w:color w:val="auto"/>
          <w:highlight w:val="none"/>
        </w:rPr>
        <w:t>&gt; 0时</w:t>
      </w:r>
      <w:r>
        <w:rPr>
          <w:rFonts w:hint="eastAsia" w:ascii="宋体" w:hAnsi="宋体"/>
          <w:color w:val="auto"/>
          <w:highlight w:val="none"/>
        </w:rPr>
        <w:t>：</w:t>
      </w:r>
    </w:p>
    <w:p w14:paraId="6F816DBC">
      <w:pPr>
        <w:spacing w:line="360" w:lineRule="auto"/>
        <w:ind w:left="-92" w:leftChars="-44" w:right="315" w:rightChars="150" w:firstLine="525" w:firstLineChars="250"/>
        <w:rPr>
          <w:rFonts w:ascii="宋体" w:hAnsi="宋体"/>
          <w:color w:val="auto"/>
          <w:szCs w:val="21"/>
          <w:highlight w:val="none"/>
        </w:rPr>
      </w:pPr>
      <w:r>
        <w:rPr>
          <w:rFonts w:hint="eastAsia" w:ascii="宋体" w:hAnsi="宋体"/>
          <w:color w:val="auto"/>
          <w:szCs w:val="21"/>
          <w:highlight w:val="none"/>
        </w:rPr>
        <w:t>当</w:t>
      </w:r>
      <w:r>
        <w:rPr>
          <w:rFonts w:ascii="宋体" w:hAnsi="宋体"/>
          <w:color w:val="auto"/>
          <w:szCs w:val="21"/>
          <w:highlight w:val="none"/>
        </w:rPr>
        <w:t>0%&lt;R -B时，对超出业绩报酬计提基准部分提取</w:t>
      </w:r>
      <w:r>
        <w:rPr>
          <w:rFonts w:hint="eastAsia" w:ascii="宋体" w:hAnsi="宋体"/>
          <w:color w:val="auto"/>
          <w:szCs w:val="21"/>
          <w:highlight w:val="none"/>
        </w:rPr>
        <w:t>“私募基金的基本情况”章节之“私募基金的份额分类”约定的比例</w:t>
      </w:r>
      <w:r>
        <w:rPr>
          <w:rFonts w:ascii="宋体" w:hAnsi="宋体"/>
          <w:color w:val="auto"/>
          <w:szCs w:val="21"/>
          <w:highlight w:val="none"/>
        </w:rPr>
        <w:t>的业绩报酬，</w:t>
      </w:r>
      <w:r>
        <w:rPr>
          <w:rFonts w:hint="eastAsia" w:ascii="宋体" w:hAnsi="宋体"/>
          <w:color w:val="auto"/>
          <w:szCs w:val="21"/>
          <w:highlight w:val="none"/>
        </w:rPr>
        <w:t>且每笔份额可提取的业绩报酬上限为（</w:t>
      </w:r>
      <w:r>
        <w:rPr>
          <w:rFonts w:ascii="宋体" w:hAnsi="宋体"/>
          <w:color w:val="auto"/>
          <w:szCs w:val="21"/>
          <w:highlight w:val="none"/>
        </w:rPr>
        <w:t>T1×R</w:t>
      </w:r>
      <w:r>
        <w:rPr>
          <w:rFonts w:hint="eastAsia" w:ascii="宋体" w:hAnsi="宋体"/>
          <w:color w:val="auto"/>
          <w:szCs w:val="21"/>
          <w:highlight w:val="none"/>
        </w:rPr>
        <w:t>×</w:t>
      </w:r>
      <w:r>
        <w:rPr>
          <w:rFonts w:ascii="宋体" w:hAnsi="宋体"/>
          <w:color w:val="auto"/>
          <w:szCs w:val="21"/>
          <w:highlight w:val="none"/>
        </w:rPr>
        <w:t>T/365），即E=</w:t>
      </w:r>
      <w:r>
        <w:rPr>
          <w:rFonts w:hint="eastAsia" w:ascii="宋体" w:hAnsi="宋体"/>
          <w:color w:val="auto"/>
          <w:highlight w:val="none"/>
        </w:rPr>
        <w:t>Min{</w:t>
      </w:r>
      <w:r>
        <w:rPr>
          <w:rFonts w:ascii="宋体" w:hAnsi="宋体"/>
          <w:color w:val="auto"/>
          <w:szCs w:val="21"/>
          <w:highlight w:val="none"/>
        </w:rPr>
        <w:t>K</w:t>
      </w:r>
      <w:r>
        <w:rPr>
          <w:rFonts w:hint="eastAsia" w:ascii="宋体" w:hAnsi="宋体"/>
          <w:color w:val="auto"/>
          <w:szCs w:val="21"/>
          <w:highlight w:val="none"/>
        </w:rPr>
        <w:t>×</w:t>
      </w:r>
      <w:r>
        <w:rPr>
          <w:rFonts w:ascii="宋体" w:hAnsi="宋体"/>
          <w:color w:val="auto"/>
          <w:szCs w:val="21"/>
          <w:highlight w:val="none"/>
        </w:rPr>
        <w:t>T1×（R-B）×T/365×</w:t>
      </w:r>
      <w:r>
        <w:rPr>
          <w:rFonts w:hint="eastAsia" w:ascii="宋体" w:hAnsi="宋体"/>
          <w:color w:val="auto"/>
          <w:szCs w:val="21"/>
          <w:highlight w:val="none"/>
        </w:rPr>
        <w:t>Q</w:t>
      </w:r>
      <w:r>
        <w:rPr>
          <w:rFonts w:hint="eastAsia" w:ascii="宋体" w:hAnsi="宋体"/>
          <w:color w:val="auto"/>
          <w:highlight w:val="none"/>
        </w:rPr>
        <w:t>，K×</w:t>
      </w:r>
      <w:r>
        <w:rPr>
          <w:rFonts w:ascii="宋体" w:hAnsi="宋体"/>
          <w:color w:val="auto"/>
          <w:highlight w:val="none"/>
        </w:rPr>
        <w:t>T1</w:t>
      </w:r>
      <w:r>
        <w:rPr>
          <w:rFonts w:hint="eastAsia" w:ascii="宋体" w:hAnsi="宋体"/>
          <w:color w:val="auto"/>
          <w:highlight w:val="none"/>
        </w:rPr>
        <w:t>×R</w:t>
      </w:r>
      <w:r>
        <w:rPr>
          <w:rFonts w:hint="eastAsia" w:ascii="宋体" w:hAnsi="宋体"/>
          <w:color w:val="auto"/>
          <w:szCs w:val="21"/>
          <w:highlight w:val="none"/>
        </w:rPr>
        <w:t>×</w:t>
      </w:r>
      <w:r>
        <w:rPr>
          <w:rFonts w:ascii="宋体" w:hAnsi="宋体"/>
          <w:color w:val="auto"/>
          <w:szCs w:val="21"/>
          <w:highlight w:val="none"/>
        </w:rPr>
        <w:t>T/365</w:t>
      </w:r>
      <w:r>
        <w:rPr>
          <w:rFonts w:hint="eastAsia" w:ascii="宋体" w:hAnsi="宋体"/>
          <w:color w:val="auto"/>
          <w:highlight w:val="none"/>
        </w:rPr>
        <w:t>}</w:t>
      </w:r>
      <w:r>
        <w:rPr>
          <w:rFonts w:ascii="宋体" w:hAnsi="宋体"/>
          <w:color w:val="auto"/>
          <w:szCs w:val="21"/>
          <w:highlight w:val="none"/>
        </w:rPr>
        <w:t>；</w:t>
      </w:r>
    </w:p>
    <w:p w14:paraId="535BB145">
      <w:pPr>
        <w:spacing w:line="360" w:lineRule="auto"/>
        <w:ind w:left="-92" w:leftChars="-44" w:right="315" w:rightChars="150" w:firstLine="525" w:firstLineChars="250"/>
        <w:rPr>
          <w:rFonts w:hint="eastAsia" w:ascii="宋体" w:hAnsi="宋体"/>
          <w:color w:val="auto"/>
          <w:szCs w:val="21"/>
          <w:highlight w:val="none"/>
        </w:rPr>
      </w:pPr>
      <w:r>
        <w:rPr>
          <w:rFonts w:hint="eastAsia" w:ascii="宋体" w:hAnsi="宋体"/>
          <w:color w:val="auto"/>
          <w:szCs w:val="21"/>
          <w:highlight w:val="none"/>
        </w:rPr>
        <w:t>当</w:t>
      </w:r>
      <w:r>
        <w:rPr>
          <w:rFonts w:ascii="宋体" w:hAnsi="宋体"/>
          <w:color w:val="auto"/>
          <w:szCs w:val="21"/>
          <w:highlight w:val="none"/>
        </w:rPr>
        <w:t>R-B≤</w:t>
      </w:r>
      <w:r>
        <w:rPr>
          <w:rFonts w:hint="eastAsia" w:ascii="宋体" w:hAnsi="宋体"/>
          <w:color w:val="auto"/>
          <w:szCs w:val="21"/>
          <w:highlight w:val="none"/>
        </w:rPr>
        <w:t>【</w:t>
      </w:r>
      <w:r>
        <w:rPr>
          <w:rFonts w:ascii="宋体" w:hAnsi="宋体"/>
          <w:color w:val="auto"/>
          <w:szCs w:val="21"/>
          <w:highlight w:val="none"/>
        </w:rPr>
        <w:t xml:space="preserve">0% </w:t>
      </w:r>
      <w:r>
        <w:rPr>
          <w:rFonts w:hint="eastAsia" w:ascii="宋体" w:hAnsi="宋体"/>
          <w:color w:val="auto"/>
          <w:szCs w:val="21"/>
          <w:highlight w:val="none"/>
        </w:rPr>
        <w:t>】时，不提取业绩报酬。</w:t>
      </w:r>
    </w:p>
    <w:p w14:paraId="0317297D">
      <w:pPr>
        <w:spacing w:line="360" w:lineRule="auto"/>
        <w:ind w:left="0" w:leftChars="0" w:right="0" w:rightChars="0" w:firstLine="422" w:firstLineChars="200"/>
        <w:rPr>
          <w:rFonts w:hint="eastAsia" w:ascii="宋体" w:hAnsi="宋体"/>
          <w:color w:val="auto"/>
          <w:szCs w:val="21"/>
          <w:highlight w:val="none"/>
        </w:rPr>
      </w:pPr>
      <w:r>
        <w:rPr>
          <w:rFonts w:hint="eastAsia" w:ascii="宋体" w:hAnsi="宋体"/>
          <w:b/>
          <w:bCs/>
          <w:color w:val="auto"/>
          <w:szCs w:val="21"/>
          <w:highlight w:val="none"/>
        </w:rPr>
        <w:t>基金托管人不对业绩报酬的计算和计提承担任何责任，业绩报酬由【私募基金管理人或其委托的服务机构】负责计算及复核。</w:t>
      </w:r>
    </w:p>
    <w:p w14:paraId="7FAC7429">
      <w:pPr>
        <w:spacing w:line="360" w:lineRule="auto"/>
        <w:ind w:left="-92" w:leftChars="-44" w:right="315" w:rightChars="150" w:firstLine="525" w:firstLineChars="250"/>
        <w:rPr>
          <w:rFonts w:ascii="宋体" w:hAnsi="宋体"/>
          <w:color w:val="auto"/>
          <w:szCs w:val="21"/>
          <w:highlight w:val="none"/>
        </w:rPr>
      </w:pPr>
      <w:r>
        <w:rPr>
          <w:rFonts w:ascii="宋体" w:hAnsi="宋体"/>
          <w:color w:val="auto"/>
          <w:szCs w:val="21"/>
          <w:highlight w:val="none"/>
        </w:rPr>
        <w:t>2）分红提取业绩报酬</w:t>
      </w:r>
    </w:p>
    <w:p w14:paraId="15F14FC5">
      <w:pPr>
        <w:spacing w:line="360" w:lineRule="auto"/>
        <w:ind w:left="-92" w:leftChars="-44" w:right="315" w:rightChars="150" w:firstLine="525" w:firstLineChars="250"/>
        <w:rPr>
          <w:rFonts w:ascii="宋体" w:hAnsi="宋体"/>
          <w:color w:val="auto"/>
          <w:szCs w:val="21"/>
          <w:highlight w:val="none"/>
        </w:rPr>
      </w:pPr>
      <w:r>
        <w:rPr>
          <w:rFonts w:hint="eastAsia" w:ascii="宋体" w:hAnsi="宋体"/>
          <w:color w:val="auto"/>
          <w:szCs w:val="21"/>
          <w:highlight w:val="none"/>
        </w:rPr>
        <w:t>当发生分红时，私募基金管理人先按“赎回、基金清算时提取业绩报酬”的方法计算每个基金份额持有人的应计提业绩报酬金额，然后在派发分红时从分红金额中扣除业绩报酬；当分红金额不足以扣除业绩报酬时，以分红金额为限进行扣除。</w:t>
      </w:r>
    </w:p>
    <w:p w14:paraId="658DEA3E">
      <w:pPr>
        <w:spacing w:line="360" w:lineRule="auto"/>
        <w:ind w:left="-92" w:leftChars="-44" w:right="315" w:rightChars="150" w:firstLine="525" w:firstLineChars="250"/>
        <w:rPr>
          <w:rFonts w:ascii="宋体" w:hAnsi="宋体"/>
          <w:color w:val="auto"/>
          <w:szCs w:val="21"/>
          <w:highlight w:val="none"/>
        </w:rPr>
      </w:pPr>
      <w:r>
        <w:rPr>
          <w:rFonts w:hint="eastAsia" w:ascii="宋体" w:hAnsi="宋体"/>
          <w:color w:val="auto"/>
          <w:szCs w:val="21"/>
          <w:highlight w:val="none"/>
        </w:rPr>
        <w:t>业绩报酬的计算保留到小数点后</w:t>
      </w:r>
      <w:r>
        <w:rPr>
          <w:rFonts w:ascii="宋体" w:hAnsi="宋体"/>
          <w:color w:val="auto"/>
          <w:szCs w:val="21"/>
          <w:highlight w:val="none"/>
        </w:rPr>
        <w:t>2位，小数点后第3位四舍五入，由此带来的收益和损失归入基金资产。</w:t>
      </w:r>
    </w:p>
    <w:p w14:paraId="106036C6">
      <w:pPr>
        <w:spacing w:line="360" w:lineRule="auto"/>
        <w:ind w:left="-92" w:leftChars="-44" w:right="315" w:rightChars="150" w:firstLine="525" w:firstLineChars="250"/>
        <w:rPr>
          <w:rFonts w:ascii="宋体" w:hAnsi="宋体"/>
          <w:color w:val="auto"/>
          <w:szCs w:val="21"/>
          <w:highlight w:val="none"/>
        </w:rPr>
      </w:pPr>
      <w:r>
        <w:rPr>
          <w:rFonts w:ascii="宋体" w:hAnsi="宋体"/>
          <w:color w:val="auto"/>
          <w:szCs w:val="21"/>
          <w:highlight w:val="none"/>
        </w:rPr>
        <w:t>3）业绩报酬的支付</w:t>
      </w:r>
    </w:p>
    <w:p w14:paraId="56221322">
      <w:pPr>
        <w:spacing w:line="360" w:lineRule="auto"/>
        <w:ind w:left="-92" w:leftChars="-44" w:right="315" w:rightChars="150" w:firstLine="525" w:firstLineChars="250"/>
        <w:rPr>
          <w:rFonts w:ascii="宋体" w:hAnsi="宋体"/>
          <w:color w:val="auto"/>
          <w:szCs w:val="21"/>
          <w:highlight w:val="none"/>
        </w:rPr>
      </w:pPr>
      <w:r>
        <w:rPr>
          <w:rFonts w:hint="eastAsia" w:ascii="宋体" w:hAnsi="宋体"/>
          <w:color w:val="auto"/>
          <w:szCs w:val="21"/>
          <w:highlight w:val="none"/>
        </w:rPr>
        <w:t>业绩报酬由【私募基金管理人或运营服务机构】负责计算及复核，并由私募基金管理人在单个基金份额持有人【分红或赎回或清算】款项（以下简称“退出金额”）中分别予以相应扣除，即退出金额支付日，私募基金托管人根据私募基金管理人的指令将退出金额（含业绩报酬）划拨到基金募集账户，私募基金管理人扣除归其所有的应计提业绩报酬后，将剩余的退出金额支付给基金份额持有人。</w:t>
      </w:r>
    </w:p>
    <w:p w14:paraId="27BA230C">
      <w:pPr>
        <w:spacing w:line="360" w:lineRule="auto"/>
        <w:ind w:firstLine="422" w:firstLineChars="200"/>
        <w:rPr>
          <w:rFonts w:hint="eastAsia" w:ascii="宋体" w:hAnsi="宋体"/>
          <w:b/>
          <w:color w:val="auto"/>
          <w:szCs w:val="21"/>
          <w:highlight w:val="none"/>
        </w:rPr>
      </w:pPr>
      <w:r>
        <w:rPr>
          <w:rFonts w:hint="eastAsia" w:ascii="宋体" w:hAnsi="宋体"/>
          <w:b/>
          <w:color w:val="auto"/>
          <w:szCs w:val="21"/>
          <w:highlight w:val="none"/>
        </w:rPr>
        <w:t>业绩报酬（如有）收取账户为本合同约定的私募基金管理人管理费收取账户。</w:t>
      </w:r>
    </w:p>
    <w:p w14:paraId="11FD1CDE">
      <w:pPr>
        <w:adjustRightInd w:val="0"/>
        <w:snapToGrid w:val="0"/>
        <w:spacing w:before="93" w:beforeLines="30" w:after="93" w:afterLines="30" w:line="360" w:lineRule="auto"/>
        <w:ind w:firstLine="420" w:firstLineChars="200"/>
        <w:rPr>
          <w:rFonts w:hint="eastAsia" w:ascii="宋体" w:hAnsi="宋体" w:eastAsia="宋体" w:cs="宋体"/>
          <w:b/>
          <w:bCs/>
          <w:color w:val="auto"/>
          <w:sz w:val="21"/>
          <w:szCs w:val="21"/>
          <w:highlight w:val="none"/>
        </w:rPr>
      </w:pPr>
      <w:r>
        <w:rPr>
          <w:rFonts w:hint="eastAsia" w:ascii="宋体" w:hAnsi="宋体" w:eastAsia="宋体" w:cs="宋体"/>
          <w:color w:val="auto"/>
          <w:sz w:val="21"/>
          <w:szCs w:val="21"/>
          <w:highlight w:val="none"/>
        </w:rPr>
        <w:t>5、销售服务费</w:t>
      </w:r>
    </w:p>
    <w:p w14:paraId="2054397E">
      <w:pPr>
        <w:adjustRightInd w:val="0"/>
        <w:snapToGrid w:val="0"/>
        <w:spacing w:before="93" w:beforeLines="30" w:after="93" w:afterLines="30" w:line="360" w:lineRule="auto"/>
        <w:ind w:firstLine="422" w:firstLineChars="200"/>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本基金对B、C、D类份额不收取销售服务费，仅对A类份额收取销售服务费。</w:t>
      </w:r>
    </w:p>
    <w:p w14:paraId="4C9EC0DF">
      <w:pPr>
        <w:adjustRightInd w:val="0"/>
        <w:snapToGrid w:val="0"/>
        <w:spacing w:before="93" w:beforeLines="30" w:after="93" w:afterLines="30" w:line="360" w:lineRule="auto"/>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本基金的销售服务费率详见“基金的基本情况”章节之“基金的份额分类”。计算方法如下：</w:t>
      </w:r>
    </w:p>
    <w:p w14:paraId="2E751F9C">
      <w:pPr>
        <w:adjustRightInd w:val="0"/>
        <w:snapToGrid w:val="0"/>
        <w:spacing w:before="93" w:beforeLines="30" w:after="93" w:afterLines="30" w:line="360" w:lineRule="auto"/>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H＝E×各类份额销售服务费率÷N</w:t>
      </w:r>
    </w:p>
    <w:p w14:paraId="0D945197">
      <w:pPr>
        <w:adjustRightInd w:val="0"/>
        <w:snapToGrid w:val="0"/>
        <w:spacing w:before="93" w:beforeLines="30" w:after="93" w:afterLines="30" w:line="360" w:lineRule="auto"/>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H：每日应计提的各类份额销售服务费</w:t>
      </w:r>
    </w:p>
    <w:p w14:paraId="0139BF1F">
      <w:pPr>
        <w:adjustRightInd w:val="0"/>
        <w:snapToGrid w:val="0"/>
        <w:spacing w:before="93" w:beforeLines="30" w:after="93" w:afterLines="30" w:line="360" w:lineRule="auto"/>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E：前一自然日的各类份额基金资产净值</w:t>
      </w:r>
    </w:p>
    <w:p w14:paraId="5DD003F4">
      <w:pPr>
        <w:adjustRightInd w:val="0"/>
        <w:snapToGrid w:val="0"/>
        <w:spacing w:before="93" w:beforeLines="30" w:after="93" w:afterLines="30" w:line="360" w:lineRule="auto"/>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N：当年天数</w:t>
      </w:r>
    </w:p>
    <w:p w14:paraId="3212D5E2">
      <w:pPr>
        <w:adjustRightInd w:val="0"/>
        <w:snapToGrid w:val="0"/>
        <w:spacing w:before="93" w:beforeLines="30" w:after="93" w:afterLines="30" w:line="360" w:lineRule="auto"/>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本基金的销售服务费自基金成立日起，每日计提，按季支付给</w:t>
      </w:r>
      <w:r>
        <w:rPr>
          <w:rFonts w:hint="eastAsia" w:ascii="宋体" w:hAnsi="宋体" w:eastAsia="宋体" w:cs="宋体"/>
          <w:color w:val="auto"/>
          <w:sz w:val="21"/>
          <w:szCs w:val="21"/>
          <w:highlight w:val="none"/>
          <w:lang w:val="en-US" w:eastAsia="zh-CN"/>
        </w:rPr>
        <w:t>代销机构</w:t>
      </w:r>
      <w:r>
        <w:rPr>
          <w:rFonts w:hint="eastAsia" w:ascii="宋体" w:hAnsi="宋体" w:eastAsia="宋体" w:cs="宋体"/>
          <w:color w:val="auto"/>
          <w:sz w:val="21"/>
          <w:szCs w:val="21"/>
          <w:highlight w:val="none"/>
        </w:rPr>
        <w:t>。由基金托管人根据与基金管理人核对一致的财务数据，自动在下个自然季度起按照指定的账户路径进行资金支付，直至支付完毕，基金管理人无需再出具资金划拨指令，但应对托管资金账户的现金头寸进行管理，并自行解决由于费用自动支付可能产生的其他头寸问题。费用自动扣划后，基金管理人应进行核对，如发现数据不符，及时联系基金托管人协商解决。</w:t>
      </w:r>
    </w:p>
    <w:p w14:paraId="22C03C9B">
      <w:pPr>
        <w:adjustRightInd w:val="0"/>
        <w:snapToGrid w:val="0"/>
        <w:spacing w:before="93" w:beforeLines="30" w:after="93" w:afterLines="30" w:line="379" w:lineRule="auto"/>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销售服务费收款账户：</w:t>
      </w:r>
    </w:p>
    <w:p w14:paraId="4B8DAAA0">
      <w:pPr>
        <w:adjustRightInd w:val="0"/>
        <w:snapToGrid w:val="0"/>
        <w:spacing w:before="93" w:beforeLines="30" w:after="93" w:afterLines="30" w:line="379" w:lineRule="auto"/>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账户名称：华福证券股份有限公司</w:t>
      </w:r>
    </w:p>
    <w:p w14:paraId="1E4A3CBF">
      <w:pPr>
        <w:adjustRightInd w:val="0"/>
        <w:snapToGrid w:val="0"/>
        <w:spacing w:before="93" w:beforeLines="30" w:after="93" w:afterLines="30" w:line="379" w:lineRule="auto"/>
        <w:ind w:firstLine="420" w:firstLineChars="200"/>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账号：</w:t>
      </w:r>
      <w:r>
        <w:rPr>
          <w:rFonts w:hint="eastAsia" w:ascii="宋体" w:hAnsi="宋体" w:cs="宋体"/>
          <w:color w:val="auto"/>
          <w:sz w:val="21"/>
          <w:szCs w:val="21"/>
          <w:highlight w:val="none"/>
          <w:lang w:val="en-US" w:eastAsia="zh-CN"/>
        </w:rPr>
        <w:t>820000000000000</w:t>
      </w:r>
    </w:p>
    <w:p w14:paraId="747F5CF6">
      <w:pPr>
        <w:spacing w:line="360" w:lineRule="auto"/>
        <w:ind w:firstLine="420" w:firstLineChars="200"/>
        <w:rPr>
          <w:rFonts w:hint="eastAsia" w:ascii="宋体" w:hAnsi="宋体"/>
          <w:b/>
          <w:color w:val="auto"/>
          <w:szCs w:val="21"/>
          <w:highlight w:val="none"/>
        </w:rPr>
      </w:pPr>
      <w:r>
        <w:rPr>
          <w:rFonts w:hint="eastAsia" w:ascii="宋体" w:hAnsi="宋体" w:eastAsia="宋体" w:cs="宋体"/>
          <w:color w:val="auto"/>
          <w:sz w:val="21"/>
          <w:szCs w:val="21"/>
          <w:highlight w:val="none"/>
        </w:rPr>
        <w:t>开户银行全称：中国建设银行股份有限公司福州城东支行</w:t>
      </w:r>
    </w:p>
    <w:p w14:paraId="6C1D283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上述（一）中所列其他费用根据有关法规及相关协议规定，按费用实际支出金额列入当期费用，由基金托管人从基金财产中支付。其中，证券账户开户费若由托管人在开户时先行垫付，托管人在本基金存续期间内自动从基金资产中扣划，基金管理人无需再出具资金划拨指令。费用自动扣划后，基金管理人应进行核对，如发现数据不符，及时联系基金托管人协商解决。</w:t>
      </w:r>
    </w:p>
    <w:p w14:paraId="4A1E40E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其中，基金管理人费用收入银行账户信息如下（账户信息如有变更，管理人可单独决定而无须变更本基金合同，但须在账户信息变更生效时通知基金托管人）：</w:t>
      </w:r>
    </w:p>
    <w:p w14:paraId="0C251AB3">
      <w:pPr>
        <w:adjustRightInd w:val="0"/>
        <w:snapToGrid w:val="0"/>
        <w:spacing w:before="93" w:beforeLines="30" w:after="93" w:afterLines="30" w:line="379"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rPr>
        <w:t>账户名称：</w:t>
      </w:r>
      <w:r>
        <w:rPr>
          <w:rFonts w:hint="eastAsia" w:asciiTheme="minorEastAsia" w:hAnsiTheme="minorEastAsia" w:eastAsiaTheme="minorEastAsia"/>
          <w:color w:val="auto"/>
          <w:szCs w:val="21"/>
          <w:highlight w:val="none"/>
          <w:lang w:eastAsia="zh-CN"/>
        </w:rPr>
        <w:t>北京石云科技有限公司</w:t>
      </w:r>
    </w:p>
    <w:p w14:paraId="175289CD">
      <w:pPr>
        <w:adjustRightInd w:val="0"/>
        <w:snapToGrid w:val="0"/>
        <w:spacing w:before="93" w:beforeLines="30" w:after="93" w:afterLines="30" w:line="379"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账号：</w:t>
      </w:r>
      <w:r>
        <w:rPr>
          <w:rFonts w:hint="eastAsia" w:ascii="宋体" w:hAnsi="宋体" w:cs="宋体"/>
          <w:color w:val="auto"/>
          <w:sz w:val="21"/>
          <w:szCs w:val="21"/>
          <w:highlight w:val="none"/>
          <w:lang w:val="en-US" w:eastAsia="zh-CN"/>
        </w:rPr>
        <w:t>20000000000000</w:t>
      </w:r>
    </w:p>
    <w:p w14:paraId="25120CAD">
      <w:pPr>
        <w:adjustRightInd w:val="0"/>
        <w:snapToGrid w:val="0"/>
        <w:spacing w:before="93" w:beforeLines="30" w:after="93" w:afterLines="30" w:line="360" w:lineRule="auto"/>
        <w:ind w:firstLine="420"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color w:val="auto"/>
          <w:szCs w:val="21"/>
          <w:highlight w:val="none"/>
        </w:rPr>
        <w:t>开户银行全称：浙江泰隆商业银行股份有限公司上海浦东支行</w:t>
      </w:r>
    </w:p>
    <w:p w14:paraId="541B2BC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（三）不列入基金业务费用的项目</w:t>
      </w:r>
    </w:p>
    <w:p w14:paraId="6A63E8F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1、基金管理人和基金托管人因未履行或未完全履行义务导致的费用支出或基金财产的损失。</w:t>
      </w:r>
    </w:p>
    <w:p w14:paraId="383556A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2、基金管理人和基金托管人处理与基金财产运作无关的事项发生的费用。</w:t>
      </w:r>
    </w:p>
    <w:p w14:paraId="3247C94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3、其他根据相关法律法规及监管机构的有关规定不得列入基金费用的项目。</w:t>
      </w:r>
    </w:p>
    <w:p w14:paraId="147837F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（四）费率调整</w:t>
      </w:r>
    </w:p>
    <w:p w14:paraId="782E4C8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基金管理人与基金托管人协商一致，可下调托管费率和基金服务费率（若下调基金服务费率，还需与服务机构协商一致）。</w:t>
      </w:r>
    </w:p>
    <w:p w14:paraId="2369675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对上述费率的调整生效后，基金管理人按照本合同的约定向基金份额持有人披露变更的具体内容。</w:t>
      </w:r>
    </w:p>
    <w:p w14:paraId="2D3BACC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（五）基金的税收</w:t>
      </w:r>
    </w:p>
    <w:p w14:paraId="26D7E8D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本基金运作过程中涉及的各纳税主体及扣缴主体，其纳税义务及扣缴义务按国家税收法律、法规，由其各自承担、缴纳或扣缴。</w:t>
      </w:r>
    </w:p>
    <w:p w14:paraId="1260741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鉴于基金管理人为本基金的利益，投资、运用委托财产过程中，可能因法律法规、税收政策的要求而成为纳税义务人，就归属于基金的投资收益、投资回报和/或本金承担纳税义务。因此，本基金运营过程中由于上述原因发生的增值税及相关附加等税负，仍由本基金委托财产承担。基金管理人有权在本基金每次收益分配前或基金清算时从基金中先行提取一定金额作为税费备用资金，具体金额由基金管理人根据届时情况确定，提取总额不得超过本基金应缴税费金额。基金管理人可通过本基金托管账户直接缴付税费，或划付至基金管理人账户并由基金管理人依据税务部门要求完成税款申报缴纳。如果本基金托管账户受现金流动性限制无法足额现金缴纳上述税款，在征得基金份额持有人同意的前提下，基金管理人有权要求基金份额持有人向基金托管账户提供流动性支持，以按期足额缴付/划付相关税款。如果基金管理人以固有财产垫付本基金运营过程中产生的增值税或其他税费（如有）的，则基金管理人有权从委托财产中优先受偿。本基金清算后若基金管理人被税务机关要求补缴应由委托财产承担的上述税费的，则基金管理人有权向基金份额持有人就补缴金额进行追偿。</w:t>
      </w:r>
    </w:p>
    <w:p w14:paraId="1797C767">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从委托财产中获得的各项收益产生的税费，由基金份额持有人根据国家法律法规的规定自行承担。根据法律法规或主管税务机关规定，基金管理人应当就基金份额持有人获得收益所产生的税费履行代扣代缴义务的，则基金管理人有权根据届时有效的规定对基金份额持有人代扣代缴相关税费。基金管理人、基金托管人就其取得的基金管理费、托管费，依据法律法规规定履行各自的纳税义务。若届时国家税收相关法律法规发生调整变化，则依据其规定执行。</w:t>
      </w:r>
    </w:p>
    <w:p w14:paraId="753344A9">
      <w:pPr>
        <w:pStyle w:val="3"/>
        <w:keepNext w:val="0"/>
        <w:keepLines w:val="0"/>
        <w:adjustRightInd w:val="0"/>
        <w:snapToGrid w:val="0"/>
        <w:spacing w:before="312" w:beforeLines="100" w:after="312" w:afterLines="100" w:line="348" w:lineRule="auto"/>
        <w:jc w:val="center"/>
        <w:rPr>
          <w:rFonts w:asciiTheme="minorEastAsia" w:hAnsiTheme="minorEastAsia" w:eastAsiaTheme="minorEastAsia"/>
          <w:color w:val="auto"/>
          <w:sz w:val="28"/>
          <w:szCs w:val="28"/>
          <w:highlight w:val="none"/>
        </w:rPr>
      </w:pPr>
      <w:bookmarkStart w:id="63" w:name="_Toc194741919"/>
      <w:bookmarkStart w:id="64" w:name="_Toc459392420"/>
      <w:r>
        <w:rPr>
          <w:rFonts w:hint="eastAsia" w:asciiTheme="minorEastAsia" w:hAnsiTheme="minorEastAsia" w:eastAsiaTheme="minorEastAsia"/>
          <w:color w:val="auto"/>
          <w:sz w:val="28"/>
          <w:szCs w:val="28"/>
          <w:highlight w:val="none"/>
        </w:rPr>
        <w:t>十八、基金的收益分配</w:t>
      </w:r>
      <w:bookmarkEnd w:id="63"/>
      <w:bookmarkEnd w:id="64"/>
    </w:p>
    <w:p w14:paraId="45CE224A">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（一）基金利润的构成</w:t>
      </w:r>
    </w:p>
    <w:p w14:paraId="590931BD">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各类基金份额利润指各类基金份额的利息收入、投资收益、公允价值变动损益和其他收入扣除各类基金份额的相关费用后的余额，各类基金份额的已实现收益指各类基金份额利润减去公允价值变动损益后的余额。</w:t>
      </w:r>
    </w:p>
    <w:p w14:paraId="1A2C98D3">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各类基金份额收益分配的基准为各类基金份额的累计未支付利润。各类基金份额的累计未支付利润是指各类基金份额的利息收入、投资收益、公允价值变动收益及其他收入等基金运作产生的各项收入扣除各类基金份额的管理费、托管费、基金服务费等基金运作产生的各项费用后的余额。</w:t>
      </w:r>
    </w:p>
    <w:p w14:paraId="3E9393AD">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（二）基金收益分配原则</w:t>
      </w:r>
    </w:p>
    <w:p w14:paraId="0F591D9C">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1、在符合有关基金分红条件的前提下，基金管理人有权决定是否对基金进行收益分配，收益分配的基准、时间、比例亦由基金管理人决定；</w:t>
      </w:r>
    </w:p>
    <w:p w14:paraId="0D4A6255">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2、本基金的收益分配可以采取现金分红或红利再投资等方式，本基金默认的收益分配方式为红利再投资，基金份额持有人需要修改收益分配方式，需提前通知管理人提出申请；</w:t>
      </w:r>
    </w:p>
    <w:p w14:paraId="36E88324">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3、基金收益分配后各类基金份额净值不能低于面值；即基金收益分配基准日的各类基金份额净值减去每单位各类基金份额收益分配金额后不能低于面值；</w:t>
      </w:r>
    </w:p>
    <w:p w14:paraId="6C1DAFA8">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4、每份同类基金份额享有同等分配权；</w:t>
      </w:r>
    </w:p>
    <w:p w14:paraId="76C49C67">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5、法律法规或监管机关另有规定的，从其规定。</w:t>
      </w:r>
    </w:p>
    <w:p w14:paraId="65B0955A">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（三）收益分配方案</w:t>
      </w:r>
    </w:p>
    <w:p w14:paraId="47E93077">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基金收益分配方案中应载明截止收益分配基准日的可供分配利润、基金收益分配对象、分配时间、分配数额及比例、分配方式等内容。</w:t>
      </w:r>
    </w:p>
    <w:p w14:paraId="7EAE7435">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（四）收益分配方案的确定、通知与实施</w:t>
      </w:r>
    </w:p>
    <w:p w14:paraId="29E3FF94">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1、本基金收益分配方案由基金管理人拟定，并由基金管理人在基金托管人复核后以约定的形式通知基金份额持有人。</w:t>
      </w:r>
    </w:p>
    <w:p w14:paraId="6FAFFF67">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在收益分配方案通知基金份额持有人后，如涉及现金分红的方式，基金管理人依据具体方案的规定就支付的现金红利向基金托管人发送划款指令，基金托管人按照基金管理人的指令及时进行分红资金的划付；如涉及红利再投资的方式，基金份额持有人所转换的基金份额将以分红除权日的基金份额净值为计算基准确定再投资份额，红利再投资所转换的基金份额将直接记入其基金账户。</w:t>
      </w:r>
    </w:p>
    <w:p w14:paraId="01A04D24">
      <w:pPr>
        <w:pStyle w:val="3"/>
        <w:keepNext w:val="0"/>
        <w:keepLines w:val="0"/>
        <w:adjustRightInd w:val="0"/>
        <w:snapToGrid w:val="0"/>
        <w:spacing w:before="312" w:beforeLines="100" w:after="312" w:afterLines="100" w:line="348" w:lineRule="auto"/>
        <w:jc w:val="center"/>
        <w:rPr>
          <w:rFonts w:asciiTheme="minorEastAsia" w:hAnsiTheme="minorEastAsia" w:eastAsiaTheme="minorEastAsia"/>
          <w:color w:val="auto"/>
          <w:sz w:val="28"/>
          <w:szCs w:val="28"/>
          <w:highlight w:val="none"/>
        </w:rPr>
      </w:pPr>
      <w:bookmarkStart w:id="65" w:name="_Toc194741920"/>
      <w:bookmarkStart w:id="66" w:name="_Toc459392421"/>
      <w:r>
        <w:rPr>
          <w:rFonts w:hint="eastAsia" w:asciiTheme="minorEastAsia" w:hAnsiTheme="minorEastAsia" w:eastAsiaTheme="minorEastAsia"/>
          <w:color w:val="auto"/>
          <w:sz w:val="28"/>
          <w:szCs w:val="28"/>
          <w:highlight w:val="none"/>
        </w:rPr>
        <w:t>十九、</w:t>
      </w:r>
      <w:bookmarkEnd w:id="65"/>
      <w:r>
        <w:rPr>
          <w:rFonts w:hint="eastAsia" w:asciiTheme="minorEastAsia" w:hAnsiTheme="minorEastAsia" w:eastAsiaTheme="minorEastAsia"/>
          <w:color w:val="auto"/>
          <w:sz w:val="28"/>
          <w:szCs w:val="28"/>
          <w:highlight w:val="none"/>
        </w:rPr>
        <w:t>基金的信息披露与报告</w:t>
      </w:r>
      <w:bookmarkEnd w:id="66"/>
    </w:p>
    <w:p w14:paraId="616A74F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w:t>
      </w:r>
      <w:r>
        <w:rPr>
          <w:rFonts w:asciiTheme="minorEastAsia" w:hAnsiTheme="minorEastAsia" w:eastAsiaTheme="minorEastAsia"/>
          <w:color w:val="auto"/>
          <w:szCs w:val="21"/>
          <w:highlight w:val="none"/>
        </w:rPr>
        <w:t>本基金的信息披露应符合《基金法》《私募办法》《私募投资基金信息披露管理办法》《私募投资基金登记备案办法》及相关自律规则的规定。</w:t>
      </w:r>
      <w:r>
        <w:rPr>
          <w:rFonts w:hint="eastAsia" w:asciiTheme="minorEastAsia" w:hAnsiTheme="minorEastAsia" w:eastAsiaTheme="minorEastAsia"/>
          <w:color w:val="auto"/>
          <w:szCs w:val="21"/>
          <w:highlight w:val="none"/>
        </w:rPr>
        <w:t>如中国证监会、中国基金业协会更新了私募基金信息披露规则或制定了其他相关规则，则从其规则执行。</w:t>
      </w:r>
    </w:p>
    <w:p w14:paraId="40B8B352">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w:t>
      </w:r>
      <w:r>
        <w:rPr>
          <w:rFonts w:asciiTheme="minorEastAsia" w:hAnsiTheme="minorEastAsia" w:eastAsiaTheme="minorEastAsia"/>
          <w:color w:val="auto"/>
          <w:szCs w:val="21"/>
          <w:highlight w:val="none"/>
        </w:rPr>
        <w:t>基金管理人为本基金信息披露义务人。基金管理人委托第三方机构代为披露信息或者提供信息披露渠道的，基金管理人作为信息披露义务人依法应当承担的责任和信息披露义务不因委托而免除。基金管理人应当保证所披露信息（包括基金财务信息及非财务信息）的真实性、准确性和完整性，基金管理人披露基金信息不真实、不准确、不完整而产生的责任由基金管理人自行承担。</w:t>
      </w:r>
    </w:p>
    <w:p w14:paraId="49DCCA5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w:t>
      </w:r>
      <w:r>
        <w:rPr>
          <w:rFonts w:asciiTheme="minorEastAsia" w:hAnsiTheme="minorEastAsia" w:eastAsiaTheme="minorEastAsia"/>
          <w:color w:val="auto"/>
          <w:szCs w:val="21"/>
          <w:highlight w:val="none"/>
        </w:rPr>
        <w:t>托管人不负有直接向</w:t>
      </w:r>
      <w:r>
        <w:rPr>
          <w:rFonts w:hint="eastAsia" w:asciiTheme="minorEastAsia" w:hAnsiTheme="minorEastAsia" w:eastAsiaTheme="minorEastAsia"/>
          <w:color w:val="auto"/>
          <w:szCs w:val="21"/>
          <w:highlight w:val="none"/>
        </w:rPr>
        <w:t>基金</w:t>
      </w:r>
      <w:r>
        <w:rPr>
          <w:rFonts w:asciiTheme="minorEastAsia" w:hAnsiTheme="minorEastAsia" w:eastAsiaTheme="minorEastAsia"/>
          <w:color w:val="auto"/>
          <w:szCs w:val="21"/>
          <w:highlight w:val="none"/>
        </w:rPr>
        <w:t>投资者披露基金信息的义务。因基金信息披露不真实、不准确、不完整或不及时等原因造成的任何争议或损失，由</w:t>
      </w:r>
      <w:r>
        <w:rPr>
          <w:rFonts w:hint="eastAsia" w:asciiTheme="minorEastAsia" w:hAnsiTheme="minorEastAsia" w:eastAsiaTheme="minorEastAsia"/>
          <w:color w:val="auto"/>
          <w:szCs w:val="21"/>
          <w:highlight w:val="none"/>
        </w:rPr>
        <w:t>基金</w:t>
      </w:r>
      <w:r>
        <w:rPr>
          <w:rFonts w:asciiTheme="minorEastAsia" w:hAnsiTheme="minorEastAsia" w:eastAsiaTheme="minorEastAsia"/>
          <w:color w:val="auto"/>
          <w:szCs w:val="21"/>
          <w:highlight w:val="none"/>
        </w:rPr>
        <w:t>管理人负责解决并承担相应的法律责任。</w:t>
      </w:r>
    </w:p>
    <w:p w14:paraId="1BD9D0D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三</w:t>
      </w:r>
      <w:r>
        <w:rPr>
          <w:rFonts w:asciiTheme="minorEastAsia" w:hAnsiTheme="minorEastAsia" w:eastAsiaTheme="minorEastAsia"/>
          <w:color w:val="auto"/>
          <w:szCs w:val="21"/>
          <w:highlight w:val="none"/>
        </w:rPr>
        <w:t>）基金管理人定期信息披露</w:t>
      </w:r>
    </w:p>
    <w:p w14:paraId="7EA54C2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1、净值报告披露</w:t>
      </w:r>
    </w:p>
    <w:p w14:paraId="3CA55C8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基金管理人每月将经基金托管人复核的上月最后一个交易日的基金份额净值</w:t>
      </w:r>
      <w:r>
        <w:rPr>
          <w:rFonts w:hint="eastAsia" w:asciiTheme="minorEastAsia" w:hAnsiTheme="minorEastAsia" w:eastAsiaTheme="minorEastAsia"/>
          <w:color w:val="auto"/>
          <w:szCs w:val="21"/>
          <w:highlight w:val="none"/>
        </w:rPr>
        <w:t>、各类别基金份额净值</w:t>
      </w:r>
      <w:r>
        <w:rPr>
          <w:rFonts w:asciiTheme="minorEastAsia" w:hAnsiTheme="minorEastAsia" w:eastAsiaTheme="minorEastAsia"/>
          <w:color w:val="auto"/>
          <w:szCs w:val="21"/>
          <w:highlight w:val="none"/>
        </w:rPr>
        <w:t>以各方认可的形式提交基金份额持有人。</w:t>
      </w:r>
      <w:r>
        <w:rPr>
          <w:rFonts w:hint="eastAsia" w:ascii="宋体" w:hAnsi="宋体"/>
          <w:color w:val="auto"/>
          <w:szCs w:val="21"/>
          <w:highlight w:val="none"/>
        </w:rPr>
        <w:t>本基金存续期间内，基金规模达到</w:t>
      </w:r>
      <w:r>
        <w:rPr>
          <w:rFonts w:ascii="宋体" w:hAnsi="宋体"/>
          <w:color w:val="auto"/>
          <w:szCs w:val="21"/>
          <w:highlight w:val="none"/>
        </w:rPr>
        <w:t>5000万元以上的，私募基金管理人应当自基金规模达到5000万元之日起，持续在每月结束之日起5个工作日内向基金份额持有人披露基金净值信息。</w:t>
      </w:r>
    </w:p>
    <w:p w14:paraId="3A07ACE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2、季度报告披露</w:t>
      </w:r>
    </w:p>
    <w:p w14:paraId="37C0E7F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本基金存</w:t>
      </w:r>
      <w:r>
        <w:rPr>
          <w:rFonts w:hint="eastAsia" w:asciiTheme="minorEastAsia" w:hAnsiTheme="minorEastAsia" w:eastAsiaTheme="minorEastAsia"/>
          <w:color w:val="auto"/>
          <w:szCs w:val="21"/>
          <w:highlight w:val="none"/>
        </w:rPr>
        <w:t>续</w:t>
      </w:r>
      <w:r>
        <w:rPr>
          <w:rFonts w:asciiTheme="minorEastAsia" w:hAnsiTheme="minorEastAsia" w:eastAsiaTheme="minorEastAsia"/>
          <w:color w:val="auto"/>
          <w:szCs w:val="21"/>
          <w:highlight w:val="none"/>
        </w:rPr>
        <w:t>期间，基金管理人应当在每季度结束之日起10个工作日以内向投资者披露季度报告，季度报告应包括基金资产净值、基金份额净值</w:t>
      </w:r>
      <w:r>
        <w:rPr>
          <w:rFonts w:hint="eastAsia" w:asciiTheme="minorEastAsia" w:hAnsiTheme="minorEastAsia" w:eastAsiaTheme="minorEastAsia"/>
          <w:color w:val="auto"/>
          <w:szCs w:val="21"/>
          <w:highlight w:val="none"/>
        </w:rPr>
        <w:t>、所属类别基金份额净值</w:t>
      </w:r>
      <w:r>
        <w:rPr>
          <w:rFonts w:asciiTheme="minorEastAsia" w:hAnsiTheme="minorEastAsia" w:eastAsiaTheme="minorEastAsia"/>
          <w:color w:val="auto"/>
          <w:szCs w:val="21"/>
          <w:highlight w:val="none"/>
        </w:rPr>
        <w:t>、主要财务指标以及投资组合情况等信息。</w:t>
      </w:r>
    </w:p>
    <w:p w14:paraId="64399A2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3、年度报告披露</w:t>
      </w:r>
    </w:p>
    <w:p w14:paraId="0E898CB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本基金存</w:t>
      </w:r>
      <w:r>
        <w:rPr>
          <w:rFonts w:hint="eastAsia" w:asciiTheme="minorEastAsia" w:hAnsiTheme="minorEastAsia" w:eastAsiaTheme="minorEastAsia"/>
          <w:color w:val="auto"/>
          <w:szCs w:val="21"/>
          <w:highlight w:val="none"/>
        </w:rPr>
        <w:t>续</w:t>
      </w:r>
      <w:r>
        <w:rPr>
          <w:rFonts w:asciiTheme="minorEastAsia" w:hAnsiTheme="minorEastAsia" w:eastAsiaTheme="minorEastAsia"/>
          <w:color w:val="auto"/>
          <w:szCs w:val="21"/>
          <w:highlight w:val="none"/>
        </w:rPr>
        <w:t>期间，基金管理人应当在每年结束之日起4个月以内，向基金投资者披露年度报告，年度报告应包括以下信息：</w:t>
      </w:r>
    </w:p>
    <w:p w14:paraId="76DAD08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（1）报告期末基金资产净值、基金份额净值</w:t>
      </w:r>
      <w:r>
        <w:rPr>
          <w:rFonts w:hint="eastAsia" w:asciiTheme="minorEastAsia" w:hAnsiTheme="minorEastAsia" w:eastAsiaTheme="minorEastAsia"/>
          <w:color w:val="auto"/>
          <w:szCs w:val="21"/>
          <w:highlight w:val="none"/>
        </w:rPr>
        <w:t>、所属类别基金份额净值</w:t>
      </w:r>
      <w:r>
        <w:rPr>
          <w:rFonts w:asciiTheme="minorEastAsia" w:hAnsiTheme="minorEastAsia" w:eastAsiaTheme="minorEastAsia"/>
          <w:color w:val="auto"/>
          <w:szCs w:val="21"/>
          <w:highlight w:val="none"/>
        </w:rPr>
        <w:t>和基金份额总额；</w:t>
      </w:r>
    </w:p>
    <w:p w14:paraId="13790C2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（2）本基金的财务情况；</w:t>
      </w:r>
    </w:p>
    <w:p w14:paraId="4E806E4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（3）本基金投资运作情况和运用杠杆情况；</w:t>
      </w:r>
    </w:p>
    <w:p w14:paraId="0035900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（4）基金投资者账户信息，包括实缴出资额、未缴出资额以及报告期末所持有基金份额总额等；</w:t>
      </w:r>
    </w:p>
    <w:p w14:paraId="4F37D68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（5）投资收益分配和损失承担情况；</w:t>
      </w:r>
    </w:p>
    <w:p w14:paraId="39C7B5A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（6）基金管理人取得的管理费和业绩报酬，包括计提基准、计提方式和支付方式；</w:t>
      </w:r>
    </w:p>
    <w:p w14:paraId="5C3619A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（7）</w:t>
      </w:r>
      <w:r>
        <w:rPr>
          <w:rFonts w:hint="eastAsia" w:asciiTheme="minorEastAsia" w:hAnsiTheme="minorEastAsia" w:eastAsiaTheme="minorEastAsia"/>
          <w:color w:val="auto"/>
          <w:szCs w:val="21"/>
          <w:highlight w:val="none"/>
        </w:rPr>
        <w:t>本</w:t>
      </w:r>
      <w:r>
        <w:rPr>
          <w:rFonts w:asciiTheme="minorEastAsia" w:hAnsiTheme="minorEastAsia" w:eastAsiaTheme="minorEastAsia"/>
          <w:color w:val="auto"/>
          <w:szCs w:val="21"/>
          <w:highlight w:val="none"/>
        </w:rPr>
        <w:t>合同约定的其他信息。</w:t>
      </w:r>
    </w:p>
    <w:p w14:paraId="29DD703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四</w:t>
      </w:r>
      <w:r>
        <w:rPr>
          <w:rFonts w:asciiTheme="minorEastAsia" w:hAnsiTheme="minorEastAsia" w:eastAsiaTheme="minorEastAsia"/>
          <w:color w:val="auto"/>
          <w:szCs w:val="21"/>
          <w:highlight w:val="none"/>
        </w:rPr>
        <w:t>）基金管理人重大事项信息披露</w:t>
      </w:r>
    </w:p>
    <w:p w14:paraId="75ED523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发生以下重大事项的，基金管理人应</w:t>
      </w:r>
      <w:r>
        <w:rPr>
          <w:rFonts w:hint="eastAsia" w:asciiTheme="minorEastAsia" w:hAnsiTheme="minorEastAsia" w:eastAsiaTheme="minorEastAsia"/>
          <w:color w:val="auto"/>
          <w:szCs w:val="21"/>
          <w:highlight w:val="none"/>
        </w:rPr>
        <w:t>在5个工作日内（本</w:t>
      </w:r>
      <w:r>
        <w:rPr>
          <w:rFonts w:asciiTheme="minorEastAsia" w:hAnsiTheme="minorEastAsia" w:eastAsiaTheme="minorEastAsia"/>
          <w:color w:val="auto"/>
          <w:szCs w:val="21"/>
          <w:highlight w:val="none"/>
        </w:rPr>
        <w:t>合同</w:t>
      </w:r>
      <w:r>
        <w:rPr>
          <w:rFonts w:hint="eastAsia" w:asciiTheme="minorEastAsia" w:hAnsiTheme="minorEastAsia" w:eastAsiaTheme="minorEastAsia"/>
          <w:color w:val="auto"/>
          <w:szCs w:val="21"/>
          <w:highlight w:val="none"/>
        </w:rPr>
        <w:t>另有约定的除外）</w:t>
      </w:r>
      <w:r>
        <w:rPr>
          <w:rFonts w:asciiTheme="minorEastAsia" w:hAnsiTheme="minorEastAsia" w:eastAsiaTheme="minorEastAsia"/>
          <w:color w:val="auto"/>
          <w:szCs w:val="21"/>
          <w:highlight w:val="none"/>
        </w:rPr>
        <w:t>及时向基金投资者披露：</w:t>
      </w:r>
    </w:p>
    <w:p w14:paraId="2B08737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1、本基金名称、</w:t>
      </w:r>
      <w:r>
        <w:rPr>
          <w:rFonts w:hint="eastAsia" w:asciiTheme="minorEastAsia" w:hAnsiTheme="minorEastAsia" w:eastAsiaTheme="minorEastAsia"/>
          <w:color w:val="auto"/>
          <w:szCs w:val="21"/>
          <w:highlight w:val="none"/>
        </w:rPr>
        <w:t>基金类型、存续期限、</w:t>
      </w:r>
      <w:r>
        <w:rPr>
          <w:rFonts w:asciiTheme="minorEastAsia" w:hAnsiTheme="minorEastAsia" w:eastAsiaTheme="minorEastAsia"/>
          <w:color w:val="auto"/>
          <w:szCs w:val="21"/>
          <w:highlight w:val="none"/>
        </w:rPr>
        <w:t>注册地址、组织形式发生变更的；</w:t>
      </w:r>
    </w:p>
    <w:p w14:paraId="21557D8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2、投资范围</w:t>
      </w:r>
      <w:r>
        <w:rPr>
          <w:rFonts w:hint="eastAsia" w:asciiTheme="minorEastAsia" w:hAnsiTheme="minorEastAsia" w:eastAsiaTheme="minorEastAsia"/>
          <w:color w:val="auto"/>
          <w:szCs w:val="21"/>
          <w:highlight w:val="none"/>
        </w:rPr>
        <w:t>、投资限制</w:t>
      </w:r>
      <w:r>
        <w:rPr>
          <w:rFonts w:asciiTheme="minorEastAsia" w:hAnsiTheme="minorEastAsia" w:eastAsiaTheme="minorEastAsia"/>
          <w:color w:val="auto"/>
          <w:szCs w:val="21"/>
          <w:highlight w:val="none"/>
        </w:rPr>
        <w:t>和投资策略发生重大变化的；</w:t>
      </w:r>
    </w:p>
    <w:p w14:paraId="5CA9041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债券投资价格偏离度等指标出现异常情形的；</w:t>
      </w:r>
    </w:p>
    <w:p w14:paraId="4510D8B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4、私募证券投资基金上一年度（自2025年1月1日起，开始计算上一年度，下同）日均基金资产净值低于1000 万元的，按有关法律法规及规范性文件披露潜在影响及相关安排；</w:t>
      </w:r>
    </w:p>
    <w:p w14:paraId="20A66D6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5、私募证券投资基金上一年度日均基金资产净值低于500万元，或者连续60个交易日出现基金资产净值低于500万元情形的；</w:t>
      </w:r>
    </w:p>
    <w:p w14:paraId="258DA07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w:t>
      </w:r>
      <w:r>
        <w:rPr>
          <w:rFonts w:asciiTheme="minorEastAsia" w:hAnsiTheme="minorEastAsia" w:eastAsiaTheme="minorEastAsia"/>
          <w:color w:val="auto"/>
          <w:szCs w:val="21"/>
          <w:highlight w:val="none"/>
        </w:rPr>
        <w:t>变更基金管理人</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托管人</w:t>
      </w:r>
      <w:r>
        <w:rPr>
          <w:rFonts w:hint="eastAsia" w:asciiTheme="minorEastAsia" w:hAnsiTheme="minorEastAsia" w:eastAsiaTheme="minorEastAsia"/>
          <w:color w:val="auto"/>
          <w:szCs w:val="21"/>
          <w:highlight w:val="none"/>
        </w:rPr>
        <w:t>或基金服务机构</w:t>
      </w:r>
      <w:r>
        <w:rPr>
          <w:rFonts w:asciiTheme="minorEastAsia" w:hAnsiTheme="minorEastAsia" w:eastAsiaTheme="minorEastAsia"/>
          <w:color w:val="auto"/>
          <w:szCs w:val="21"/>
          <w:highlight w:val="none"/>
        </w:rPr>
        <w:t>的；</w:t>
      </w:r>
    </w:p>
    <w:p w14:paraId="37D81B7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w:t>
      </w:r>
      <w:r>
        <w:rPr>
          <w:rFonts w:asciiTheme="minorEastAsia" w:hAnsiTheme="minorEastAsia" w:eastAsiaTheme="minorEastAsia"/>
          <w:color w:val="auto"/>
          <w:szCs w:val="21"/>
          <w:highlight w:val="none"/>
        </w:rPr>
        <w:t>、基金管理人的法定代表人、执行事务合伙人</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委派代表</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、实际控制人发生变更的；</w:t>
      </w:r>
    </w:p>
    <w:p w14:paraId="2BC8EF3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8</w:t>
      </w:r>
      <w:r>
        <w:rPr>
          <w:rFonts w:asciiTheme="minorEastAsia" w:hAnsiTheme="minorEastAsia" w:eastAsiaTheme="minorEastAsia"/>
          <w:color w:val="auto"/>
          <w:szCs w:val="21"/>
          <w:highlight w:val="none"/>
        </w:rPr>
        <w:t>、触及本基金止损线或预警线的；</w:t>
      </w:r>
    </w:p>
    <w:p w14:paraId="7835F20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9</w:t>
      </w:r>
      <w:r>
        <w:rPr>
          <w:rFonts w:asciiTheme="minorEastAsia" w:hAnsiTheme="minorEastAsia" w:eastAsiaTheme="minorEastAsia"/>
          <w:color w:val="auto"/>
          <w:szCs w:val="21"/>
          <w:highlight w:val="none"/>
        </w:rPr>
        <w:t>、管理费率、托管费率</w:t>
      </w:r>
      <w:r>
        <w:rPr>
          <w:rFonts w:hint="eastAsia" w:asciiTheme="minorEastAsia" w:hAnsiTheme="minorEastAsia" w:eastAsiaTheme="minorEastAsia"/>
          <w:color w:val="auto"/>
          <w:szCs w:val="21"/>
          <w:highlight w:val="none"/>
        </w:rPr>
        <w:t>等基金费用</w:t>
      </w:r>
      <w:r>
        <w:rPr>
          <w:rFonts w:asciiTheme="minorEastAsia" w:hAnsiTheme="minorEastAsia" w:eastAsiaTheme="minorEastAsia"/>
          <w:color w:val="auto"/>
          <w:szCs w:val="21"/>
          <w:highlight w:val="none"/>
        </w:rPr>
        <w:t>发生变化的；</w:t>
      </w:r>
    </w:p>
    <w:p w14:paraId="6C6951B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10</w:t>
      </w:r>
      <w:r>
        <w:rPr>
          <w:rFonts w:asciiTheme="minorEastAsia" w:hAnsiTheme="minorEastAsia" w:eastAsiaTheme="minorEastAsia"/>
          <w:color w:val="auto"/>
          <w:szCs w:val="21"/>
          <w:highlight w:val="none"/>
        </w:rPr>
        <w:t>、本基金收益分配事项发生变更的；</w:t>
      </w:r>
    </w:p>
    <w:p w14:paraId="262E5FC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11</w:t>
      </w:r>
      <w:r>
        <w:rPr>
          <w:rFonts w:asciiTheme="minorEastAsia" w:hAnsiTheme="minorEastAsia" w:eastAsiaTheme="minorEastAsia"/>
          <w:color w:val="auto"/>
          <w:szCs w:val="21"/>
          <w:highlight w:val="none"/>
        </w:rPr>
        <w:t>、本基金触发巨额赎回，或者投资金额占本基金净资产50%及以上的项目不能正常退出的；</w:t>
      </w:r>
    </w:p>
    <w:p w14:paraId="0BAB633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12</w:t>
      </w:r>
      <w:r>
        <w:rPr>
          <w:rFonts w:asciiTheme="minorEastAsia" w:hAnsiTheme="minorEastAsia" w:eastAsiaTheme="minorEastAsia"/>
          <w:color w:val="auto"/>
          <w:szCs w:val="21"/>
          <w:highlight w:val="none"/>
        </w:rPr>
        <w:t>、本基金存续期变更或展期的；</w:t>
      </w:r>
    </w:p>
    <w:p w14:paraId="27BF04C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3</w:t>
      </w:r>
      <w:r>
        <w:rPr>
          <w:rFonts w:asciiTheme="minorEastAsia" w:hAnsiTheme="minorEastAsia" w:eastAsiaTheme="minorEastAsia"/>
          <w:color w:val="auto"/>
          <w:szCs w:val="21"/>
          <w:highlight w:val="none"/>
        </w:rPr>
        <w:t>、本基金发生清盘或清算的；</w:t>
      </w:r>
    </w:p>
    <w:p w14:paraId="53266E4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4</w:t>
      </w:r>
      <w:r>
        <w:rPr>
          <w:rFonts w:asciiTheme="minorEastAsia" w:hAnsiTheme="minorEastAsia" w:eastAsiaTheme="minorEastAsia"/>
          <w:color w:val="auto"/>
          <w:szCs w:val="21"/>
          <w:highlight w:val="none"/>
        </w:rPr>
        <w:t>、发生重大关联交易事项的；</w:t>
      </w:r>
    </w:p>
    <w:p w14:paraId="1A6D5AA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5</w:t>
      </w:r>
      <w:r>
        <w:rPr>
          <w:rFonts w:asciiTheme="minorEastAsia" w:hAnsiTheme="minorEastAsia" w:eastAsiaTheme="minorEastAsia"/>
          <w:color w:val="auto"/>
          <w:szCs w:val="21"/>
          <w:highlight w:val="none"/>
        </w:rPr>
        <w:t>、基金管理人、实际控制人、高管人员涉嫌重大违法违规行为或正在接受监管部门或自律管理部门调查的；</w:t>
      </w:r>
    </w:p>
    <w:p w14:paraId="195A516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6</w:t>
      </w:r>
      <w:r>
        <w:rPr>
          <w:rFonts w:asciiTheme="minorEastAsia" w:hAnsiTheme="minorEastAsia" w:eastAsiaTheme="minorEastAsia"/>
          <w:color w:val="auto"/>
          <w:szCs w:val="21"/>
          <w:highlight w:val="none"/>
        </w:rPr>
        <w:t>、涉及私募基金管理业务、基金财产、基金托管业务的重大诉讼、仲裁；</w:t>
      </w:r>
    </w:p>
    <w:p w14:paraId="6B62A2B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7</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本</w:t>
      </w:r>
      <w:r>
        <w:rPr>
          <w:rFonts w:asciiTheme="minorEastAsia" w:hAnsiTheme="minorEastAsia" w:eastAsiaTheme="minorEastAsia"/>
          <w:color w:val="auto"/>
          <w:szCs w:val="21"/>
          <w:highlight w:val="none"/>
        </w:rPr>
        <w:t>合同约定的</w:t>
      </w:r>
      <w:r>
        <w:rPr>
          <w:rFonts w:hint="eastAsia" w:asciiTheme="minorEastAsia" w:hAnsiTheme="minorEastAsia" w:eastAsiaTheme="minorEastAsia"/>
          <w:color w:val="auto"/>
          <w:szCs w:val="21"/>
          <w:highlight w:val="none"/>
        </w:rPr>
        <w:t>可能存在的利益冲突以及可能</w:t>
      </w:r>
      <w:r>
        <w:rPr>
          <w:rFonts w:asciiTheme="minorEastAsia" w:hAnsiTheme="minorEastAsia" w:eastAsiaTheme="minorEastAsia"/>
          <w:color w:val="auto"/>
          <w:szCs w:val="21"/>
          <w:highlight w:val="none"/>
        </w:rPr>
        <w:t>影响投资者</w:t>
      </w:r>
      <w:r>
        <w:rPr>
          <w:rFonts w:hint="eastAsia" w:asciiTheme="minorEastAsia" w:hAnsiTheme="minorEastAsia" w:eastAsiaTheme="minorEastAsia"/>
          <w:color w:val="auto"/>
          <w:szCs w:val="21"/>
          <w:highlight w:val="none"/>
        </w:rPr>
        <w:t>合法权</w:t>
      </w:r>
      <w:r>
        <w:rPr>
          <w:rFonts w:asciiTheme="minorEastAsia" w:hAnsiTheme="minorEastAsia" w:eastAsiaTheme="minorEastAsia"/>
          <w:color w:val="auto"/>
          <w:szCs w:val="21"/>
          <w:highlight w:val="none"/>
        </w:rPr>
        <w:t>益的其他重大事项。</w:t>
      </w:r>
    </w:p>
    <w:p w14:paraId="2936A35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（五）定期报告的复核流程</w:t>
      </w:r>
    </w:p>
    <w:p w14:paraId="6403150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本基金的定期报告包含《私募投资基金信息披露管理办法》及《私募投资基金信息披露内容与格式指引1号》规定的月度报告（如有）、季度报告和年度报告。</w:t>
      </w:r>
    </w:p>
    <w:p w14:paraId="60B5251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定期报告的编制由基金管理人进行，根据相关法律法规，基金管理人可以委托服务机构办理定期报告的编制。基金管理人或其委托的服务机构完成定期报告数据的编制后，将定期报告的数据以书面形式、电子核对数据等或双方认可的其他形式送至基金托管人，基金托管人对定期报告上的净值月报、主要财务指标、净值表现、收益分配情况、财务会计报告、投资组合报告等财务数据相关内容进行复核，复核无误后将复核结果以双方认可的方式反馈给基金管理人或其委托的服务机构。基金非财务数据由基金管理人自行编制和披露，基金托管人对于基金非财务数据不承担任何形式的复核职责，基金非财务数据披露不真实、不准确不完整的责任由基金管理人自行承担。如基金管理人或其委托的服务机构未及时将定期报告数据提供至基金托管人进行复核，由此造成的任何后果，基金托管人不承担责任。</w:t>
      </w:r>
    </w:p>
    <w:p w14:paraId="68B1583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六</w:t>
      </w:r>
      <w:r>
        <w:rPr>
          <w:rFonts w:asciiTheme="minorEastAsia" w:hAnsiTheme="minorEastAsia" w:eastAsiaTheme="minorEastAsia"/>
          <w:color w:val="auto"/>
          <w:szCs w:val="21"/>
          <w:highlight w:val="none"/>
        </w:rPr>
        <w:t>）向境内基金投资者募集的本基金信息披露文件应当采用中文文本，应当尽量采用简明、易懂的语言进行表述。同时采用外文文本的，信息披露义务人应当保证两种文本内容一致。两种文本发生歧义时，以中文文本为准。</w:t>
      </w:r>
    </w:p>
    <w:p w14:paraId="178B6DE9">
      <w:pPr>
        <w:adjustRightInd w:val="0"/>
        <w:snapToGrid w:val="0"/>
        <w:spacing w:before="93" w:beforeLines="30" w:after="93" w:afterLines="30" w:line="360" w:lineRule="auto"/>
        <w:ind w:firstLine="422" w:firstLineChars="200"/>
        <w:rPr>
          <w:rFonts w:hint="eastAsia" w:asciiTheme="minorEastAsia" w:hAnsiTheme="minorEastAsia" w:eastAsiaTheme="minorEastAsia"/>
          <w:b/>
          <w:color w:val="auto"/>
          <w:szCs w:val="21"/>
          <w:highlight w:val="none"/>
        </w:rPr>
      </w:pPr>
      <w:r>
        <w:rPr>
          <w:rFonts w:asciiTheme="minorEastAsia" w:hAnsiTheme="minorEastAsia" w:eastAsiaTheme="minorEastAsia"/>
          <w:b/>
          <w:bCs/>
          <w:color w:val="auto"/>
          <w:szCs w:val="21"/>
          <w:highlight w:val="none"/>
        </w:rPr>
        <w:t>（</w:t>
      </w:r>
      <w:r>
        <w:rPr>
          <w:rFonts w:hint="eastAsia" w:asciiTheme="minorEastAsia" w:hAnsiTheme="minorEastAsia" w:eastAsiaTheme="minorEastAsia"/>
          <w:b/>
          <w:bCs/>
          <w:color w:val="auto"/>
          <w:szCs w:val="21"/>
          <w:highlight w:val="none"/>
        </w:rPr>
        <w:t>七</w:t>
      </w:r>
      <w:r>
        <w:rPr>
          <w:rFonts w:asciiTheme="minorEastAsia" w:hAnsiTheme="minorEastAsia" w:eastAsiaTheme="minorEastAsia"/>
          <w:b/>
          <w:bCs/>
          <w:color w:val="auto"/>
          <w:szCs w:val="21"/>
          <w:highlight w:val="none"/>
        </w:rPr>
        <w:t>）</w:t>
      </w:r>
      <w:r>
        <w:rPr>
          <w:rFonts w:hint="eastAsia"/>
          <w:b/>
          <w:color w:val="auto"/>
          <w:highlight w:val="none"/>
        </w:rPr>
        <w:t>本基金合同约定，基金托管人有义务办理与基金托管业务有关的信息披露事项。除相关法律法规及监管机构和行业自律组织另有规定外，基金托管人办理与基金托管业务有关的信息披露事项，仅包括基金托管人向监管机构和行业自律组织履行的定期或不定期报告义务，</w:t>
      </w:r>
      <w:r>
        <w:rPr>
          <w:rFonts w:hint="eastAsia" w:asciiTheme="minorEastAsia" w:hAnsiTheme="minorEastAsia" w:eastAsiaTheme="minorEastAsia"/>
          <w:b/>
          <w:color w:val="auto"/>
          <w:szCs w:val="21"/>
          <w:highlight w:val="none"/>
        </w:rPr>
        <w:t>以及</w:t>
      </w:r>
      <w:r>
        <w:rPr>
          <w:rFonts w:asciiTheme="minorEastAsia" w:hAnsiTheme="minorEastAsia" w:eastAsiaTheme="minorEastAsia"/>
          <w:b/>
          <w:color w:val="auto"/>
          <w:szCs w:val="21"/>
          <w:highlight w:val="none"/>
        </w:rPr>
        <w:t>按照中国证监会以及</w:t>
      </w:r>
      <w:r>
        <w:rPr>
          <w:rFonts w:hint="eastAsia" w:asciiTheme="minorEastAsia" w:hAnsiTheme="minorEastAsia" w:eastAsiaTheme="minorEastAsia"/>
          <w:b/>
          <w:color w:val="auto"/>
          <w:szCs w:val="21"/>
          <w:highlight w:val="none"/>
        </w:rPr>
        <w:t>中国</w:t>
      </w:r>
      <w:r>
        <w:rPr>
          <w:rFonts w:asciiTheme="minorEastAsia" w:hAnsiTheme="minorEastAsia" w:eastAsiaTheme="minorEastAsia"/>
          <w:b/>
          <w:color w:val="auto"/>
          <w:szCs w:val="21"/>
          <w:highlight w:val="none"/>
        </w:rPr>
        <w:t>基金业协会的规定和</w:t>
      </w:r>
      <w:r>
        <w:rPr>
          <w:rFonts w:hint="eastAsia" w:asciiTheme="minorEastAsia" w:hAnsiTheme="minorEastAsia" w:eastAsiaTheme="minorEastAsia"/>
          <w:b/>
          <w:color w:val="auto"/>
          <w:szCs w:val="21"/>
          <w:highlight w:val="none"/>
        </w:rPr>
        <w:t>本</w:t>
      </w:r>
      <w:r>
        <w:rPr>
          <w:rFonts w:asciiTheme="minorEastAsia" w:hAnsiTheme="minorEastAsia" w:eastAsiaTheme="minorEastAsia"/>
          <w:b/>
          <w:color w:val="auto"/>
          <w:szCs w:val="21"/>
          <w:highlight w:val="none"/>
        </w:rPr>
        <w:t>合同的约定，对基金管理人</w:t>
      </w:r>
      <w:r>
        <w:rPr>
          <w:rFonts w:hint="eastAsia" w:asciiTheme="minorEastAsia" w:hAnsiTheme="minorEastAsia" w:eastAsiaTheme="minorEastAsia"/>
          <w:b/>
          <w:color w:val="auto"/>
          <w:szCs w:val="21"/>
          <w:highlight w:val="none"/>
        </w:rPr>
        <w:t>或其委托的服务机构</w:t>
      </w:r>
      <w:r>
        <w:rPr>
          <w:rFonts w:asciiTheme="minorEastAsia" w:hAnsiTheme="minorEastAsia" w:eastAsiaTheme="minorEastAsia"/>
          <w:b/>
          <w:color w:val="auto"/>
          <w:szCs w:val="21"/>
          <w:highlight w:val="none"/>
        </w:rPr>
        <w:t>编制的</w:t>
      </w:r>
      <w:r>
        <w:rPr>
          <w:rFonts w:hint="eastAsia" w:asciiTheme="minorEastAsia" w:hAnsiTheme="minorEastAsia" w:eastAsiaTheme="minorEastAsia"/>
          <w:b/>
          <w:color w:val="auto"/>
          <w:szCs w:val="21"/>
          <w:highlight w:val="none"/>
        </w:rPr>
        <w:t>定期报告中的财务数据</w:t>
      </w:r>
      <w:r>
        <w:rPr>
          <w:rFonts w:asciiTheme="minorEastAsia" w:hAnsiTheme="minorEastAsia" w:eastAsiaTheme="minorEastAsia"/>
          <w:b/>
          <w:color w:val="auto"/>
          <w:szCs w:val="21"/>
          <w:highlight w:val="none"/>
        </w:rPr>
        <w:t>进行复核确认</w:t>
      </w:r>
      <w:r>
        <w:rPr>
          <w:rFonts w:hint="eastAsia" w:asciiTheme="minorEastAsia" w:hAnsiTheme="minorEastAsia" w:eastAsiaTheme="minorEastAsia"/>
          <w:b/>
          <w:color w:val="auto"/>
          <w:szCs w:val="21"/>
          <w:highlight w:val="none"/>
        </w:rPr>
        <w:t>；基金</w:t>
      </w:r>
      <w:r>
        <w:rPr>
          <w:rFonts w:asciiTheme="minorEastAsia" w:hAnsiTheme="minorEastAsia" w:eastAsiaTheme="minorEastAsia"/>
          <w:b/>
          <w:color w:val="auto"/>
          <w:szCs w:val="21"/>
          <w:highlight w:val="none"/>
        </w:rPr>
        <w:t>托管人</w:t>
      </w:r>
      <w:r>
        <w:rPr>
          <w:rFonts w:hint="eastAsia" w:asciiTheme="minorEastAsia" w:hAnsiTheme="minorEastAsia" w:eastAsiaTheme="minorEastAsia"/>
          <w:b/>
          <w:color w:val="auto"/>
          <w:szCs w:val="21"/>
          <w:highlight w:val="none"/>
        </w:rPr>
        <w:t>须进行</w:t>
      </w:r>
      <w:r>
        <w:rPr>
          <w:rFonts w:asciiTheme="minorEastAsia" w:hAnsiTheme="minorEastAsia" w:eastAsiaTheme="minorEastAsia"/>
          <w:b/>
          <w:color w:val="auto"/>
          <w:szCs w:val="21"/>
          <w:highlight w:val="none"/>
        </w:rPr>
        <w:t>复核的</w:t>
      </w:r>
      <w:r>
        <w:rPr>
          <w:rFonts w:hint="eastAsia" w:asciiTheme="minorEastAsia" w:hAnsiTheme="minorEastAsia" w:eastAsiaTheme="minorEastAsia"/>
          <w:b/>
          <w:color w:val="auto"/>
          <w:szCs w:val="21"/>
          <w:highlight w:val="none"/>
        </w:rPr>
        <w:t>信息仅限于其在履行职责过程中制作或者获取的，以一定形式记录、保存的信息及</w:t>
      </w:r>
      <w:r>
        <w:rPr>
          <w:rFonts w:asciiTheme="minorEastAsia" w:hAnsiTheme="minorEastAsia" w:eastAsiaTheme="minorEastAsia"/>
          <w:b/>
          <w:color w:val="auto"/>
          <w:szCs w:val="21"/>
          <w:highlight w:val="none"/>
        </w:rPr>
        <w:t>数据。</w:t>
      </w:r>
      <w:r>
        <w:rPr>
          <w:rFonts w:hint="eastAsia"/>
          <w:b/>
          <w:color w:val="auto"/>
          <w:highlight w:val="none"/>
        </w:rPr>
        <w:t>如因基金管理人或其委托的基金服务机构未能在合同约定期限内发送上述信息披露材料给基金托管人，导致基金托管人无法复核或本基金信息披露不及时或未披露的，由此给基金投资者造成损失的，相关责任由基金管理人承担，基金托管人不承担任何责任。基金管理人负责确保所披露的所有基金信息真实、准确、完整。</w:t>
      </w:r>
      <w:r>
        <w:rPr>
          <w:rFonts w:hint="eastAsia" w:asciiTheme="minorEastAsia" w:hAnsiTheme="minorEastAsia" w:eastAsiaTheme="minorEastAsia"/>
          <w:b/>
          <w:color w:val="auto"/>
          <w:szCs w:val="21"/>
          <w:highlight w:val="none"/>
        </w:rPr>
        <w:t>如基金管理人没有按照中国证监会、中国基金业协会的规定及本合同的约定或其他相关法律法规规定履行信息披露义务，基金托管人不承担责任。</w:t>
      </w:r>
    </w:p>
    <w:p w14:paraId="4C64D2A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八</w:t>
      </w:r>
      <w:r>
        <w:rPr>
          <w:rFonts w:asciiTheme="minorEastAsia" w:hAnsiTheme="minorEastAsia" w:eastAsiaTheme="minorEastAsia"/>
          <w:color w:val="auto"/>
          <w:szCs w:val="21"/>
          <w:highlight w:val="none"/>
        </w:rPr>
        <w:t>）向基金份额持有人披露及基金份额持有人信息查询的方式</w:t>
      </w:r>
    </w:p>
    <w:p w14:paraId="1B7B8C4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基金管理人有权采用下列一种或多种方式向基金份额持有人提供报告或进行相关通知。</w:t>
      </w:r>
    </w:p>
    <w:p w14:paraId="0775578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1、传真、电子邮件或短信</w:t>
      </w:r>
    </w:p>
    <w:p w14:paraId="2B056A6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如基金份额持有人留有传真号、电子邮箱或手机号等联系方式，基金管理人可通过传真、电子邮件或短信等方式将报告信息告知基金份额持有人。</w:t>
      </w:r>
    </w:p>
    <w:p w14:paraId="687695D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2、邮寄服务</w:t>
      </w:r>
    </w:p>
    <w:p w14:paraId="10780B1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基金管理人可向基金份额持有人邮寄年度报告等有关本基金的信息。基金份额持有人在</w:t>
      </w:r>
      <w:r>
        <w:rPr>
          <w:rFonts w:hint="eastAsia" w:asciiTheme="minorEastAsia" w:hAnsiTheme="minorEastAsia" w:eastAsiaTheme="minorEastAsia"/>
          <w:color w:val="auto"/>
          <w:szCs w:val="21"/>
          <w:highlight w:val="none"/>
        </w:rPr>
        <w:t>募集</w:t>
      </w:r>
      <w:r>
        <w:rPr>
          <w:rFonts w:asciiTheme="minorEastAsia" w:hAnsiTheme="minorEastAsia" w:eastAsiaTheme="minorEastAsia"/>
          <w:color w:val="auto"/>
          <w:szCs w:val="21"/>
          <w:highlight w:val="none"/>
        </w:rPr>
        <w:t>机构留存的通信地址为送达地址。通信地址如有变更，基金份额持有人应当及时以书面方式或以基金管理人规定的其他方式通知基金管理人。</w:t>
      </w:r>
    </w:p>
    <w:p w14:paraId="7B98C78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3、基金管理人网站</w:t>
      </w:r>
    </w:p>
    <w:p w14:paraId="2DC4763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基金管理人可通过基金管理人网站向基金份额持有人提供报告和信息查询，内容包括</w:t>
      </w:r>
      <w:r>
        <w:rPr>
          <w:rFonts w:hint="eastAsia" w:asciiTheme="minorEastAsia" w:hAnsiTheme="minorEastAsia" w:eastAsiaTheme="minorEastAsia"/>
          <w:color w:val="auto"/>
          <w:szCs w:val="21"/>
          <w:highlight w:val="none"/>
        </w:rPr>
        <w:t>但不限于</w:t>
      </w:r>
      <w:r>
        <w:rPr>
          <w:rFonts w:asciiTheme="minorEastAsia" w:hAnsiTheme="minorEastAsia" w:eastAsiaTheme="minorEastAsia"/>
          <w:color w:val="auto"/>
          <w:szCs w:val="21"/>
          <w:highlight w:val="none"/>
        </w:rPr>
        <w:t>净值报告</w:t>
      </w:r>
      <w:r>
        <w:rPr>
          <w:rFonts w:hint="eastAsia" w:asciiTheme="minorEastAsia" w:hAnsiTheme="minorEastAsia" w:eastAsiaTheme="minorEastAsia"/>
          <w:color w:val="auto"/>
          <w:szCs w:val="21"/>
          <w:highlight w:val="none"/>
        </w:rPr>
        <w:t>、季度报告、年度报告</w:t>
      </w:r>
      <w:r>
        <w:rPr>
          <w:rFonts w:asciiTheme="minorEastAsia" w:hAnsiTheme="minorEastAsia" w:eastAsiaTheme="minorEastAsia"/>
          <w:color w:val="auto"/>
          <w:szCs w:val="21"/>
          <w:highlight w:val="none"/>
        </w:rPr>
        <w:t>。</w:t>
      </w:r>
    </w:p>
    <w:p w14:paraId="285B9C7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w:t>
      </w:r>
      <w:r>
        <w:rPr>
          <w:rFonts w:asciiTheme="minorEastAsia" w:hAnsiTheme="minorEastAsia" w:eastAsiaTheme="minorEastAsia"/>
          <w:color w:val="auto"/>
          <w:szCs w:val="21"/>
          <w:highlight w:val="none"/>
        </w:rPr>
        <w:t>基金管理人</w:t>
      </w:r>
      <w:r>
        <w:rPr>
          <w:rFonts w:hint="eastAsia" w:asciiTheme="minorEastAsia" w:hAnsiTheme="minorEastAsia" w:eastAsiaTheme="minorEastAsia"/>
          <w:color w:val="auto"/>
          <w:szCs w:val="21"/>
          <w:highlight w:val="none"/>
        </w:rPr>
        <w:t>指定的其他信息披露途径或方式</w:t>
      </w:r>
    </w:p>
    <w:p w14:paraId="59B9216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基金管理人可通过基金管理人指定的其他信息披露途径或方式向基金份额持有人</w:t>
      </w:r>
      <w:r>
        <w:rPr>
          <w:rFonts w:asciiTheme="minorEastAsia" w:hAnsiTheme="minorEastAsia" w:eastAsiaTheme="minorEastAsia"/>
          <w:color w:val="auto"/>
          <w:szCs w:val="21"/>
          <w:highlight w:val="none"/>
        </w:rPr>
        <w:t>提供报告和信息查询，内容包括</w:t>
      </w:r>
      <w:r>
        <w:rPr>
          <w:rFonts w:hint="eastAsia" w:asciiTheme="minorEastAsia" w:hAnsiTheme="minorEastAsia" w:eastAsiaTheme="minorEastAsia"/>
          <w:color w:val="auto"/>
          <w:szCs w:val="21"/>
          <w:highlight w:val="none"/>
        </w:rPr>
        <w:t>但不限于</w:t>
      </w:r>
      <w:r>
        <w:rPr>
          <w:rFonts w:asciiTheme="minorEastAsia" w:hAnsiTheme="minorEastAsia" w:eastAsiaTheme="minorEastAsia"/>
          <w:color w:val="auto"/>
          <w:szCs w:val="21"/>
          <w:highlight w:val="none"/>
        </w:rPr>
        <w:t>净值报告</w:t>
      </w:r>
      <w:r>
        <w:rPr>
          <w:rFonts w:hint="eastAsia" w:asciiTheme="minorEastAsia" w:hAnsiTheme="minorEastAsia" w:eastAsiaTheme="minorEastAsia"/>
          <w:color w:val="auto"/>
          <w:szCs w:val="21"/>
          <w:highlight w:val="none"/>
        </w:rPr>
        <w:t>、季度报告、年度报告</w:t>
      </w:r>
      <w:r>
        <w:rPr>
          <w:rFonts w:asciiTheme="minorEastAsia" w:hAnsiTheme="minorEastAsia" w:eastAsiaTheme="minorEastAsia"/>
          <w:color w:val="auto"/>
          <w:szCs w:val="21"/>
          <w:highlight w:val="none"/>
        </w:rPr>
        <w:t>。</w:t>
      </w:r>
    </w:p>
    <w:p w14:paraId="7A5AE17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w:t>
      </w:r>
      <w:r>
        <w:rPr>
          <w:rFonts w:asciiTheme="minorEastAsia" w:hAnsiTheme="minorEastAsia" w:eastAsiaTheme="minorEastAsia"/>
          <w:color w:val="auto"/>
          <w:szCs w:val="21"/>
          <w:highlight w:val="none"/>
        </w:rPr>
        <w:t>、其他中国证监会以及</w:t>
      </w:r>
      <w:r>
        <w:rPr>
          <w:rFonts w:hint="eastAsia" w:asciiTheme="minorEastAsia" w:hAnsiTheme="minorEastAsia" w:eastAsiaTheme="minorEastAsia"/>
          <w:color w:val="auto"/>
          <w:szCs w:val="21"/>
          <w:highlight w:val="none"/>
        </w:rPr>
        <w:t>中国</w:t>
      </w:r>
      <w:r>
        <w:rPr>
          <w:rFonts w:asciiTheme="minorEastAsia" w:hAnsiTheme="minorEastAsia" w:eastAsiaTheme="minorEastAsia"/>
          <w:color w:val="auto"/>
          <w:szCs w:val="21"/>
          <w:highlight w:val="none"/>
        </w:rPr>
        <w:t>基金业协会规定的信息披露途径或方式。</w:t>
      </w:r>
    </w:p>
    <w:p w14:paraId="571CC3E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九</w:t>
      </w:r>
      <w:r>
        <w:rPr>
          <w:rFonts w:asciiTheme="minorEastAsia" w:hAnsiTheme="minorEastAsia" w:eastAsiaTheme="minorEastAsia"/>
          <w:color w:val="auto"/>
          <w:szCs w:val="21"/>
          <w:highlight w:val="none"/>
        </w:rPr>
        <w:t>）向</w:t>
      </w:r>
      <w:r>
        <w:rPr>
          <w:rFonts w:hint="eastAsia" w:asciiTheme="minorEastAsia" w:hAnsiTheme="minorEastAsia" w:eastAsiaTheme="minorEastAsia"/>
          <w:color w:val="auto"/>
          <w:szCs w:val="21"/>
          <w:highlight w:val="none"/>
        </w:rPr>
        <w:t>中国</w:t>
      </w:r>
      <w:r>
        <w:rPr>
          <w:rFonts w:asciiTheme="minorEastAsia" w:hAnsiTheme="minorEastAsia" w:eastAsiaTheme="minorEastAsia"/>
          <w:color w:val="auto"/>
          <w:szCs w:val="21"/>
          <w:highlight w:val="none"/>
        </w:rPr>
        <w:t>基金业协会提供的报告</w:t>
      </w:r>
    </w:p>
    <w:p w14:paraId="097A897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基金管理人、基金托管人应当根据中国证监会和</w:t>
      </w:r>
      <w:r>
        <w:rPr>
          <w:rFonts w:hint="eastAsia" w:asciiTheme="minorEastAsia" w:hAnsiTheme="minorEastAsia" w:eastAsiaTheme="minorEastAsia"/>
          <w:color w:val="auto"/>
          <w:szCs w:val="21"/>
          <w:highlight w:val="none"/>
        </w:rPr>
        <w:t>中国</w:t>
      </w:r>
      <w:r>
        <w:rPr>
          <w:rFonts w:asciiTheme="minorEastAsia" w:hAnsiTheme="minorEastAsia" w:eastAsiaTheme="minorEastAsia"/>
          <w:color w:val="auto"/>
          <w:szCs w:val="21"/>
          <w:highlight w:val="none"/>
        </w:rPr>
        <w:t>基金业协会的要求履行报告义务。</w:t>
      </w:r>
    </w:p>
    <w:p w14:paraId="2CDD88D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私募基金管理人应当按照规定通过中国基金业协会指定的私募基金信息披露备份平台报送信息</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在投资者信息披露查询功能开放之后，</w:t>
      </w:r>
      <w:r>
        <w:rPr>
          <w:rFonts w:asciiTheme="minorEastAsia" w:hAnsiTheme="minorEastAsia" w:eastAsiaTheme="minorEastAsia"/>
          <w:color w:val="auto"/>
          <w:szCs w:val="21"/>
          <w:highlight w:val="none"/>
        </w:rPr>
        <w:t>投资者可以登录</w:t>
      </w:r>
      <w:r>
        <w:rPr>
          <w:rFonts w:hint="eastAsia" w:asciiTheme="minorEastAsia" w:hAnsiTheme="minorEastAsia" w:eastAsiaTheme="minorEastAsia"/>
          <w:color w:val="auto"/>
          <w:szCs w:val="21"/>
          <w:highlight w:val="none"/>
        </w:rPr>
        <w:t>中国</w:t>
      </w:r>
      <w:r>
        <w:rPr>
          <w:rFonts w:asciiTheme="minorEastAsia" w:hAnsiTheme="minorEastAsia" w:eastAsiaTheme="minorEastAsia"/>
          <w:color w:val="auto"/>
          <w:szCs w:val="21"/>
          <w:highlight w:val="none"/>
        </w:rPr>
        <w:t>基金业协会指定的私募基金信息披露备份平台查询</w:t>
      </w:r>
      <w:r>
        <w:rPr>
          <w:rFonts w:hint="eastAsia" w:asciiTheme="minorEastAsia" w:hAnsiTheme="minorEastAsia" w:eastAsiaTheme="minorEastAsia"/>
          <w:color w:val="auto"/>
          <w:szCs w:val="21"/>
          <w:highlight w:val="none"/>
        </w:rPr>
        <w:t>其购买基金产品的相关信息</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全体份额持有人同意私募基金管理人或其他信息披露义务人应当按照中国基金业协会的规定对基金信息披露信息进行备份。</w:t>
      </w:r>
    </w:p>
    <w:p w14:paraId="73BAEB69">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67" w:name="_Toc194741921"/>
      <w:bookmarkStart w:id="68" w:name="_Toc459392422"/>
      <w:r>
        <w:rPr>
          <w:rFonts w:hint="eastAsia" w:asciiTheme="minorEastAsia" w:hAnsiTheme="minorEastAsia" w:eastAsiaTheme="minorEastAsia"/>
          <w:color w:val="auto"/>
          <w:sz w:val="28"/>
          <w:szCs w:val="28"/>
          <w:highlight w:val="none"/>
        </w:rPr>
        <w:t>二十、风险揭示</w:t>
      </w:r>
      <w:bookmarkEnd w:id="67"/>
      <w:bookmarkEnd w:id="68"/>
    </w:p>
    <w:p w14:paraId="051EEC2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基金投资可能面临下列各项风险，包括但不限于：</w:t>
      </w:r>
    </w:p>
    <w:p w14:paraId="42CD5346">
      <w:pPr>
        <w:pStyle w:val="12"/>
        <w:widowControl w:val="0"/>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（一</w:t>
      </w:r>
      <w:r>
        <w:rPr>
          <w:rFonts w:asciiTheme="minorEastAsia" w:hAnsiTheme="minorEastAsia" w:eastAsiaTheme="minorEastAsia"/>
          <w:b/>
          <w:bCs/>
          <w:color w:val="auto"/>
          <w:highlight w:val="none"/>
        </w:rPr>
        <w:t>）</w:t>
      </w:r>
      <w:r>
        <w:rPr>
          <w:rFonts w:hint="eastAsia" w:asciiTheme="minorEastAsia" w:hAnsiTheme="minorEastAsia" w:eastAsiaTheme="minorEastAsia"/>
          <w:b/>
          <w:bCs/>
          <w:color w:val="auto"/>
          <w:highlight w:val="none"/>
        </w:rPr>
        <w:t>特殊风险揭示</w:t>
      </w:r>
    </w:p>
    <w:p w14:paraId="74FAE28E">
      <w:pPr>
        <w:pStyle w:val="12"/>
        <w:widowControl w:val="0"/>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1、本合同部分内容与中国基金业协会合同指引不一致所涉风险</w:t>
      </w:r>
    </w:p>
    <w:p w14:paraId="5288C4FF">
      <w:pPr>
        <w:pStyle w:val="12"/>
        <w:widowControl w:val="0"/>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本合同是基于中国基金业协会发布的《私募投资基金合同指引1号》（契约型私募基金合同内容与格式指引）而制定的，管理人对合同指引相关内容做出了合理的调整以及增加了其他内容，导致本合同与中国基金业协会合同指引不一致的风险。</w:t>
      </w:r>
    </w:p>
    <w:p w14:paraId="16090BBB">
      <w:pPr>
        <w:pStyle w:val="12"/>
        <w:widowControl w:val="0"/>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2、基金委托募集所涉风险（如有）</w:t>
      </w:r>
    </w:p>
    <w:p w14:paraId="7DF49301">
      <w:pPr>
        <w:pStyle w:val="12"/>
        <w:widowControl w:val="0"/>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可以委托在中国证监会注册取得基金销售业务资格并已成为中国基金业协会会员的机构（以下简称代销机构）募集本基金，代销机构可能存在违法违规地公开宣传基金产品、虚假宣传基金产品、以保本保收益引诱投资者购买基金产品、未能履行投资者适当性审查工作等行为导致基金投资者合法权益受损的风险。</w:t>
      </w:r>
    </w:p>
    <w:p w14:paraId="3A2C3E82">
      <w:pPr>
        <w:pStyle w:val="12"/>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3、基金服务事项所涉风险</w:t>
      </w:r>
    </w:p>
    <w:p w14:paraId="56EB6826">
      <w:pPr>
        <w:pStyle w:val="12"/>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委托具备相应资质的国泰海通证券股份有限公司提供本基金份额登记、估值核算等运营服务事项，因服务机构经营风险、技术系统故障、操作失误等，可能使得基金服务事项发生差错，给本基金运营带来风险。</w:t>
      </w:r>
    </w:p>
    <w:p w14:paraId="22AF3F96">
      <w:pPr>
        <w:pStyle w:val="12"/>
        <w:adjustRightInd w:val="0"/>
        <w:snapToGrid w:val="0"/>
        <w:spacing w:before="93" w:beforeLines="30" w:after="93" w:afterLines="30" w:line="360" w:lineRule="auto"/>
        <w:ind w:firstLine="422" w:firstLineChars="200"/>
        <w:rPr>
          <w:rFonts w:asciiTheme="minorEastAsia" w:hAnsiTheme="minorEastAsia" w:eastAsiaTheme="minorEastAsia"/>
          <w:color w:val="auto"/>
          <w:highlight w:val="none"/>
        </w:rPr>
      </w:pPr>
      <w:r>
        <w:rPr>
          <w:rFonts w:hint="eastAsia" w:asciiTheme="minorEastAsia" w:hAnsiTheme="minorEastAsia" w:eastAsiaTheme="minorEastAsia"/>
          <w:b/>
          <w:bCs/>
          <w:color w:val="auto"/>
          <w:highlight w:val="none"/>
        </w:rPr>
        <w:t>4、基金聘请投资顾问所涉风险（如有）</w:t>
      </w:r>
      <w:r>
        <w:rPr>
          <w:rFonts w:hint="eastAsia" w:asciiTheme="minorEastAsia" w:hAnsiTheme="minorEastAsia" w:eastAsiaTheme="minorEastAsia"/>
          <w:color w:val="auto"/>
          <w:highlight w:val="none"/>
        </w:rPr>
        <w:t>若根据基金合同约定，基金管理人有权代表本基金聘请投资顾问，本基金将由基金管理人参考投资顾问的“投资建议”自主进行投资决策交易。投资顾问和基金管理人的投资服务能力、服务水平将直接影响本基金的收益水平。此外，由于投资顾问或基金管理人原因（包括但不限于投资顾问的知识、经验等）影响其对相关信息、经济形势和证券价格走势的判断，可能影响本基金的收益水平。</w:t>
      </w:r>
    </w:p>
    <w:p w14:paraId="4154E44E">
      <w:pPr>
        <w:pStyle w:val="12"/>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投资顾问依据与基金管理人签署的投资顾问协议（以实际签署的协议名称为准）为本基金提供投资顾问服务，因为相关协议的约定不明或者投资顾问与基金管理人存在法律或经济纠纷时，会对本基金的收益造成影响。投资顾问如存在泄露客户投资决策计划、传播虚假信息、进行关联交易等违法违规行为或利益冲突等违法违规情形时，将对本基金的收益造成不利影响。</w:t>
      </w:r>
    </w:p>
    <w:p w14:paraId="37407C57">
      <w:pPr>
        <w:pStyle w:val="12"/>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5、未在中国基金业协会登记备案的风险</w:t>
      </w:r>
    </w:p>
    <w:p w14:paraId="58EF79A2">
      <w:pPr>
        <w:pStyle w:val="12"/>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基金管理人在基金募集完毕后20个工作日内向中国基金业协会办理基金备案手续。基金面临因未能在中国基金业协会履行备案手续导致基金财产不能进行投资运作的风险。</w:t>
      </w:r>
    </w:p>
    <w:p w14:paraId="2A97CEE8">
      <w:pPr>
        <w:pStyle w:val="13"/>
        <w:numPr>
          <w:ilvl w:val="255"/>
          <w:numId w:val="0"/>
        </w:numPr>
        <w:adjustRightInd w:val="0"/>
        <w:snapToGrid w:val="0"/>
        <w:spacing w:line="360" w:lineRule="auto"/>
        <w:ind w:left="420" w:leftChars="200"/>
        <w:rPr>
          <w:rFonts w:asciiTheme="minorEastAsia" w:hAnsiTheme="minorEastAsia" w:eastAsiaTheme="minorEastAsia"/>
          <w:b/>
          <w:color w:val="auto"/>
          <w:szCs w:val="21"/>
          <w:highlight w:val="none"/>
        </w:rPr>
      </w:pPr>
      <w:r>
        <w:rPr>
          <w:rFonts w:hint="eastAsia" w:asciiTheme="minorEastAsia" w:hAnsiTheme="minorEastAsia" w:eastAsiaTheme="minorEastAsia"/>
          <w:b/>
          <w:bCs/>
          <w:color w:val="auto"/>
          <w:highlight w:val="none"/>
        </w:rPr>
        <w:t>6、</w:t>
      </w:r>
      <w:r>
        <w:rPr>
          <w:rFonts w:hint="eastAsia" w:asciiTheme="minorEastAsia" w:hAnsiTheme="minorEastAsia" w:eastAsiaTheme="minorEastAsia"/>
          <w:b/>
          <w:color w:val="auto"/>
          <w:szCs w:val="21"/>
          <w:highlight w:val="none"/>
        </w:rPr>
        <w:t>私募基金开放安排所涉风险</w:t>
      </w:r>
    </w:p>
    <w:p w14:paraId="79167FD2">
      <w:pPr>
        <w:adjustRightInd w:val="0"/>
        <w:snapToGrid w:val="0"/>
        <w:spacing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若根据基金合同约定，基金存续期间可设置</w:t>
      </w:r>
      <w:r>
        <w:rPr>
          <w:rFonts w:hint="eastAsia" w:asciiTheme="minorEastAsia" w:hAnsiTheme="minorEastAsia" w:eastAsiaTheme="minorEastAsia"/>
          <w:b/>
          <w:color w:val="auto"/>
          <w:szCs w:val="21"/>
          <w:highlight w:val="none"/>
        </w:rPr>
        <w:t>临时开放日。</w:t>
      </w:r>
      <w:r>
        <w:rPr>
          <w:rFonts w:hint="eastAsia" w:asciiTheme="minorEastAsia" w:hAnsiTheme="minorEastAsia" w:eastAsiaTheme="minorEastAsia"/>
          <w:color w:val="auto"/>
          <w:kern w:val="0"/>
          <w:szCs w:val="21"/>
          <w:highlight w:val="none"/>
        </w:rPr>
        <w:t>基金管理人如未按照合同约定执行临时开放安排，并履行信息披露义务，可能给投资者利益带来不利影响。</w:t>
      </w:r>
      <w:r>
        <w:rPr>
          <w:rFonts w:hint="eastAsia" w:asciiTheme="minorEastAsia" w:hAnsiTheme="minorEastAsia" w:eastAsiaTheme="minorEastAsia"/>
          <w:b/>
          <w:color w:val="auto"/>
          <w:kern w:val="0"/>
          <w:szCs w:val="21"/>
          <w:highlight w:val="none"/>
        </w:rPr>
        <w:t>提示投资者特别关注因合同变更设置的临时开放日，如投资者不同意合同变更又不申请赎回所持有的全部基金份额的，基金管理人有权对其持有的全部基金份额作强制赎回处理。</w:t>
      </w:r>
    </w:p>
    <w:p w14:paraId="2E572295">
      <w:pPr>
        <w:adjustRightInd w:val="0"/>
        <w:snapToGrid w:val="0"/>
        <w:spacing w:line="360" w:lineRule="auto"/>
        <w:ind w:firstLine="422"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
          <w:color w:val="auto"/>
          <w:szCs w:val="21"/>
          <w:highlight w:val="none"/>
        </w:rPr>
        <w:t>若根据基金合同约定，基金存续期间对开放日申购、赎回作出差异化开放日安排。</w:t>
      </w:r>
      <w:r>
        <w:rPr>
          <w:rFonts w:asciiTheme="minorEastAsia" w:hAnsiTheme="minorEastAsia" w:eastAsiaTheme="minorEastAsia"/>
          <w:color w:val="auto"/>
          <w:szCs w:val="21"/>
          <w:highlight w:val="none"/>
        </w:rPr>
        <w:t>上述安排可能导致投资者无法按照</w:t>
      </w:r>
      <w:r>
        <w:rPr>
          <w:rFonts w:hint="eastAsia" w:asciiTheme="minorEastAsia" w:hAnsiTheme="minorEastAsia" w:eastAsiaTheme="minorEastAsia"/>
          <w:color w:val="auto"/>
          <w:szCs w:val="21"/>
          <w:highlight w:val="none"/>
        </w:rPr>
        <w:t>自身</w:t>
      </w:r>
      <w:r>
        <w:rPr>
          <w:rFonts w:asciiTheme="minorEastAsia" w:hAnsiTheme="minorEastAsia" w:eastAsiaTheme="minorEastAsia"/>
          <w:color w:val="auto"/>
          <w:szCs w:val="21"/>
          <w:highlight w:val="none"/>
        </w:rPr>
        <w:t>意愿安排基金申购</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赎回的风险，提示</w:t>
      </w:r>
      <w:r>
        <w:rPr>
          <w:rFonts w:hint="eastAsia" w:asciiTheme="minorEastAsia" w:hAnsiTheme="minorEastAsia" w:eastAsiaTheme="minorEastAsia"/>
          <w:color w:val="auto"/>
          <w:szCs w:val="21"/>
          <w:highlight w:val="none"/>
        </w:rPr>
        <w:t>投资者</w:t>
      </w:r>
      <w:r>
        <w:rPr>
          <w:rFonts w:asciiTheme="minorEastAsia" w:hAnsiTheme="minorEastAsia" w:eastAsiaTheme="minorEastAsia"/>
          <w:color w:val="auto"/>
          <w:szCs w:val="21"/>
          <w:highlight w:val="none"/>
        </w:rPr>
        <w:t>特别关注基金</w:t>
      </w:r>
      <w:r>
        <w:rPr>
          <w:rFonts w:hint="eastAsia" w:asciiTheme="minorEastAsia" w:hAnsiTheme="minorEastAsia" w:eastAsiaTheme="minorEastAsia"/>
          <w:color w:val="auto"/>
          <w:szCs w:val="21"/>
          <w:highlight w:val="none"/>
        </w:rPr>
        <w:t>申购、赎回</w:t>
      </w:r>
      <w:r>
        <w:rPr>
          <w:rFonts w:asciiTheme="minorEastAsia" w:hAnsiTheme="minorEastAsia" w:eastAsiaTheme="minorEastAsia"/>
          <w:color w:val="auto"/>
          <w:szCs w:val="21"/>
          <w:highlight w:val="none"/>
        </w:rPr>
        <w:t>开放日的特殊安排事项。</w:t>
      </w:r>
    </w:p>
    <w:p w14:paraId="5F19601D">
      <w:pPr>
        <w:adjustRightInd w:val="0"/>
        <w:snapToGrid w:val="0"/>
        <w:spacing w:line="360" w:lineRule="auto"/>
        <w:ind w:firstLine="422"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b/>
          <w:color w:val="auto"/>
          <w:szCs w:val="21"/>
          <w:highlight w:val="none"/>
        </w:rPr>
        <w:t>若根据基金合同约定，基金存续期间可设置申购、赎回预约期。</w:t>
      </w:r>
      <w:r>
        <w:rPr>
          <w:rFonts w:hint="eastAsia" w:asciiTheme="minorEastAsia" w:hAnsiTheme="minorEastAsia" w:eastAsiaTheme="minorEastAsia"/>
          <w:color w:val="auto"/>
          <w:kern w:val="0"/>
          <w:szCs w:val="21"/>
          <w:highlight w:val="none"/>
        </w:rPr>
        <w:t>基金管理人不接受投资者在预约期以外的时间提出的申购、赎回申请。</w:t>
      </w:r>
      <w:r>
        <w:rPr>
          <w:rFonts w:asciiTheme="minorEastAsia" w:hAnsiTheme="minorEastAsia" w:eastAsiaTheme="minorEastAsia"/>
          <w:color w:val="auto"/>
          <w:szCs w:val="21"/>
          <w:highlight w:val="none"/>
        </w:rPr>
        <w:t>上述安排可能导致投资者</w:t>
      </w:r>
      <w:r>
        <w:rPr>
          <w:rFonts w:hint="eastAsia" w:asciiTheme="minorEastAsia" w:hAnsiTheme="minorEastAsia" w:eastAsiaTheme="minorEastAsia"/>
          <w:color w:val="auto"/>
          <w:szCs w:val="21"/>
          <w:highlight w:val="none"/>
        </w:rPr>
        <w:t>面临</w:t>
      </w:r>
      <w:r>
        <w:rPr>
          <w:rFonts w:hint="eastAsia" w:asciiTheme="minorEastAsia" w:hAnsiTheme="minorEastAsia" w:eastAsiaTheme="minorEastAsia"/>
          <w:color w:val="auto"/>
          <w:kern w:val="0"/>
          <w:szCs w:val="21"/>
          <w:highlight w:val="none"/>
        </w:rPr>
        <w:t>因错过预约期导致的流动性风险。</w:t>
      </w:r>
    </w:p>
    <w:p w14:paraId="18A95B73">
      <w:pPr>
        <w:adjustRightInd w:val="0"/>
        <w:snapToGrid w:val="0"/>
        <w:spacing w:line="360" w:lineRule="auto"/>
        <w:ind w:firstLine="422"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b/>
          <w:color w:val="auto"/>
          <w:kern w:val="0"/>
          <w:szCs w:val="21"/>
          <w:highlight w:val="none"/>
        </w:rPr>
        <w:t>若根据基金合同约定，基金存续期间可设置锁定期。</w:t>
      </w:r>
      <w:r>
        <w:rPr>
          <w:rFonts w:hint="eastAsia" w:asciiTheme="minorEastAsia" w:hAnsiTheme="minorEastAsia" w:eastAsiaTheme="minorEastAsia"/>
          <w:color w:val="auto"/>
          <w:szCs w:val="21"/>
          <w:highlight w:val="none"/>
        </w:rPr>
        <w:t>投资者</w:t>
      </w:r>
      <w:r>
        <w:rPr>
          <w:rFonts w:asciiTheme="minorEastAsia" w:hAnsiTheme="minorEastAsia" w:eastAsiaTheme="minorEastAsia"/>
          <w:color w:val="auto"/>
          <w:szCs w:val="21"/>
          <w:highlight w:val="none"/>
        </w:rPr>
        <w:t>仅可对锁定期届满的基金份额进行赎回。上述安排可能导致</w:t>
      </w:r>
      <w:r>
        <w:rPr>
          <w:rFonts w:hint="eastAsia" w:asciiTheme="minorEastAsia" w:hAnsiTheme="minorEastAsia" w:eastAsiaTheme="minorEastAsia"/>
          <w:color w:val="auto"/>
          <w:szCs w:val="21"/>
          <w:highlight w:val="none"/>
        </w:rPr>
        <w:t>投资者持有的</w:t>
      </w:r>
      <w:r>
        <w:rPr>
          <w:rFonts w:hint="eastAsia" w:asciiTheme="minorEastAsia" w:hAnsiTheme="minorEastAsia" w:eastAsiaTheme="minorEastAsia"/>
          <w:color w:val="auto"/>
          <w:kern w:val="0"/>
          <w:szCs w:val="21"/>
          <w:highlight w:val="none"/>
        </w:rPr>
        <w:t>在锁定期内的份额可能面临资金不能赎回带来的流动性风险。</w:t>
      </w:r>
    </w:p>
    <w:p w14:paraId="30D8B754">
      <w:pPr>
        <w:adjustRightInd w:val="0"/>
        <w:snapToGrid w:val="0"/>
        <w:spacing w:line="360" w:lineRule="auto"/>
        <w:ind w:firstLine="422" w:firstLineChars="200"/>
        <w:rPr>
          <w:rFonts w:asciiTheme="minorEastAsia" w:hAnsiTheme="minorEastAsia" w:eastAsiaTheme="minorEastAsia"/>
          <w:color w:val="auto"/>
          <w:kern w:val="0"/>
          <w:szCs w:val="21"/>
          <w:highlight w:val="none"/>
        </w:rPr>
      </w:pPr>
      <w:r>
        <w:rPr>
          <w:rFonts w:asciiTheme="minorEastAsia" w:hAnsiTheme="minorEastAsia" w:eastAsiaTheme="minorEastAsia"/>
          <w:b/>
          <w:color w:val="auto"/>
          <w:kern w:val="0"/>
          <w:szCs w:val="21"/>
          <w:highlight w:val="none"/>
        </w:rPr>
        <w:t>若根据基金合同约定，基金存续期间可对投资者赎回申请采取份额限制。</w:t>
      </w:r>
      <w:r>
        <w:rPr>
          <w:rFonts w:asciiTheme="minorEastAsia" w:hAnsiTheme="minorEastAsia" w:eastAsiaTheme="minorEastAsia"/>
          <w:color w:val="auto"/>
          <w:kern w:val="0"/>
          <w:szCs w:val="21"/>
          <w:highlight w:val="none"/>
        </w:rPr>
        <w:t>如经测算，投资者部分赎回基金份额将导致其持有的剩余基金资产净值低于100万元人民币的，基金管理人可按照合同约定，在接受投资者赎回申请后，对其所持剩余基金份额按照强制赎回处理或者对投资者赎回申请进行调整，调降其申请赎回的基金份额。上述安排可能给投资者利益带来不利影响。</w:t>
      </w:r>
    </w:p>
    <w:p w14:paraId="62DC2536">
      <w:pPr>
        <w:pStyle w:val="12"/>
        <w:adjustRightInd w:val="0"/>
        <w:snapToGrid w:val="0"/>
        <w:spacing w:before="93" w:beforeLines="30" w:after="93" w:afterLines="30" w:line="360" w:lineRule="auto"/>
        <w:ind w:firstLine="422" w:firstLineChars="200"/>
        <w:rPr>
          <w:rFonts w:asciiTheme="minorEastAsia" w:hAnsiTheme="minorEastAsia" w:eastAsiaTheme="minorEastAsia"/>
          <w:color w:val="auto"/>
          <w:highlight w:val="none"/>
        </w:rPr>
      </w:pPr>
      <w:r>
        <w:rPr>
          <w:rFonts w:hint="eastAsia" w:asciiTheme="minorEastAsia" w:hAnsiTheme="minorEastAsia" w:eastAsiaTheme="minorEastAsia"/>
          <w:b/>
          <w:color w:val="auto"/>
          <w:highlight w:val="none"/>
        </w:rPr>
        <w:t>基金管理人负责按照基金合同约定的开放安排，为投资者办理基金份额的申购</w:t>
      </w:r>
      <w:r>
        <w:rPr>
          <w:rFonts w:asciiTheme="minorEastAsia" w:hAnsiTheme="minorEastAsia" w:eastAsiaTheme="minorEastAsia"/>
          <w:b/>
          <w:color w:val="auto"/>
          <w:highlight w:val="none"/>
        </w:rPr>
        <w:t>/赎回业务，并履行信息披露义务。</w:t>
      </w:r>
      <w:r>
        <w:rPr>
          <w:rFonts w:hint="eastAsia" w:asciiTheme="minorEastAsia" w:hAnsiTheme="minorEastAsia" w:eastAsiaTheme="minorEastAsia"/>
          <w:b/>
          <w:color w:val="auto"/>
          <w:highlight w:val="none"/>
        </w:rPr>
        <w:t>提示投资者应当及时关注基金合同约定及基金管理人信息披露内容。基金托管人及服务机构不承担任何因基金管理人未按照合同约定执行基金开放安排或信息披露义务导致的损失。</w:t>
      </w:r>
    </w:p>
    <w:p w14:paraId="4CF8CE3F">
      <w:pPr>
        <w:pStyle w:val="12"/>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7、募集机构与管理人存在关联关系的风险（如有）</w:t>
      </w:r>
    </w:p>
    <w:p w14:paraId="3BB1416C">
      <w:pPr>
        <w:pStyle w:val="12"/>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可委托销售机构销售本基金，受托销售机构可能与基金管理人存在关联关系。基金管理人与其受托关联销售机构之间的交易及其他业务安排应当遵循基金份额持有人利益优先的原则、防范利益冲突，但仍可能存在未能完全遵循以基金份额持有人利益优先、未能完全杜绝关联方之间的利益输送、未能完全避免关联方与基金委托人之间的利益冲突、未能充分履行相关信息披露义务等相关风险。</w:t>
      </w:r>
    </w:p>
    <w:p w14:paraId="01711F94">
      <w:pPr>
        <w:pStyle w:val="12"/>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8、关联交易风险（如有）</w:t>
      </w:r>
    </w:p>
    <w:p w14:paraId="70D5A47D">
      <w:pPr>
        <w:pStyle w:val="12"/>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可运用基金财产买卖基金管理人、基金托管人及其控股股东、实际控制人或者与其有其他重大利害关系的公司发行的证券或承销期内承销的证券；或上述主体直接或间接管理或代理销售的、或提供客户服务的、或者该等主体持有的符合本基金合同投资范围规定的投资产品。基金管理人亦可与基金管理人、基金托管人及其关联方或者与上述主体有其他重大利害关系的主体进行融资融券（如有）、收益互换（如有）、场外期权（如有）等交易。基金托管人不对上述关联交易有关限制的执行承担投资监督职责，不对上述关联交易是否存在利益输送、不公平交易等情形承担监督职责，投资者签署本基金合同即表明其已经知晓并同意本基金可能进行上述关联交易。</w:t>
      </w:r>
    </w:p>
    <w:p w14:paraId="5B992E6A">
      <w:pPr>
        <w:pStyle w:val="12"/>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投资者不得因本基金进行上述关联交易或投资收益劣于基金管理人、基金托管人及其关联方管理的其他类似投资产品，而向基金管理人或基金托管人提出任何损失或损害补偿的要求。</w:t>
      </w:r>
    </w:p>
    <w:p w14:paraId="0014FCCB">
      <w:pPr>
        <w:pStyle w:val="12"/>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9、单一标的的投资风险（如有）</w:t>
      </w:r>
    </w:p>
    <w:p w14:paraId="227B9CA4">
      <w:pPr>
        <w:pStyle w:val="12"/>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本基金存续期内，如基金管理人将本基金财产全部投资于单一标的、未进行组合投资的，因投资风险高度集中，基金财产盈亏情况受单一标的影响严重，极端情形下存在投资本金全部亏损的风险。基金管理人应当按照法律法规规定和基金合同约定的方式向投资者书面揭示投资标的的基本情况、投资架构、因未进行组合投资而可能受到的损失、纠纷解决机制等内容，并由投资者签署确认。</w:t>
      </w:r>
    </w:p>
    <w:p w14:paraId="2E2A2C71">
      <w:pPr>
        <w:pStyle w:val="12"/>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10、特殊目的载体投向标的的风险（如有）</w:t>
      </w:r>
    </w:p>
    <w:p w14:paraId="27B23C9E">
      <w:pPr>
        <w:pStyle w:val="12"/>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本基金通过特殊目的载体进行投资，投资标的最终的权利登记在特殊目的载体名下，本基金管理人面临无法直接向底层投资标的的交易对手主张权利的风险。本基金管理人如需实现底层投资标的的债权、股权、担保权利等需要底层投资标的的交易对手的相关人员进行配合，如相关人员不进行配合可能对基金财产变现和处置存在一定的影响。</w:t>
      </w:r>
    </w:p>
    <w:p w14:paraId="202E3F15">
      <w:pPr>
        <w:pStyle w:val="12"/>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11、契约型私募投资基金管理人股权代持的风险（如有）</w:t>
      </w:r>
    </w:p>
    <w:p w14:paraId="1550FCBF">
      <w:pPr>
        <w:pStyle w:val="12"/>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本基金存在契约型私募投资基金管理人股权代持的风险。私募基金管理人代表私募基金持有投资标的股权，与其他第三方签署相关协议文件、行使股东权利或者实施其他法律行为，基金财产的收益可能受到基金管理人的管理能力、管理水平的影响，契约型私募投资基金及投资者无法直接行使股东权利或实施其他法律行为。</w:t>
      </w:r>
    </w:p>
    <w:p w14:paraId="6A324A72">
      <w:pPr>
        <w:numPr>
          <w:ilvl w:val="0"/>
          <w:numId w:val="6"/>
        </w:numPr>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基金管理人发生重大登记信息变更所涉风险（如有）</w:t>
      </w:r>
    </w:p>
    <w:p w14:paraId="48723849">
      <w:pPr>
        <w:numPr>
          <w:ilvl w:val="255"/>
          <w:numId w:val="0"/>
        </w:numPr>
        <w:adjustRightInd w:val="0"/>
        <w:snapToGrid w:val="0"/>
        <w:spacing w:before="93" w:beforeLines="30" w:after="93" w:afterLines="30" w:line="372" w:lineRule="auto"/>
        <w:ind w:firstLine="420"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color w:val="auto"/>
          <w:kern w:val="0"/>
          <w:szCs w:val="21"/>
          <w:highlight w:val="none"/>
        </w:rPr>
        <w:t>基金管理人的控股股东、实际控制人、普通合伙人</w:t>
      </w:r>
      <w:r>
        <w:rPr>
          <w:rFonts w:hint="eastAsia" w:asciiTheme="minorEastAsia" w:hAnsiTheme="minorEastAsia" w:eastAsiaTheme="minorEastAsia"/>
          <w:color w:val="auto"/>
          <w:szCs w:val="21"/>
          <w:highlight w:val="none"/>
        </w:rPr>
        <w:t>（当基金管理人为合伙企业时）</w:t>
      </w:r>
      <w:r>
        <w:rPr>
          <w:rFonts w:hint="eastAsia" w:asciiTheme="minorEastAsia" w:hAnsiTheme="minorEastAsia" w:eastAsiaTheme="minorEastAsia"/>
          <w:color w:val="auto"/>
          <w:kern w:val="0"/>
          <w:szCs w:val="21"/>
          <w:highlight w:val="none"/>
        </w:rPr>
        <w:t>等发生变更的，基金管理人应当按照基金业协会有关规定提交材料并履行变更手续。基金管理人发生上述重大登记信息变更期间募集资金的，基金管理人应当按照基金合同约定的方式向投资者揭示变更情况，以及可能存在无法完成变更登记和基金备案手续的合规风险。</w:t>
      </w:r>
    </w:p>
    <w:p w14:paraId="39E5E1A2">
      <w:pPr>
        <w:pStyle w:val="12"/>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1</w:t>
      </w:r>
      <w:r>
        <w:rPr>
          <w:rFonts w:hint="eastAsia" w:asciiTheme="minorEastAsia" w:hAnsiTheme="minorEastAsia" w:eastAsiaTheme="minorEastAsia"/>
          <w:b/>
          <w:bCs/>
          <w:color w:val="auto"/>
          <w:highlight w:val="none"/>
        </w:rPr>
        <w:t>3、产品架构所涉风险</w:t>
      </w:r>
    </w:p>
    <w:p w14:paraId="48728A55">
      <w:pPr>
        <w:pStyle w:val="12"/>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根据本合同的份额分类安排，本基金按募集对象身份不同将基金份额分成</w:t>
      </w:r>
      <w:r>
        <w:rPr>
          <w:rFonts w:asciiTheme="minorEastAsia" w:hAnsiTheme="minorEastAsia" w:eastAsiaTheme="minorEastAsia"/>
          <w:color w:val="auto"/>
          <w:highlight w:val="none"/>
        </w:rPr>
        <w:t>A类份额</w:t>
      </w:r>
      <w:r>
        <w:rPr>
          <w:rFonts w:hint="eastAsia" w:asciiTheme="minorEastAsia" w:hAnsiTheme="minorEastAsia" w:eastAsiaTheme="minorEastAsia"/>
          <w:color w:val="auto"/>
          <w:highlight w:val="none"/>
        </w:rPr>
        <w:t>、B类份额、C类份额</w:t>
      </w:r>
      <w:r>
        <w:rPr>
          <w:rFonts w:asciiTheme="minorEastAsia" w:hAnsiTheme="minorEastAsia" w:eastAsiaTheme="minorEastAsia"/>
          <w:color w:val="auto"/>
          <w:highlight w:val="none"/>
        </w:rPr>
        <w:t>和</w:t>
      </w:r>
      <w:r>
        <w:rPr>
          <w:rFonts w:hint="eastAsia" w:asciiTheme="minorEastAsia" w:hAnsiTheme="minorEastAsia" w:eastAsiaTheme="minorEastAsia"/>
          <w:color w:val="auto"/>
          <w:highlight w:val="none"/>
        </w:rPr>
        <w:t>D</w:t>
      </w:r>
      <w:r>
        <w:rPr>
          <w:rFonts w:asciiTheme="minorEastAsia" w:hAnsiTheme="minorEastAsia" w:eastAsiaTheme="minorEastAsia"/>
          <w:color w:val="auto"/>
          <w:highlight w:val="none"/>
        </w:rPr>
        <w:t>类份额，</w:t>
      </w:r>
      <w:r>
        <w:rPr>
          <w:rFonts w:hint="eastAsia" w:asciiTheme="minorEastAsia" w:hAnsiTheme="minorEastAsia" w:eastAsiaTheme="minorEastAsia"/>
          <w:color w:val="auto"/>
          <w:highlight w:val="none"/>
        </w:rPr>
        <w:t>四</w:t>
      </w:r>
      <w:r>
        <w:rPr>
          <w:rFonts w:asciiTheme="minorEastAsia" w:hAnsiTheme="minorEastAsia" w:eastAsiaTheme="minorEastAsia"/>
          <w:color w:val="auto"/>
          <w:highlight w:val="none"/>
        </w:rPr>
        <w:t>类基金份额均存在不盈利甚至亏损的可能，投资者需了解对应份额的收费情况，因份额分类产生的相关风险以及自身认/申购的份额类别后选择参与。</w:t>
      </w:r>
    </w:p>
    <w:p w14:paraId="6DE07483">
      <w:pPr>
        <w:pStyle w:val="12"/>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本基金的份额分类不是结构化分级，本基金管理人或托管人不对各类份额承诺最低收益、承诺本金不受损失，限定损失金额和比例。</w:t>
      </w:r>
    </w:p>
    <w:p w14:paraId="43B53109">
      <w:pPr>
        <w:pStyle w:val="12"/>
        <w:widowControl w:val="0"/>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（二）一般风险揭示</w:t>
      </w:r>
    </w:p>
    <w:p w14:paraId="54E94565">
      <w:pPr>
        <w:pStyle w:val="12"/>
        <w:widowControl w:val="0"/>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1、资金损失风险</w:t>
      </w:r>
    </w:p>
    <w:p w14:paraId="28F8785F">
      <w:pPr>
        <w:pStyle w:val="12"/>
        <w:widowControl w:val="0"/>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基金管理人依照恪尽职守、诚实信用、谨慎勤勉的原则管理和运用基金财产，但不保证基金财产中的认购资金本金不受损失，也不保证一定盈利及最低收益。</w:t>
      </w:r>
    </w:p>
    <w:p w14:paraId="3ED6A234">
      <w:pPr>
        <w:adjustRightInd w:val="0"/>
        <w:snapToGrid w:val="0"/>
        <w:spacing w:before="93" w:beforeLines="30" w:after="93" w:afterLines="30" w:line="360" w:lineRule="auto"/>
        <w:ind w:firstLine="422" w:firstLineChars="200"/>
        <w:rPr>
          <w:rFonts w:cs="宋体" w:asciiTheme="minorEastAsia" w:hAnsiTheme="minorEastAsia" w:eastAsiaTheme="minorEastAsia"/>
          <w:color w:val="auto"/>
          <w:kern w:val="0"/>
          <w:szCs w:val="21"/>
          <w:highlight w:val="none"/>
        </w:rPr>
      </w:pPr>
      <w:r>
        <w:rPr>
          <w:rFonts w:hint="eastAsia" w:cs="宋体" w:asciiTheme="minorEastAsia" w:hAnsiTheme="minorEastAsia" w:eastAsiaTheme="minorEastAsia"/>
          <w:b/>
          <w:bCs/>
          <w:color w:val="auto"/>
          <w:kern w:val="0"/>
          <w:szCs w:val="21"/>
          <w:highlight w:val="none"/>
        </w:rPr>
        <w:t>本基金风险等级为[R</w:t>
      </w:r>
      <w:r>
        <w:rPr>
          <w:rFonts w:cs="宋体" w:asciiTheme="minorEastAsia" w:hAnsiTheme="minorEastAsia" w:eastAsiaTheme="minorEastAsia"/>
          <w:b/>
          <w:bCs/>
          <w:color w:val="auto"/>
          <w:kern w:val="0"/>
          <w:szCs w:val="21"/>
          <w:highlight w:val="none"/>
        </w:rPr>
        <w:t>4</w:t>
      </w:r>
      <w:r>
        <w:rPr>
          <w:rFonts w:hint="eastAsia" w:cs="宋体" w:asciiTheme="minorEastAsia" w:hAnsiTheme="minorEastAsia" w:eastAsiaTheme="minorEastAsia"/>
          <w:b/>
          <w:bCs/>
          <w:color w:val="auto"/>
          <w:kern w:val="0"/>
          <w:szCs w:val="21"/>
          <w:highlight w:val="none"/>
        </w:rPr>
        <w:t>]，适合风险识别、评估、承受能力[C</w:t>
      </w:r>
      <w:r>
        <w:rPr>
          <w:rFonts w:cs="宋体" w:asciiTheme="minorEastAsia" w:hAnsiTheme="minorEastAsia" w:eastAsiaTheme="minorEastAsia"/>
          <w:b/>
          <w:bCs/>
          <w:color w:val="auto"/>
          <w:kern w:val="0"/>
          <w:szCs w:val="21"/>
          <w:highlight w:val="none"/>
        </w:rPr>
        <w:t>4</w:t>
      </w:r>
      <w:r>
        <w:rPr>
          <w:rFonts w:hint="eastAsia" w:cs="宋体" w:asciiTheme="minorEastAsia" w:hAnsiTheme="minorEastAsia" w:eastAsiaTheme="minorEastAsia"/>
          <w:b/>
          <w:bCs/>
          <w:color w:val="auto"/>
          <w:kern w:val="0"/>
          <w:szCs w:val="21"/>
          <w:highlight w:val="none"/>
        </w:rPr>
        <w:t>及以上]的普通投资者及专业投资者。</w:t>
      </w:r>
    </w:p>
    <w:p w14:paraId="77B11841">
      <w:pPr>
        <w:pStyle w:val="12"/>
        <w:widowControl w:val="0"/>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2、基金运营风险</w:t>
      </w:r>
    </w:p>
    <w:p w14:paraId="13BFF5B3">
      <w:pPr>
        <w:pStyle w:val="12"/>
        <w:widowControl w:val="0"/>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基金管理人依据本合同约定管理和运用基金财产所产生的风险，由基金财产及投资者承担。投资者应充分知晓投资运营的相关风险，其风险应由投资者自担。</w:t>
      </w:r>
    </w:p>
    <w:p w14:paraId="08B72D14">
      <w:pPr>
        <w:pStyle w:val="12"/>
        <w:widowControl w:val="0"/>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3、募集失败风险</w:t>
      </w:r>
    </w:p>
    <w:p w14:paraId="44AC205C">
      <w:pPr>
        <w:pStyle w:val="12"/>
        <w:widowControl w:val="0"/>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本基金的成立需符合相关法律法规的规定，本基金可能存在不能满足成立条件从而无法成立的风险。</w:t>
      </w:r>
    </w:p>
    <w:p w14:paraId="7A08090D">
      <w:pPr>
        <w:pStyle w:val="12"/>
        <w:widowControl w:val="0"/>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基金管理人的责任承担方式：</w:t>
      </w:r>
    </w:p>
    <w:p w14:paraId="21108527">
      <w:pPr>
        <w:pStyle w:val="12"/>
        <w:widowControl w:val="0"/>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（1）以其固有财产承担因募集行为而产生的债务和费用；</w:t>
      </w:r>
    </w:p>
    <w:p w14:paraId="01C89CCB">
      <w:pPr>
        <w:pStyle w:val="12"/>
        <w:widowControl w:val="0"/>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（2）在基金募集期限届满（确认基金无法成立）后三十日内返还投资人已交纳的款项，并加计银行同期存款利息。</w:t>
      </w:r>
    </w:p>
    <w:p w14:paraId="2FDE3F32">
      <w:pPr>
        <w:pStyle w:val="12"/>
        <w:widowControl w:val="0"/>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4、税收风险</w:t>
      </w:r>
    </w:p>
    <w:p w14:paraId="5D9B8690">
      <w:pPr>
        <w:pStyle w:val="12"/>
        <w:widowControl w:val="0"/>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契约型基金所适用的税收征管法律法规可能会由于国家相关税收政策调整而发生变化，投资者收益也可能因相关税收政策调整而受到影响。</w:t>
      </w:r>
    </w:p>
    <w:p w14:paraId="6443B7DC">
      <w:pPr>
        <w:pStyle w:val="12"/>
        <w:widowControl w:val="0"/>
        <w:adjustRightInd w:val="0"/>
        <w:snapToGrid w:val="0"/>
        <w:spacing w:before="93" w:beforeLines="30" w:after="93" w:afterLines="30" w:line="360" w:lineRule="auto"/>
        <w:ind w:firstLine="422" w:firstLineChars="200"/>
        <w:rPr>
          <w:rStyle w:val="11"/>
          <w:b/>
          <w:bCs/>
          <w:color w:val="auto"/>
          <w:highlight w:val="none"/>
        </w:rPr>
      </w:pPr>
      <w:r>
        <w:rPr>
          <w:rFonts w:hint="eastAsia" w:ascii="宋体" w:hAnsi="宋体"/>
          <w:b/>
          <w:bCs/>
          <w:color w:val="auto"/>
          <w:highlight w:val="none"/>
        </w:rPr>
        <w:t>5、基金产品的特定设计可能引起的特定风险</w:t>
      </w:r>
    </w:p>
    <w:p w14:paraId="2AC7E88F">
      <w:pPr>
        <w:spacing w:line="360" w:lineRule="auto"/>
        <w:ind w:firstLine="422" w:firstLineChars="200"/>
        <w:contextualSpacing/>
        <w:rPr>
          <w:rStyle w:val="11"/>
          <w:b/>
          <w:bCs/>
          <w:color w:val="auto"/>
          <w:highlight w:val="none"/>
        </w:rPr>
      </w:pPr>
      <w:r>
        <w:rPr>
          <w:rStyle w:val="11"/>
          <w:rFonts w:hint="eastAsia"/>
          <w:b/>
          <w:bCs/>
          <w:color w:val="auto"/>
          <w:highlight w:val="none"/>
        </w:rPr>
        <w:t>5.1使用虚拟净值进行估值的风险（如有）</w:t>
      </w:r>
    </w:p>
    <w:p w14:paraId="0A36A529">
      <w:pPr>
        <w:spacing w:line="360" w:lineRule="auto"/>
        <w:ind w:firstLine="422" w:firstLineChars="200"/>
        <w:contextualSpacing/>
        <w:rPr>
          <w:rStyle w:val="11"/>
          <w:b/>
          <w:bCs/>
          <w:color w:val="auto"/>
          <w:highlight w:val="none"/>
        </w:rPr>
      </w:pPr>
      <w:r>
        <w:rPr>
          <w:rStyle w:val="11"/>
          <w:rFonts w:hint="eastAsia"/>
          <w:b/>
          <w:bCs/>
          <w:color w:val="auto"/>
          <w:highlight w:val="none"/>
        </w:rPr>
        <w:t>当本基金投资场外</w:t>
      </w:r>
      <w:r>
        <w:rPr>
          <w:rFonts w:hint="eastAsia" w:ascii="宋体" w:hAnsi="宋体"/>
          <w:b/>
          <w:bCs/>
          <w:color w:val="auto"/>
          <w:szCs w:val="21"/>
          <w:highlight w:val="none"/>
        </w:rPr>
        <w:t>资产管理产品</w:t>
      </w:r>
      <w:r>
        <w:rPr>
          <w:rStyle w:val="11"/>
          <w:rFonts w:hint="eastAsia"/>
          <w:b/>
          <w:bCs/>
          <w:color w:val="auto"/>
          <w:highlight w:val="none"/>
        </w:rPr>
        <w:t>时，由于场外</w:t>
      </w:r>
      <w:r>
        <w:rPr>
          <w:rFonts w:hint="eastAsia" w:ascii="宋体" w:hAnsi="宋体"/>
          <w:b/>
          <w:bCs/>
          <w:color w:val="auto"/>
          <w:szCs w:val="21"/>
          <w:highlight w:val="none"/>
        </w:rPr>
        <w:t>资产管理产品</w:t>
      </w:r>
      <w:r>
        <w:rPr>
          <w:rStyle w:val="11"/>
          <w:rFonts w:hint="eastAsia"/>
          <w:b/>
          <w:bCs/>
          <w:color w:val="auto"/>
          <w:highlight w:val="none"/>
        </w:rPr>
        <w:t>份额净值中包含了应当计提但是未支付的业绩报酬，采用份额净值对本基金资产进行估值可能无法准确地反映本基金的真实资产价值，因此，私募基金管理人可视基金实际运作情况，使用虚拟单位净值对该等场外资产管理产品进行估值。</w:t>
      </w:r>
    </w:p>
    <w:p w14:paraId="31925E41">
      <w:pPr>
        <w:spacing w:line="360" w:lineRule="auto"/>
        <w:ind w:firstLine="422" w:firstLineChars="200"/>
        <w:contextualSpacing/>
        <w:rPr>
          <w:rStyle w:val="11"/>
          <w:b/>
          <w:bCs/>
          <w:color w:val="auto"/>
          <w:highlight w:val="none"/>
        </w:rPr>
      </w:pPr>
      <w:r>
        <w:rPr>
          <w:rStyle w:val="11"/>
          <w:rFonts w:hint="eastAsia"/>
          <w:b/>
          <w:bCs/>
          <w:color w:val="auto"/>
          <w:highlight w:val="none"/>
        </w:rPr>
        <w:t>由于虚拟单位净值的真实性、准确性、完整性依赖于场外</w:t>
      </w:r>
      <w:r>
        <w:rPr>
          <w:rFonts w:hint="eastAsia" w:ascii="宋体" w:hAnsi="宋体"/>
          <w:b/>
          <w:bCs/>
          <w:color w:val="auto"/>
          <w:szCs w:val="21"/>
          <w:highlight w:val="none"/>
        </w:rPr>
        <w:t>资产管理产品</w:t>
      </w:r>
      <w:r>
        <w:rPr>
          <w:rStyle w:val="11"/>
          <w:rFonts w:hint="eastAsia"/>
          <w:b/>
          <w:bCs/>
          <w:color w:val="auto"/>
          <w:highlight w:val="none"/>
        </w:rPr>
        <w:t>相关基础数据的真实性、准确性、完整性，若场外资产管理产品之托管人、服务机构、管理人以及本基金之管理人未及时提供真实、准确、完整的虚拟单位净值或估值材料，可能发生该等虚拟单位净值存在错误或延迟，从而影响本基金的单位净值。</w:t>
      </w:r>
    </w:p>
    <w:p w14:paraId="75547117">
      <w:pPr>
        <w:pStyle w:val="12"/>
        <w:widowControl w:val="0"/>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color w:val="auto"/>
          <w:highlight w:val="none"/>
        </w:rPr>
      </w:pPr>
      <w:r>
        <w:rPr>
          <w:rStyle w:val="11"/>
          <w:rFonts w:hint="eastAsia"/>
          <w:b/>
          <w:bCs/>
          <w:color w:val="auto"/>
          <w:highlight w:val="none"/>
        </w:rPr>
        <w:t>由于虚拟单位净值需要将场外</w:t>
      </w:r>
      <w:r>
        <w:rPr>
          <w:rFonts w:hint="eastAsia" w:ascii="宋体" w:hAnsi="宋体"/>
          <w:b/>
          <w:bCs/>
          <w:color w:val="auto"/>
          <w:highlight w:val="none"/>
        </w:rPr>
        <w:t>资产管理产品</w:t>
      </w:r>
      <w:r>
        <w:rPr>
          <w:rStyle w:val="11"/>
          <w:rFonts w:hint="eastAsia"/>
          <w:b/>
          <w:bCs/>
          <w:color w:val="auto"/>
          <w:highlight w:val="none"/>
        </w:rPr>
        <w:t>份额净值扣除估值当日预计内含的业绩报酬（如有），因此采用虚拟单位净值估值后的单位净值将低于之前按照基金份额净值估值的单位净值。</w:t>
      </w:r>
    </w:p>
    <w:p w14:paraId="7E41AA4D">
      <w:pPr>
        <w:pStyle w:val="12"/>
        <w:widowControl w:val="0"/>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6、其他风险</w:t>
      </w:r>
    </w:p>
    <w:p w14:paraId="5024CDF4">
      <w:pPr>
        <w:pStyle w:val="12"/>
        <w:widowControl w:val="0"/>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包括但不限于法律与政策风险、发生不可抗力事件的风险、技术风险和操作风险等。</w:t>
      </w:r>
    </w:p>
    <w:p w14:paraId="16A0BD93">
      <w:pPr>
        <w:pStyle w:val="12"/>
        <w:widowControl w:val="0"/>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kern w:val="2"/>
          <w:highlight w:val="none"/>
        </w:rPr>
      </w:pPr>
      <w:r>
        <w:rPr>
          <w:rFonts w:hint="eastAsia" w:asciiTheme="minorEastAsia" w:hAnsiTheme="minorEastAsia" w:eastAsiaTheme="minorEastAsia"/>
          <w:b/>
          <w:bCs/>
          <w:color w:val="auto"/>
          <w:kern w:val="2"/>
          <w:highlight w:val="none"/>
        </w:rPr>
        <w:t>（三）基金投资风险揭示</w:t>
      </w:r>
    </w:p>
    <w:p w14:paraId="0EADCFD0">
      <w:pPr>
        <w:adjustRightInd w:val="0"/>
        <w:snapToGrid w:val="0"/>
        <w:spacing w:before="93" w:beforeLines="30" w:after="93" w:afterLines="30" w:line="360" w:lineRule="auto"/>
        <w:ind w:firstLine="422"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
          <w:bCs/>
          <w:color w:val="auto"/>
          <w:szCs w:val="21"/>
          <w:highlight w:val="none"/>
        </w:rPr>
        <w:t>1、市场风险</w:t>
      </w:r>
    </w:p>
    <w:p w14:paraId="58A049D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证券市场价格因受各种因素的影响而引起的波动，将使基金资产面临潜在的风险。市场风险包括但不限于股票投资风险、债券投资风险、新三板市场投资风险等。</w:t>
      </w:r>
    </w:p>
    <w:p w14:paraId="145FA33B">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（1）股票投资风险主要包括：</w:t>
      </w:r>
    </w:p>
    <w:p w14:paraId="1C15655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1）国家货币政策、财政政策、产业政策等的变化对证券市场产生一定的影响，导致市场价格水平波动的风险；</w:t>
      </w:r>
    </w:p>
    <w:p w14:paraId="3653892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2）宏观经济运行周期性波动，对股票市场的收益水平产生影响的风险；</w:t>
      </w:r>
    </w:p>
    <w:p w14:paraId="0CC00FA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3）上市公司的经营状况受多种因素影响，如市场、技术、竞争、管理、财务等都会导致公司盈利发生变化，从而导致股票价格变动的风险；</w:t>
      </w:r>
    </w:p>
    <w:p w14:paraId="1E1F5E1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4）全面实行股票发行注册制后，主板股票发行、上市、交易、持续监管等相关制度安排发生一定变化，投资者应当充分知悉并关注相关规则及风险。</w:t>
      </w:r>
    </w:p>
    <w:p w14:paraId="71B366B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全面注册制下，科创板、创业板、北交所股票发行在上市门槛、公司盈利能力、发行价格、减持制度、交易机制、涨跌幅限制以及退市制度等方面与其他A股板块的股票不同，可能导致本基金净值波动更大，投资者应当充分知悉并关注各板块相关规则及风险。</w:t>
      </w:r>
    </w:p>
    <w:p w14:paraId="6EAB3B33">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（2）债券投资风险主要包括：</w:t>
      </w:r>
    </w:p>
    <w:p w14:paraId="12EC97D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1）市场平均利率水平变化导致债券价格变化的风险；</w:t>
      </w:r>
    </w:p>
    <w:p w14:paraId="105DD48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2）债券市场不同期限、不同类属债券之间的利差变动导致相应期限和类属债券价格变化的风险；</w:t>
      </w:r>
    </w:p>
    <w:p w14:paraId="47468D1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3）债券之发行人出现违约、拒绝支付到期本息，或由于债券发行人信用质量降低导致债券价格下降的风险。</w:t>
      </w:r>
    </w:p>
    <w:p w14:paraId="324ADCF5">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（3）新三板市场</w:t>
      </w:r>
      <w:r>
        <w:rPr>
          <w:rFonts w:ascii="宋体" w:hAnsi="宋体"/>
          <w:b/>
          <w:bCs/>
          <w:color w:val="auto"/>
          <w:highlight w:val="none"/>
        </w:rPr>
        <w:t>挂牌公司</w:t>
      </w:r>
      <w:r>
        <w:rPr>
          <w:rFonts w:hint="eastAsia" w:ascii="宋体" w:hAnsi="宋体"/>
          <w:b/>
          <w:bCs/>
          <w:color w:val="auto"/>
          <w:highlight w:val="none"/>
        </w:rPr>
        <w:t>股票</w:t>
      </w:r>
      <w:r>
        <w:rPr>
          <w:rFonts w:hint="eastAsia" w:asciiTheme="minorEastAsia" w:hAnsiTheme="minorEastAsia" w:eastAsiaTheme="minorEastAsia"/>
          <w:b/>
          <w:bCs/>
          <w:color w:val="auto"/>
          <w:szCs w:val="21"/>
          <w:highlight w:val="none"/>
        </w:rPr>
        <w:t>投资风险（如有）主要包括：</w:t>
      </w:r>
    </w:p>
    <w:p w14:paraId="3DAA83A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本基金如可参与新三板市场挂牌公司股票投资，除面临股票的共有投资风险外，还存在包括但不限于如下特定风险：</w:t>
      </w:r>
    </w:p>
    <w:p w14:paraId="702421B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流动性不足的风险。就目前情况而言，新三板市场交易量较小，流动性较差，可能存在建仓时间较长的情况，同时，由于挂牌公司股票变现过程中可能无法找到合适的交易对手，新三板公司股票卖出价格可能较低或无法及时卖出，导致本基金投资本金遭受较大幅度的损失，进而导致投资者面临投资本金遭受较大亏损的风险。</w:t>
      </w:r>
    </w:p>
    <w:p w14:paraId="1FF682F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2）净值波幅较大的风险。因目前新三板交易量较小，主要以协议转让和做市转让为主，且无涨跌幅限制，估值数据可能出现较大波幅。</w:t>
      </w:r>
    </w:p>
    <w:p w14:paraId="0CF175A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公司风险。部分挂牌公司具有规模较小，对单一技术依赖度较高，受技术更新换代影响较大；对核心技术人员依赖度较高；客户集中度高，议价能力不强等特点。部分公司抗市场风险和行业风险的能力较弱，业务收入可能波动较大。</w:t>
      </w:r>
    </w:p>
    <w:p w14:paraId="7A71BAE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4）信息风险。挂牌公司信息披露要求和标准与上市公司存在差异，除挂牌公司所披露的信息外，投资者还需认真获取和研判其他信息，审慎做出投资决策。</w:t>
      </w:r>
    </w:p>
    <w:p w14:paraId="6C261FE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两网公司及退市公司股票投资的风险。本基金如参与两网公司及退市公司股票投资，将面临包括但不限于宏观风险、政策风险、经营风险、技术风险、不可抗力因素风险、退市公司风险等特殊风险，可能导致本基金投资本金面临巨大损失。</w:t>
      </w:r>
    </w:p>
    <w:p w14:paraId="1DA09E29">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2、基金管理人管理风险</w:t>
      </w:r>
    </w:p>
    <w:p w14:paraId="000DAC30">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在实际操作过程中，基金管理人可能限于知识、技术、经验等因素而影响其对相关信息、经济形势和证券价格走势的判断，其精选出的投资品种的业绩表现不一定持续优于其他投资品种。</w:t>
      </w:r>
    </w:p>
    <w:p w14:paraId="5C715D71">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3、流动性风险</w:t>
      </w:r>
    </w:p>
    <w:p w14:paraId="55DB794F">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在市场或个股流动性不足的情况下，基金管理人可能无法迅速、低成本地调整投资计划，从而对基金收益造成不利影响。</w:t>
      </w:r>
    </w:p>
    <w:p w14:paraId="5B219653">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在基金份额持有人提出追加或减少基金财产时，可能存在现金不足的风险和现金过多带来的收益下降风险。</w:t>
      </w:r>
    </w:p>
    <w:p w14:paraId="5FD9A81B">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4、信用风险</w:t>
      </w:r>
    </w:p>
    <w:p w14:paraId="47BE3FDD">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本基金交易对手方发生交易违约或者基金持仓债券的发行人拒绝支付债券本息，导致基金财产损失。</w:t>
      </w:r>
    </w:p>
    <w:p w14:paraId="3822129D">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5、金融衍生品及资产管理产品投资风险(如有)</w:t>
      </w:r>
    </w:p>
    <w:p w14:paraId="01B83320">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w:t>
      </w:r>
      <w:r>
        <w:rPr>
          <w:rFonts w:asciiTheme="minorEastAsia" w:hAnsiTheme="minorEastAsia" w:eastAsiaTheme="minorEastAsia"/>
          <w:b/>
          <w:bCs/>
          <w:color w:val="auto"/>
          <w:szCs w:val="21"/>
          <w:highlight w:val="none"/>
        </w:rPr>
        <w:t>期货投资风险</w:t>
      </w:r>
    </w:p>
    <w:p w14:paraId="6D393924">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1）流动性风险</w:t>
      </w:r>
    </w:p>
    <w:p w14:paraId="1733E821">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在期货市场成交不活跃时，可能在建仓和平仓期货时面临交易价格或者交易数量上的风险。</w:t>
      </w:r>
    </w:p>
    <w:p w14:paraId="693154FC">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2）基差风险</w:t>
      </w:r>
    </w:p>
    <w:p w14:paraId="0C84F1E9">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基差是指现货价格与期货价格之间的差额。若产品运作中出现基差波动不确定性加大、基差向不利方向变动等情况，则可能对本基金投资产生影响。</w:t>
      </w:r>
    </w:p>
    <w:p w14:paraId="0D6531F9">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3）合约展期风险</w:t>
      </w:r>
    </w:p>
    <w:p w14:paraId="3DD4489E">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期货合约主要包括期货当月和近月合约。当基金所持有的合约临近交割期限，即需要向较远月份的合约进行展期，展期过程中可能发生价差损失以及交易成本损失，将对投资收益产生影响。</w:t>
      </w:r>
    </w:p>
    <w:p w14:paraId="163AD6CD">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4）期货保证金不足风险</w:t>
      </w:r>
    </w:p>
    <w:p w14:paraId="676049E7">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由于期货价格朝不利方向变动，导致期货账户的资金低于期货交易所或者期货经纪商的最低保证金要求，如果不能及时补充保证金，期货头寸将被强行平仓，导致无法规避对冲系统性风险，直接影响本基金收益水平，从而产生风险。</w:t>
      </w:r>
    </w:p>
    <w:p w14:paraId="1C17A763">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5）杠杆风险</w:t>
      </w:r>
    </w:p>
    <w:p w14:paraId="739567BE">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期货作为金融衍生品，其投资收益与风险具有杠杆效应。若行情向不利方向剧烈变动，本基金可能承受超出保证金甚至基金资产本金的损失。</w:t>
      </w:r>
    </w:p>
    <w:p w14:paraId="27A71D65">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
          <w:bCs/>
          <w:color w:val="auto"/>
          <w:szCs w:val="21"/>
          <w:highlight w:val="none"/>
        </w:rPr>
        <w:t>（2）利率互换风险（如有）</w:t>
      </w:r>
    </w:p>
    <w:p w14:paraId="3793325A">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利率互换交易的风险主要来自于两个方面，一是内部风险，二是外部风险。内部风险</w:t>
      </w:r>
      <w:r>
        <w:rPr>
          <w:rFonts w:hint="eastAsia" w:asciiTheme="minorEastAsia" w:hAnsiTheme="minorEastAsia" w:eastAsiaTheme="minorEastAsia"/>
          <w:color w:val="auto"/>
          <w:szCs w:val="21"/>
          <w:highlight w:val="none"/>
        </w:rPr>
        <w:t>主要是由于基金管理人</w:t>
      </w:r>
      <w:r>
        <w:rPr>
          <w:rFonts w:asciiTheme="minorEastAsia" w:hAnsiTheme="minorEastAsia" w:eastAsiaTheme="minorEastAsia"/>
          <w:color w:val="auto"/>
          <w:szCs w:val="21"/>
          <w:highlight w:val="none"/>
        </w:rPr>
        <w:t>对市场预测不当，导致</w:t>
      </w:r>
      <w:r>
        <w:rPr>
          <w:rFonts w:hint="eastAsia" w:asciiTheme="minorEastAsia" w:hAnsiTheme="minorEastAsia" w:eastAsiaTheme="minorEastAsia"/>
          <w:color w:val="auto"/>
          <w:szCs w:val="21"/>
          <w:highlight w:val="none"/>
        </w:rPr>
        <w:t>的投资决策</w:t>
      </w:r>
      <w:r>
        <w:rPr>
          <w:rFonts w:asciiTheme="minorEastAsia" w:hAnsiTheme="minorEastAsia" w:eastAsiaTheme="minorEastAsia"/>
          <w:color w:val="auto"/>
          <w:szCs w:val="21"/>
          <w:highlight w:val="none"/>
        </w:rPr>
        <w:t>风险</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外部风险包括</w:t>
      </w:r>
      <w:r>
        <w:rPr>
          <w:rFonts w:hint="eastAsia" w:asciiTheme="minorEastAsia" w:hAnsiTheme="minorEastAsia" w:eastAsiaTheme="minorEastAsia"/>
          <w:color w:val="auto"/>
          <w:szCs w:val="21"/>
          <w:highlight w:val="none"/>
        </w:rPr>
        <w:t>交易对手无法履行利率互换协议，引发</w:t>
      </w:r>
      <w:r>
        <w:rPr>
          <w:rFonts w:asciiTheme="minorEastAsia" w:hAnsiTheme="minorEastAsia" w:eastAsiaTheme="minorEastAsia"/>
          <w:color w:val="auto"/>
          <w:szCs w:val="21"/>
          <w:highlight w:val="none"/>
        </w:rPr>
        <w:t>交易违约的信用风险，金融标的价格不利变动</w:t>
      </w:r>
      <w:r>
        <w:rPr>
          <w:rFonts w:hint="eastAsia" w:asciiTheme="minorEastAsia" w:hAnsiTheme="minorEastAsia" w:eastAsiaTheme="minorEastAsia"/>
          <w:color w:val="auto"/>
          <w:szCs w:val="21"/>
          <w:highlight w:val="none"/>
        </w:rPr>
        <w:t>导致</w:t>
      </w:r>
      <w:r>
        <w:rPr>
          <w:rFonts w:asciiTheme="minorEastAsia" w:hAnsiTheme="minorEastAsia" w:eastAsiaTheme="minorEastAsia"/>
          <w:color w:val="auto"/>
          <w:szCs w:val="21"/>
          <w:highlight w:val="none"/>
        </w:rPr>
        <w:t>的价格风险，市场供求失衡、交易不畅导致的流动性风险等。</w:t>
      </w:r>
    </w:p>
    <w:p w14:paraId="2F477C1C">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（3）场外衍生品风险（如有）</w:t>
      </w:r>
    </w:p>
    <w:p w14:paraId="32766826">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1）政策风险</w:t>
      </w:r>
    </w:p>
    <w:p w14:paraId="0E899F69">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场外衍生品（包括互换、场外期权）属于创新业务，监管部门可视业务的开展情况对相关政策和规定进行调整，引起场外衍生品（包括互换、场外期权）业务相关规定、运作方式变化或者证券市场波动，从而给投资者带来损失的风险。</w:t>
      </w:r>
    </w:p>
    <w:p w14:paraId="36982762">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2）市场风险</w:t>
      </w:r>
    </w:p>
    <w:p w14:paraId="3ABFA56C">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市场风险是指由于场外衍生品（包括互换、场外期权）中挂钩标的的市场价格、市场利率、波动率或相关性等因素的变化，导致投资者收益不确定的风险。</w:t>
      </w:r>
    </w:p>
    <w:p w14:paraId="513F17D1">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3）交易对手不能履约的风险</w:t>
      </w:r>
    </w:p>
    <w:p w14:paraId="76EF85CB">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交易对手因停业、解散、撤销、破产，或者被有权机构撤销相关业务许可、责令停业整顿等原因不能履行场外衍生品（包括互换、场外期权）中约定的义务，可能给投资者带来损失的风险。</w:t>
      </w:r>
    </w:p>
    <w:p w14:paraId="59EC78B3">
      <w:pPr>
        <w:adjustRightInd w:val="0"/>
        <w:snapToGrid w:val="0"/>
        <w:spacing w:before="93" w:beforeLines="30" w:after="93" w:afterLines="30" w:line="348" w:lineRule="auto"/>
        <w:ind w:firstLine="422"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
          <w:bCs/>
          <w:color w:val="auto"/>
          <w:szCs w:val="21"/>
          <w:highlight w:val="none"/>
        </w:rPr>
        <w:t>（</w:t>
      </w:r>
      <w:r>
        <w:rPr>
          <w:rFonts w:asciiTheme="minorEastAsia" w:hAnsiTheme="minorEastAsia" w:eastAsiaTheme="minorEastAsia"/>
          <w:b/>
          <w:bCs/>
          <w:color w:val="auto"/>
          <w:szCs w:val="21"/>
          <w:highlight w:val="none"/>
        </w:rPr>
        <w:t>4）</w:t>
      </w:r>
      <w:r>
        <w:rPr>
          <w:rFonts w:hint="eastAsia" w:asciiTheme="minorEastAsia" w:hAnsiTheme="minorEastAsia" w:eastAsiaTheme="minorEastAsia"/>
          <w:b/>
          <w:bCs/>
          <w:color w:val="auto"/>
          <w:szCs w:val="21"/>
          <w:highlight w:val="none"/>
        </w:rPr>
        <w:t>投资</w:t>
      </w:r>
      <w:r>
        <w:rPr>
          <w:rFonts w:asciiTheme="minorEastAsia" w:hAnsiTheme="minorEastAsia" w:eastAsiaTheme="minorEastAsia"/>
          <w:b/>
          <w:bCs/>
          <w:color w:val="auto"/>
          <w:szCs w:val="21"/>
          <w:highlight w:val="none"/>
        </w:rPr>
        <w:t>资产管理产品风险（如有）</w:t>
      </w:r>
    </w:p>
    <w:p w14:paraId="409B914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部分资产将配置于金融监管部门批准或备案发行的国务院金融监督管理机构监管的机构发行的资产管理产品（包括投资于证券的私募基金、基金及基金子公司发行的资产管理计划、证券公司资产管理计划、保险资管计划、期货资管计划、商业银行理财产品、证券投资基金等），投资上述资产管理产品可能因下列特定风险因素给本计划造成不利影响，请投资者知悉。</w:t>
      </w:r>
    </w:p>
    <w:p w14:paraId="66A39E3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1）资产管理产品管理人风险</w:t>
      </w:r>
    </w:p>
    <w:p w14:paraId="3864993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资产管理产品管理人风险包括管理人经营风险和操作风险。经营风险是指因管理能力、财务状况、行业竞争、人员素质、内控等因素导致公司经营不善，极端情况下甚至破产倒闭，可能对其管理人的产品业绩造成不利影响。另外，对于约定了止损条款的资产管理产品，可能因管理人未及时操作导致产品损失扩大的风险。</w:t>
      </w:r>
    </w:p>
    <w:p w14:paraId="43F6924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2）资产管理产品投资风险</w:t>
      </w:r>
    </w:p>
    <w:p w14:paraId="771C0A9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本基金所投资的资产管理产品可能由于其管理人对市场判断失误、买入标的市场表现不佳、风险控制失效等原因造成产品净值的下降，从而造成本基金净值下降，最终导致本基金投资者资产损失。</w:t>
      </w:r>
    </w:p>
    <w:p w14:paraId="65E256B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3）策略模型风险</w:t>
      </w:r>
    </w:p>
    <w:p w14:paraId="2D5B1A5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在实际运作中，因资产管理产品的投资经理变更导致模型无法有效运作，开发的策略或模型不再有效或者在运作过程中与产品期初投资策略和投资风格发生偏离，进而影响产品投资业绩。</w:t>
      </w:r>
    </w:p>
    <w:p w14:paraId="5BDD158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4）关联交易风险</w:t>
      </w:r>
    </w:p>
    <w:p w14:paraId="3C9B807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本基金所投资的底层私募权益类标的可能会涉及全市场股票、ETF基金、可转债等。实际底层私募投资过程中，不排除涉及关联关系公司的关联交易。</w:t>
      </w:r>
    </w:p>
    <w:p w14:paraId="2273AC7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5）赎回资产管理产品面临的流动性风险</w:t>
      </w:r>
    </w:p>
    <w:p w14:paraId="4A90A39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因本基金投资者退出或资产配置调整需要，管理人赎回所投资的资产管理产品时，可能面临资产管理产品不在开放期，也可能面临资产管理产品触发大额赎回或巨额赎回条款，从而导致赎回资金延迟到账的风险。</w:t>
      </w:r>
    </w:p>
    <w:p w14:paraId="2EE5C84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6）投资资产管理产品可能面临双层收费的风险</w:t>
      </w:r>
    </w:p>
    <w:p w14:paraId="4C098A1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投资者需要承担双层费用，即本基金费用及本基金所投资的资产管理产品自身需要承担费用。本基金所投资的资产管理产品自身需要承担费用包括资产管理产品的管理费、托管费、基金服务费、业绩报酬（如有）、认购费（如有）、赎回费（如有）等，以上费用在计提时将会扣减资产管理产品的资产净值，从而造成本基金净值下降。</w:t>
      </w:r>
    </w:p>
    <w:p w14:paraId="4CB49A4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7）底层资产管理产品提取业绩报酬对本基金净值造成下跌的风险</w:t>
      </w:r>
    </w:p>
    <w:p w14:paraId="122F5DD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如按照资产管理产品虚拟计提业绩报酬后的单位净值进行估值，若投资的资产管理产品未能提供的，可按产品的单位净值进行估值。本基金投资多个资产管理产品，每个资产管理产品在业绩报酬计提方式、业绩报酬计提时间以及产品估值时间与本基金层面可能不一致。对于按照底层资产管理产品的单位净值进行估值的，当底层资产管理产品提取业绩报酬后造成本基金净值下降、投资者持有本基金份额期间收益下降的风险。</w:t>
      </w:r>
    </w:p>
    <w:p w14:paraId="19B9370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8）封闭运作流动受限、预约退出安排的风险</w:t>
      </w:r>
    </w:p>
    <w:p w14:paraId="694BD33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本基金定期开放申购和赎回，非开放日投资人不能参与、退出。若投资人未能在按照合同约定方式在该日退出，则投资人需持有至下一个退出日。</w:t>
      </w:r>
    </w:p>
    <w:p w14:paraId="25AD01E1">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6、特定的投资方法及基金财产所投资的特定投资对象可能引起的特定风险</w:t>
      </w:r>
    </w:p>
    <w:p w14:paraId="799E71ED">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本基金采取的投资策略可能存在使基金收益不能达到投资目标或者本金损失的风险。</w:t>
      </w:r>
    </w:p>
    <w:p w14:paraId="7F69477C">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7、操作或技术风险</w:t>
      </w:r>
    </w:p>
    <w:p w14:paraId="28A524F9">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相关当事人在业务各环节操作过程中，因内部控制存在缺陷或者人为因素造成操作失误或违反操作规程等引致的风险，例如，越权违规交易、会计部门欺诈、交易错误、IT系统故障等风险。</w:t>
      </w:r>
    </w:p>
    <w:p w14:paraId="303886E8">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基金的各种交易行为或者后台运作中，可能因为技术系统的故障或者差错而影响交易的正常进行或者导致基金份额持有人的利益受到影响。这种技术风险可能来自基金管理公司、基金服务机构、募集机构、证券交易所、证券注册登记机构等。</w:t>
      </w:r>
    </w:p>
    <w:p w14:paraId="78B94C55">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8、基金本身面临的风险</w:t>
      </w:r>
    </w:p>
    <w:p w14:paraId="05D069C5">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（1）法律及违约风险</w:t>
      </w:r>
    </w:p>
    <w:p w14:paraId="2839806C">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在本基金的运作过程中，因基金管理人、基金托管人、证券经纪机构等合作方违反国家法律规定或者相关合同约定而可能对基金财产带来风险。</w:t>
      </w:r>
    </w:p>
    <w:p w14:paraId="5F133F19">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（2）购买力风险</w:t>
      </w:r>
    </w:p>
    <w:p w14:paraId="26924B04">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本基金的目的是基金财产的增值，如果发生通货膨胀，则投资于证券所获得的收益可能会被通货膨胀抵消，从而影响到基金财产的增值。</w:t>
      </w:r>
    </w:p>
    <w:p w14:paraId="684FA9F3">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（3）管理人不能承诺基金利益的风险</w:t>
      </w:r>
    </w:p>
    <w:p w14:paraId="5220670D">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基金利益受多项因素影响，包括证券市场价格波动、投资操作水平、国家政策变化等，基金既有盈利的可能，亦存在亏损的可能。根据相关法律法规规定，管理人不对基金的投资者作出保证本金及其收益的承诺。</w:t>
      </w:r>
    </w:p>
    <w:p w14:paraId="70444475">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（4）基金终止的风险</w:t>
      </w:r>
    </w:p>
    <w:p w14:paraId="391122FE">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如果发生本合同所规定的基金终止的情形，管理人将卖出基金财产所投资之全部品种，并终止基金，由此可能导致基金财产遭受损失。</w:t>
      </w:r>
    </w:p>
    <w:p w14:paraId="4002807D">
      <w:pPr>
        <w:adjustRightInd w:val="0"/>
        <w:snapToGrid w:val="0"/>
        <w:spacing w:before="93" w:beforeLines="30" w:after="93" w:afterLines="30" w:line="360" w:lineRule="auto"/>
        <w:ind w:firstLine="422" w:firstLineChars="200"/>
        <w:rPr>
          <w:rFonts w:ascii="宋体" w:hAnsi="宋体" w:cstheme="minorBidi"/>
          <w:b/>
          <w:bCs/>
          <w:color w:val="auto"/>
          <w:szCs w:val="21"/>
          <w:highlight w:val="none"/>
        </w:rPr>
      </w:pPr>
      <w:r>
        <w:rPr>
          <w:rFonts w:hint="eastAsia" w:ascii="宋体" w:hAnsi="宋体" w:cstheme="minorBidi"/>
          <w:b/>
          <w:bCs/>
          <w:color w:val="auto"/>
          <w:szCs w:val="21"/>
          <w:highlight w:val="none"/>
        </w:rPr>
        <w:t>（5）基金未设预警止损线的风险</w:t>
      </w:r>
    </w:p>
    <w:p w14:paraId="4582851B">
      <w:pPr>
        <w:adjustRightInd w:val="0"/>
        <w:snapToGrid w:val="0"/>
        <w:spacing w:before="93" w:beforeLines="30" w:after="93" w:afterLines="30" w:line="360" w:lineRule="auto"/>
        <w:ind w:firstLine="420" w:firstLineChars="200"/>
        <w:rPr>
          <w:rFonts w:ascii="宋体" w:hAnsi="宋体" w:cstheme="minorBidi"/>
          <w:color w:val="auto"/>
          <w:szCs w:val="21"/>
          <w:highlight w:val="none"/>
        </w:rPr>
      </w:pPr>
      <w:r>
        <w:rPr>
          <w:rFonts w:hint="eastAsia" w:ascii="宋体" w:hAnsi="宋体" w:cstheme="minorBidi"/>
          <w:color w:val="auto"/>
          <w:szCs w:val="21"/>
          <w:highlight w:val="none"/>
        </w:rPr>
        <w:t>本基金未设预警止损线，在极端情况下，基金投资者投入的本金有可能出现全部损失的风险。</w:t>
      </w:r>
    </w:p>
    <w:p w14:paraId="7AA93DD6">
      <w:pPr>
        <w:tabs>
          <w:tab w:val="left" w:pos="3402"/>
        </w:tabs>
        <w:spacing w:line="360" w:lineRule="auto"/>
        <w:ind w:firstLine="422" w:firstLineChars="200"/>
        <w:contextualSpacing/>
        <w:rPr>
          <w:rFonts w:ascii="宋体" w:hAnsi="宋体"/>
          <w:bCs/>
          <w:color w:val="auto"/>
          <w:szCs w:val="21"/>
          <w:highlight w:val="none"/>
        </w:rPr>
      </w:pPr>
      <w:r>
        <w:rPr>
          <w:rFonts w:hint="eastAsia" w:ascii="宋体" w:hAnsi="宋体"/>
          <w:b/>
          <w:color w:val="auto"/>
          <w:szCs w:val="21"/>
          <w:highlight w:val="none"/>
        </w:rPr>
        <w:t>（6）基金份额类别设置所涉风险</w:t>
      </w:r>
    </w:p>
    <w:p w14:paraId="289E1C5A">
      <w:pPr>
        <w:tabs>
          <w:tab w:val="left" w:pos="3402"/>
        </w:tabs>
        <w:spacing w:line="360" w:lineRule="auto"/>
        <w:ind w:firstLine="422" w:firstLineChars="200"/>
        <w:contextualSpacing/>
        <w:rPr>
          <w:rStyle w:val="11"/>
          <w:rFonts w:ascii="宋体" w:hAnsi="宋体"/>
          <w:b/>
          <w:color w:val="auto"/>
          <w:highlight w:val="none"/>
        </w:rPr>
      </w:pPr>
      <w:r>
        <w:rPr>
          <w:rStyle w:val="11"/>
          <w:rFonts w:hint="eastAsia" w:ascii="宋体" w:hAnsi="宋体"/>
          <w:b/>
          <w:color w:val="auto"/>
          <w:highlight w:val="none"/>
        </w:rPr>
        <w:t>本基金对基金份额进行分类，不同类别基金份额间的主要差异详见“基金的基本情况”章节之“基金的份额分类”，由此可能造成各类别基金份额净值不一样的情况。</w:t>
      </w:r>
    </w:p>
    <w:p w14:paraId="2A22C9D6">
      <w:pPr>
        <w:tabs>
          <w:tab w:val="left" w:pos="3402"/>
        </w:tabs>
        <w:spacing w:line="360" w:lineRule="auto"/>
        <w:ind w:firstLine="422" w:firstLineChars="200"/>
        <w:contextualSpacing/>
        <w:rPr>
          <w:rStyle w:val="11"/>
          <w:rFonts w:ascii="宋体" w:hAnsi="宋体"/>
          <w:b/>
          <w:color w:val="auto"/>
          <w:highlight w:val="none"/>
        </w:rPr>
      </w:pPr>
      <w:r>
        <w:rPr>
          <w:rStyle w:val="11"/>
          <w:rFonts w:hint="eastAsia" w:ascii="宋体" w:hAnsi="宋体"/>
          <w:b/>
          <w:color w:val="auto"/>
          <w:highlight w:val="none"/>
        </w:rPr>
        <w:t>本基金的份额分类不是结构化分级，不存在一类份额为其他类份额提供风险补偿的情形。本基金成立时或运行过程中可能有并不存在某类份额的情况。投资者应当充分了解本基金份额类别的相关设置，防止因误解各类份额的性质而影响投资决策。</w:t>
      </w:r>
    </w:p>
    <w:p w14:paraId="0F4412FB">
      <w:pPr>
        <w:adjustRightInd w:val="0"/>
        <w:snapToGrid w:val="0"/>
        <w:spacing w:before="93" w:beforeLines="30" w:after="93" w:afterLines="30" w:line="360" w:lineRule="auto"/>
        <w:ind w:firstLine="422" w:firstLineChars="200"/>
        <w:rPr>
          <w:rFonts w:ascii="宋体" w:hAnsi="宋体" w:cstheme="minorBidi"/>
          <w:b/>
          <w:bCs/>
          <w:color w:val="auto"/>
          <w:szCs w:val="21"/>
          <w:highlight w:val="none"/>
        </w:rPr>
      </w:pPr>
      <w:r>
        <w:rPr>
          <w:rFonts w:hint="eastAsia" w:ascii="宋体" w:hAnsi="宋体" w:cstheme="minorBidi"/>
          <w:b/>
          <w:bCs/>
          <w:color w:val="auto"/>
          <w:szCs w:val="21"/>
          <w:highlight w:val="none"/>
        </w:rPr>
        <w:t>（7）巨额赎回的风险</w:t>
      </w:r>
    </w:p>
    <w:p w14:paraId="7F1AD9B6">
      <w:pPr>
        <w:adjustRightInd w:val="0"/>
        <w:snapToGrid w:val="0"/>
        <w:spacing w:before="93" w:beforeLines="30" w:after="93" w:afterLines="30" w:line="360" w:lineRule="auto"/>
        <w:ind w:firstLine="420" w:firstLineChars="200"/>
        <w:rPr>
          <w:rFonts w:ascii="宋体" w:hAnsi="宋体" w:cstheme="minorBidi"/>
          <w:color w:val="auto"/>
          <w:szCs w:val="21"/>
          <w:highlight w:val="none"/>
        </w:rPr>
      </w:pPr>
      <w:r>
        <w:rPr>
          <w:rFonts w:hint="eastAsia" w:ascii="宋体" w:hAnsi="宋体" w:cstheme="minorBidi"/>
          <w:color w:val="auto"/>
          <w:szCs w:val="21"/>
          <w:highlight w:val="none"/>
        </w:rPr>
        <w:t>在单个开放日发生巨额赎回或连续2个或2个以上开放日发生巨额赎回时，基金管理人依据基金合同的约定可能采取部分顺延赎回的操作（部分顺延赎回份额的赎回资金以下一</w:t>
      </w:r>
      <w:r>
        <w:rPr>
          <w:rFonts w:ascii="宋体" w:hAnsi="宋体" w:cstheme="minorBidi"/>
          <w:color w:val="auto"/>
          <w:szCs w:val="21"/>
          <w:highlight w:val="none"/>
        </w:rPr>
        <w:t>开放</w:t>
      </w:r>
      <w:r>
        <w:rPr>
          <w:rFonts w:hint="eastAsia" w:ascii="宋体" w:hAnsi="宋体" w:cstheme="minorBidi"/>
          <w:color w:val="auto"/>
          <w:szCs w:val="21"/>
          <w:highlight w:val="none"/>
        </w:rPr>
        <w:t>日基金份额净值为基础，与申请赎回开放日基金份额净值可能存在较大差异）或暂停赎回操作或延缓支付赎回款项，赎回申请投资者因此面临不能按时足额获得赎回款项的风险或者不能进行赎回的风险。</w:t>
      </w:r>
    </w:p>
    <w:p w14:paraId="42F22405">
      <w:pPr>
        <w:numPr>
          <w:ilvl w:val="255"/>
          <w:numId w:val="0"/>
        </w:numPr>
        <w:adjustRightInd w:val="0"/>
        <w:snapToGrid w:val="0"/>
        <w:spacing w:before="93" w:beforeLines="30" w:after="93" w:afterLines="30" w:line="360" w:lineRule="auto"/>
        <w:ind w:firstLine="422" w:firstLineChars="200"/>
        <w:rPr>
          <w:rFonts w:ascii="宋体" w:hAnsi="宋体" w:cstheme="minorBidi"/>
          <w:color w:val="auto"/>
          <w:szCs w:val="21"/>
          <w:highlight w:val="none"/>
        </w:rPr>
      </w:pPr>
      <w:r>
        <w:rPr>
          <w:rFonts w:hint="eastAsia" w:ascii="宋体" w:hAnsi="宋体" w:cstheme="minorBidi"/>
          <w:b/>
          <w:bCs/>
          <w:color w:val="auto"/>
          <w:szCs w:val="21"/>
          <w:highlight w:val="none"/>
        </w:rPr>
        <w:t>（8）基金停止申购或提前清算的风险</w:t>
      </w:r>
    </w:p>
    <w:p w14:paraId="745BA6A0">
      <w:pPr>
        <w:numPr>
          <w:ilvl w:val="255"/>
          <w:numId w:val="0"/>
        </w:numPr>
        <w:adjustRightInd w:val="0"/>
        <w:snapToGrid w:val="0"/>
        <w:spacing w:before="93" w:beforeLines="30" w:after="93" w:afterLines="30" w:line="360" w:lineRule="auto"/>
        <w:ind w:firstLine="420" w:firstLineChars="200"/>
        <w:rPr>
          <w:rFonts w:ascii="宋体" w:hAnsi="宋体" w:cstheme="minorBidi"/>
          <w:color w:val="auto"/>
          <w:szCs w:val="21"/>
          <w:highlight w:val="none"/>
        </w:rPr>
      </w:pPr>
      <w:r>
        <w:rPr>
          <w:rFonts w:hint="eastAsia" w:ascii="宋体" w:hAnsi="宋体" w:cstheme="minorBidi"/>
          <w:color w:val="auto"/>
          <w:szCs w:val="21"/>
          <w:highlight w:val="none"/>
        </w:rPr>
        <w:t>根据《私募证券投资基金运作指引》的有关规定，</w:t>
      </w:r>
      <w:r>
        <w:rPr>
          <w:rFonts w:ascii="宋体" w:hAnsi="宋体" w:cstheme="minorBidi"/>
          <w:color w:val="auto"/>
          <w:szCs w:val="21"/>
          <w:highlight w:val="none"/>
        </w:rPr>
        <w:t>私募证券投资基金上一年度</w:t>
      </w:r>
      <w:r>
        <w:rPr>
          <w:rFonts w:hint="eastAsia" w:asciiTheme="minorEastAsia" w:hAnsiTheme="minorEastAsia" w:eastAsiaTheme="minorEastAsia"/>
          <w:color w:val="auto"/>
          <w:szCs w:val="21"/>
          <w:highlight w:val="none"/>
        </w:rPr>
        <w:t>（自2025年1月1日起，开始计算上一年度）</w:t>
      </w:r>
      <w:r>
        <w:rPr>
          <w:rFonts w:ascii="宋体" w:hAnsi="宋体" w:cstheme="minorBidi"/>
          <w:color w:val="auto"/>
          <w:szCs w:val="21"/>
          <w:highlight w:val="none"/>
        </w:rPr>
        <w:t>日均基金资产净值低于500万元，或者连续60个交易日出现基金资产净值低于500万元情形的，应当停止申购并在5个工作日内向投资者披露；停止申购后连续120个交易日基金资产净值仍低于500万元的，应当进入清算程序</w:t>
      </w:r>
      <w:r>
        <w:rPr>
          <w:rFonts w:hint="eastAsia" w:ascii="宋体" w:hAnsi="宋体" w:cstheme="minorBidi"/>
          <w:color w:val="auto"/>
          <w:szCs w:val="21"/>
          <w:highlight w:val="none"/>
        </w:rPr>
        <w:t>。当私募证券投资基金存续期未达到要求的资产净值门槛的，可能面临停止申购或提前清算的风险。</w:t>
      </w:r>
    </w:p>
    <w:p w14:paraId="5E97C13E">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9、相关机构的经营风险</w:t>
      </w:r>
    </w:p>
    <w:p w14:paraId="1EEDA063">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（1）基金管理人经营风险</w:t>
      </w:r>
    </w:p>
    <w:p w14:paraId="69BA7516">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按照我国金融监管法律规定，虽基金管理人相信其本身将按照相关法律的规定进行营运及管理，但无法保证其本身可以永久维持符合监管部门的金融监管法律。如在基金存续期间基金管理人无法继续经营基金业务，则可能会对基金产生不利影响。在管理人客观上丧失继续管理私募投资基金的能力且管理人未按合同约定履行义务组织清算时,应参照本合同第九章“基金份额持有人大会及日常机构”约定进行召开份额持有人大会，持有人大会应针对于安全保障基金财产、维持基金运营或清算的应急处置预案和纠纷解决机制等进行约定。</w:t>
      </w:r>
    </w:p>
    <w:p w14:paraId="7F803136">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（2）基金托管人经营风险</w:t>
      </w:r>
    </w:p>
    <w:p w14:paraId="55A61289">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按照我国金融监管法律规定，基金托管人须获得中国证监会核准的证券投资基金托管资格方可从事托管业务。虽基金托管人相信其本身将按照相关法律的规定进行营运及管理，但无法保证其本身可以永久维持符合监管部门的金融监管法律。如在基金存续期间基金托管人无法继续从事托管业务，则可能会对基金产生不利影响。</w:t>
      </w:r>
    </w:p>
    <w:p w14:paraId="518056DA">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（3）证券、期货经纪商经营风险</w:t>
      </w:r>
    </w:p>
    <w:p w14:paraId="6FCE19AF">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按照我国金融监管法律规定，证券、期货公司须获得中国证监会核准的证券、期货经营资格方可从事证券、期货业务。虽证券、期货经纪商相信其本身将按照相关法律的规定进行营运及管理，但无法保证其本身可以永久维持符合监管部门的金融监管法律。如在基金存续期间证券、期货经纪商无法继续从事证券、期货业务，则可能会对基金产生不利影响。</w:t>
      </w:r>
    </w:p>
    <w:p w14:paraId="08F51778">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10、净值波动风险</w:t>
      </w:r>
    </w:p>
    <w:p w14:paraId="56FBC5AA">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按照本合同第十六章的估值方法，当本基金投资于基金管理公司及其子公司资产管理计划、证券公司及其子公司资产管理计划、信托计划、保险资产管理计划、期货公司资产管理计划、私募投资基金、商业银行理财产品，有如下情形之一时：</w:t>
      </w:r>
    </w:p>
    <w:p w14:paraId="1FD3001E">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（1）估值日无法及时获取上述投资品种的最新估值价格；</w:t>
      </w:r>
    </w:p>
    <w:p w14:paraId="69A8579C">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（2）投资上述品种后无法及时确认，上述投资品种在投资确认前估值价格波动；</w:t>
      </w:r>
    </w:p>
    <w:p w14:paraId="55A0A147">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（3）估值日取得的上述投资品种的最新估值价格没有或无法排除影响估值价格的因素（例如在估值日无法排除业绩报酬对估值价格的影响）；</w:t>
      </w:r>
    </w:p>
    <w:p w14:paraId="2A95E58B">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（4）按照预期收益率反应的估值价格与实际兑付的收益产生差异；</w:t>
      </w:r>
    </w:p>
    <w:p w14:paraId="5430D590">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可能导致本基金的净值波动风险。</w:t>
      </w:r>
    </w:p>
    <w:p w14:paraId="5E37C06C">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11、债券正回购风险（如有）</w:t>
      </w:r>
    </w:p>
    <w:p w14:paraId="1ADAAA26">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kern w:val="0"/>
          <w:szCs w:val="21"/>
          <w:highlight w:val="none"/>
        </w:rPr>
        <w:t>本基金如参与债券正回购交易，主要风险包括信用风险及杠杆风险，其中，信用风险指回购交易中交易对手在回购到期时，不能偿还全部或部分证券或价款，造成本基金损失的风险；而杠杆风险是指债券正回购业务在对投资组合收益进行放大的同时，也对投资组合的波动性（标准差）进行了放大，即投资组合的风险将会加大，且回购比例越高，风险暴露程度也就越高，对本基金净值造成损失的风险也就越大。</w:t>
      </w:r>
    </w:p>
    <w:p w14:paraId="30C563C3">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12、融资融券交易风险（如有）</w:t>
      </w:r>
    </w:p>
    <w:p w14:paraId="5622C8FE">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w:t>
      </w:r>
      <w:r>
        <w:rPr>
          <w:rFonts w:asciiTheme="minorEastAsia" w:hAnsiTheme="minorEastAsia" w:eastAsiaTheme="minorEastAsia"/>
          <w:b/>
          <w:bCs/>
          <w:color w:val="auto"/>
          <w:szCs w:val="21"/>
          <w:highlight w:val="none"/>
        </w:rPr>
        <w:t>1）可能放大投资损失的风险</w:t>
      </w:r>
    </w:p>
    <w:p w14:paraId="586ECACA">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融资融券业务具有杠杆效应，它在放大投资收益的同时也必然放大投资风险。将股票作为担保品进行融资融券交易时，既需要承担原有的股票价格下跌带来的风险，又得承担融资买入或融券卖出股票带来的风险，同时还须支付相应的利息和费用，由此承担的风险可能远远超过普通证券交易。</w:t>
      </w:r>
    </w:p>
    <w:p w14:paraId="6BB344AF">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asciiTheme="minorEastAsia" w:hAnsiTheme="minorEastAsia" w:eastAsiaTheme="minorEastAsia"/>
          <w:b/>
          <w:bCs/>
          <w:color w:val="auto"/>
          <w:szCs w:val="21"/>
          <w:highlight w:val="none"/>
        </w:rPr>
        <w:t>（2）特有的卖空风险</w:t>
      </w:r>
    </w:p>
    <w:p w14:paraId="44D5AE0C">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融资融券交易中的融券交易存在着与普通证券截然不同的风险——卖空风险。普通证券投资发生的损失是有限的，最多不会超过本基金投入的全部本金，但是融券交易的负债在理论上可以无限扩大，因为证券上涨的幅度是没有上限的，而证券涨得越多，融券负债的规模就越大。</w:t>
      </w:r>
    </w:p>
    <w:p w14:paraId="4F64DCF5">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color w:val="auto"/>
          <w:szCs w:val="21"/>
          <w:highlight w:val="none"/>
        </w:rPr>
      </w:pPr>
      <w:r>
        <w:rPr>
          <w:rFonts w:asciiTheme="minorEastAsia" w:hAnsiTheme="minorEastAsia" w:eastAsiaTheme="minorEastAsia"/>
          <w:b/>
          <w:bCs/>
          <w:color w:val="auto"/>
          <w:szCs w:val="21"/>
          <w:highlight w:val="none"/>
        </w:rPr>
        <w:t>（3）利率变动带来的成本加大风险</w:t>
      </w:r>
    </w:p>
    <w:p w14:paraId="74832070">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如果在从事融资融券交易期间，中国人民银行规定的同期贷款基准利率调高，证券公司将相应调高融资利率或融券费率，投资成本也因为利率的上调而增加，将面临融资融券成本增加的风险。</w:t>
      </w:r>
    </w:p>
    <w:p w14:paraId="232B2EE1">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w:t>
      </w:r>
      <w:r>
        <w:rPr>
          <w:rFonts w:asciiTheme="minorEastAsia" w:hAnsiTheme="minorEastAsia" w:eastAsiaTheme="minorEastAsia"/>
          <w:b/>
          <w:bCs/>
          <w:color w:val="auto"/>
          <w:szCs w:val="21"/>
          <w:highlight w:val="none"/>
        </w:rPr>
        <w:t>4）通知送达风险</w:t>
      </w:r>
    </w:p>
    <w:p w14:paraId="55DD4CCB">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融资融券交易过程中，相关信息的通知送达至关重要。《融资融券合同》中通常会约定通知送达的具体方式、内容和要求。当证券公司按照《融资融券合同》要求履行了通知义务后即视为送达，则若未能关注到通知内容并采取相应措施，就可能因此承担不利后果。</w:t>
      </w:r>
    </w:p>
    <w:p w14:paraId="0BBCC84B">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w:t>
      </w:r>
      <w:r>
        <w:rPr>
          <w:rFonts w:asciiTheme="minorEastAsia" w:hAnsiTheme="minorEastAsia" w:eastAsiaTheme="minorEastAsia"/>
          <w:b/>
          <w:bCs/>
          <w:color w:val="auto"/>
          <w:szCs w:val="21"/>
          <w:highlight w:val="none"/>
        </w:rPr>
        <w:t>5）强制平仓风险</w:t>
      </w:r>
    </w:p>
    <w:p w14:paraId="04D6E73C">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融资融券交易中，本基金与证券公司间除了普通交易的委托买卖关系外，还存在着较为复杂的债权债务关系，以及由于债权债务产生的信托关系和担保关系。证券公司为保护自身债权，对本基金信用账户的资产负债情况实时监控，在一定条件下可以对本基金担保资产执行强制平仓。</w:t>
      </w:r>
    </w:p>
    <w:p w14:paraId="1F6E39D2">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w:t>
      </w:r>
      <w:r>
        <w:rPr>
          <w:rFonts w:asciiTheme="minorEastAsia" w:hAnsiTheme="minorEastAsia" w:eastAsiaTheme="minorEastAsia"/>
          <w:b/>
          <w:bCs/>
          <w:color w:val="auto"/>
          <w:szCs w:val="21"/>
          <w:highlight w:val="none"/>
        </w:rPr>
        <w:t>6）提前了结债务的风险</w:t>
      </w:r>
    </w:p>
    <w:p w14:paraId="5C0E4296">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融资融券交易中，证券公司可能在融资融券合同中与本基金约定提前了结融资融券债务的条款，本基金在从事融资融券交易期间，如果发生融资融券标的证券范围调整、标的证券暂停交易或终止上市等情况，根据本基金与证券公司签订的合同条款，本基金将可能面临被证券公司提前了结融资融券交易的风险，并可能由此给本基金造成损失。</w:t>
      </w:r>
    </w:p>
    <w:p w14:paraId="65C25FB0">
      <w:pPr>
        <w:tabs>
          <w:tab w:val="left" w:pos="3402"/>
        </w:tabs>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w:t>
      </w:r>
      <w:r>
        <w:rPr>
          <w:rFonts w:asciiTheme="minorEastAsia" w:hAnsiTheme="minorEastAsia" w:eastAsiaTheme="minorEastAsia"/>
          <w:b/>
          <w:bCs/>
          <w:color w:val="auto"/>
          <w:szCs w:val="21"/>
          <w:highlight w:val="none"/>
        </w:rPr>
        <w:t>7）监管风险</w:t>
      </w:r>
    </w:p>
    <w:p w14:paraId="122BFD93">
      <w:pPr>
        <w:tabs>
          <w:tab w:val="left" w:pos="340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融资融券交易出现异常或市场出现系统性风险时，监管部门、证券交易所和证券公司都将可能对融资融券交易采取相应措施，例如提高可充抵保证金证券的折算率、融资或融券保证金比例、维持担保比例和强制平仓的条件等，以维护市场平稳运行。这些措施将可能给本金带来杠杆效应降低、甚至提前进入追加担保物或强制平仓状态等潜在损失。</w:t>
      </w:r>
    </w:p>
    <w:p w14:paraId="18F6F8D6">
      <w:pPr>
        <w:tabs>
          <w:tab w:val="left" w:pos="3402"/>
        </w:tabs>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13、转融通投资风险（如有）</w:t>
      </w:r>
    </w:p>
    <w:p w14:paraId="2B4ECC16">
      <w:pPr>
        <w:tabs>
          <w:tab w:val="left" w:pos="3402"/>
        </w:tabs>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（1）证券出借后，存在无法在合约到期前提前收回出借证券，从而影响本基金财产的使用的风险；</w:t>
      </w:r>
    </w:p>
    <w:p w14:paraId="0969B9C8">
      <w:pPr>
        <w:tabs>
          <w:tab w:val="left" w:pos="3402"/>
        </w:tabs>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（2）证券出借期间，如果发生标的证券暂停交易或者终止上市等情况，本基金可能面临合约提前了结或者延迟了结等风险；</w:t>
      </w:r>
    </w:p>
    <w:p w14:paraId="2E7D86E3">
      <w:pPr>
        <w:tabs>
          <w:tab w:val="left" w:pos="3402"/>
        </w:tabs>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kern w:val="0"/>
          <w:szCs w:val="21"/>
          <w:highlight w:val="none"/>
        </w:rPr>
        <w:t>（3）本基金出借的证券，可能存在到期不能归还、相应权益补偿和借券费用不能支付等风险。</w:t>
      </w:r>
    </w:p>
    <w:p w14:paraId="06CC38F4">
      <w:pPr>
        <w:tabs>
          <w:tab w:val="left" w:pos="3402"/>
        </w:tabs>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14、港股通交易风险（如有）</w:t>
      </w:r>
    </w:p>
    <w:p w14:paraId="0E87795E">
      <w:pPr>
        <w:tabs>
          <w:tab w:val="left" w:pos="3402"/>
        </w:tabs>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（1）投资范围限制与调整风险</w:t>
      </w:r>
    </w:p>
    <w:p w14:paraId="5821029F">
      <w:pPr>
        <w:tabs>
          <w:tab w:val="left" w:pos="3402"/>
        </w:tabs>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通过港股通买卖的股票存在一定的范围限制，且港股通股票名单会动态调整。投资者应当关注最新的港股通股票名单。对于被调出的港股通股票，自调整之日起，投资者将不得再行买入。</w:t>
      </w:r>
    </w:p>
    <w:p w14:paraId="4A4D993E">
      <w:pPr>
        <w:tabs>
          <w:tab w:val="left" w:pos="3402"/>
        </w:tabs>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（2）投资额度限制风险</w:t>
      </w:r>
    </w:p>
    <w:p w14:paraId="3B4A04CC">
      <w:pPr>
        <w:tabs>
          <w:tab w:val="left" w:pos="3402"/>
        </w:tabs>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港股通业务试点期间存在每日额度。在香港联合交易所有限公司（以下简称“联交所”）开市前阶段，当日额度使用完毕的，新增的买单申报将面临失败的风险；在联交所持续交易时段，当日额度使用完毕的，当日投资者将面临不能通过港股通进行买入交易的风险。</w:t>
      </w:r>
    </w:p>
    <w:p w14:paraId="4D33CA64">
      <w:pPr>
        <w:tabs>
          <w:tab w:val="left" w:pos="3402"/>
        </w:tabs>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（3）投资交易日风险</w:t>
      </w:r>
    </w:p>
    <w:p w14:paraId="7A244C21">
      <w:pPr>
        <w:tabs>
          <w:tab w:val="left" w:pos="3402"/>
        </w:tabs>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只有沪港（深港）两地均为交易日且能够满足结算安排的交易日才为港股通交易日，具体以上海（深圳）证券交易所在其指定网站公布的日期为准。圣诞前夕（12月24日）、元旦前夕（12月31日）或除夕日为港股通交易日的，港股通仅有半天交易，且当日为非交收日。</w:t>
      </w:r>
    </w:p>
    <w:p w14:paraId="17FC63C6">
      <w:pPr>
        <w:tabs>
          <w:tab w:val="left" w:pos="3402"/>
        </w:tabs>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（4）停市风险</w:t>
      </w:r>
    </w:p>
    <w:p w14:paraId="12B16485">
      <w:pPr>
        <w:tabs>
          <w:tab w:val="left" w:pos="3402"/>
        </w:tabs>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香港出现台风、黑色暴雨或者联交所规定的其他情形时，联交所将可能停市，投资者将面临在停市期间无法进行港股通交易的风险；出现上海（深圳）证券交易所认定的交易异常情况时，上海（深圳）证券交易所将可能暂停提供部分或者全部港股通服务，投资者将面临在暂停服务期间无法进行港股通交易的风险。</w:t>
      </w:r>
    </w:p>
    <w:p w14:paraId="2777C0A3">
      <w:pPr>
        <w:tabs>
          <w:tab w:val="left" w:pos="3402"/>
        </w:tabs>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（5）汇率风险</w:t>
      </w:r>
    </w:p>
    <w:p w14:paraId="488926C5">
      <w:pPr>
        <w:tabs>
          <w:tab w:val="left" w:pos="3402"/>
        </w:tabs>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投资者在交易时间内提交订单依据的港币买入参考汇率和卖出参考汇率，并不等于最终结算汇率。港股通交易日日终，中国证券登记结算有限责任公司（以下简称“中国结算”）进行净额换汇，将换汇成本按成交金额分摊至每笔交易，确定交易实际适用的结算汇率。 </w:t>
      </w:r>
    </w:p>
    <w:p w14:paraId="08E1DFE4">
      <w:pPr>
        <w:tabs>
          <w:tab w:val="left" w:pos="3402"/>
        </w:tabs>
        <w:adjustRightInd w:val="0"/>
        <w:snapToGrid w:val="0"/>
        <w:spacing w:before="93" w:beforeLines="30" w:after="93" w:afterLines="30" w:line="348"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（6）交易与结算规则风险</w:t>
      </w:r>
    </w:p>
    <w:p w14:paraId="4B21FB7A">
      <w:pPr>
        <w:tabs>
          <w:tab w:val="left" w:pos="3402"/>
        </w:tabs>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港股通股票不设置涨跌幅限制，投资者应当关注因此可能产生的风险；与内地证券市场相比，联交所在订单申报的最小交易价差、每手股数、申报最大限制等方面存在一定的差异，投资者应当关注因此可能产生的风险；通过港股通业务获得的香港证券市场免费一档行情，与付费方式获得的行情相比，在刷新频率、档位显示等方面存在差异，投资者应当关注依此进行投资决策的风险；香港证券市场与内地证券市场在证券资金的交收期安排上存在差异，港股通交易的交收期为T+2日。若投资者卖出证券，在交收完成前仍享有该证券的权益。若投资者买入证券，在交收完成后才享有该证券的权益，港股通交易的交收可能因香港出现台风或黑色暴雨等发生延迟交收；对于在联交所上市公司派发的现金红利，由于中国结算需要在收到香港中央结算有限公司（以下简称“香港结算”）派发的外币红利资金后进行换汇、清算、发放等业务处理，投资者通过港股通业务获得的现金红利将会较香港市场有所延后。对于在联交所上市公司派发的红股，中国结算在收到香港结算派发红股到账当日或次日进行业务处理，相应红股可于处理日下一港股通交易日上市交易。投资者红股可卖首日均较香港市场晚一个港股通交易日；由于香港市场的费用收取或汇率的大幅波动等原因，可能会引起投资者账户的透支，投资者应当对账户内的余额进行关注。 </w:t>
      </w:r>
    </w:p>
    <w:p w14:paraId="438495F5">
      <w:pPr>
        <w:tabs>
          <w:tab w:val="left" w:pos="3402"/>
        </w:tabs>
        <w:adjustRightInd w:val="0"/>
        <w:snapToGrid w:val="0"/>
        <w:spacing w:before="93" w:beforeLines="30" w:after="93" w:afterLines="30" w:line="348"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 xml:space="preserve">（7）技术系统风险 </w:t>
      </w:r>
    </w:p>
    <w:p w14:paraId="47081DDE">
      <w:pPr>
        <w:tabs>
          <w:tab w:val="left" w:pos="3402"/>
        </w:tabs>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港股通交易中若联交所与上海（深圳）证券交易所之间的报盘系统或者通信链路出现故障，可能导致15分钟以上不能申报和撤销申报，投资者应当关注因此可能产生的风险。 </w:t>
      </w:r>
    </w:p>
    <w:p w14:paraId="0BE5092A">
      <w:pPr>
        <w:tabs>
          <w:tab w:val="left" w:pos="3402"/>
        </w:tabs>
        <w:adjustRightInd w:val="0"/>
        <w:snapToGrid w:val="0"/>
        <w:spacing w:before="93" w:beforeLines="30" w:after="93" w:afterLines="30" w:line="348"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 xml:space="preserve">（8）费用与税收风险 </w:t>
      </w:r>
    </w:p>
    <w:p w14:paraId="747D82BF">
      <w:pPr>
        <w:tabs>
          <w:tab w:val="left" w:pos="3402"/>
        </w:tabs>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香港市场收费标准与内地市场收费标准不同，香港地区与内地在税收安排方面也存在差异，投资者买卖港股通股票，应当按照香港市场有关规定交纳相关费用，并按照香港地区相关规定缴纳税款。</w:t>
      </w:r>
    </w:p>
    <w:p w14:paraId="0082E7A2">
      <w:pPr>
        <w:tabs>
          <w:tab w:val="left" w:pos="3402"/>
        </w:tabs>
        <w:adjustRightInd w:val="0"/>
        <w:snapToGrid w:val="0"/>
        <w:spacing w:before="93" w:beforeLines="30" w:after="93" w:afterLines="30" w:line="348"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15、证券公司收益凭证风险（如有）</w:t>
      </w:r>
    </w:p>
    <w:p w14:paraId="1C45E730">
      <w:pPr>
        <w:tabs>
          <w:tab w:val="left" w:pos="3402"/>
        </w:tabs>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（1）市场风险。收益凭证本金和收益的偿付挂钩特定标的，包括但不限于股权、债权、信用、基金、利率、汇率、指数、期货及基础商品。若挂钩的特定标的出现亏损，将可能导致本基金财产出现损失的风险。</w:t>
      </w:r>
    </w:p>
    <w:p w14:paraId="5C3EFF35">
      <w:pPr>
        <w:tabs>
          <w:tab w:val="left" w:pos="3402"/>
        </w:tabs>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kern w:val="0"/>
          <w:szCs w:val="21"/>
          <w:highlight w:val="none"/>
        </w:rPr>
        <w:t>（2）信用风险。收益凭证产品以证券公司的信用发行。在收益凭证存续期间，证券公司可能发生解散、破产、无力清偿到期债务、资产被查封、冻结或强制执行等情形，导致本基金财产面临损失的风险。</w:t>
      </w:r>
    </w:p>
    <w:p w14:paraId="074B68C4">
      <w:pPr>
        <w:tabs>
          <w:tab w:val="left" w:pos="3402"/>
        </w:tabs>
        <w:adjustRightInd w:val="0"/>
        <w:snapToGrid w:val="0"/>
        <w:spacing w:before="93" w:beforeLines="30" w:after="93" w:afterLines="30" w:line="348" w:lineRule="auto"/>
        <w:ind w:firstLine="422" w:firstLineChars="200"/>
        <w:rPr>
          <w:rFonts w:asciiTheme="minorEastAsia" w:hAnsiTheme="minorEastAsia" w:eastAsiaTheme="minorEastAsia"/>
          <w:b/>
          <w:bCs/>
          <w:color w:val="auto"/>
          <w:szCs w:val="21"/>
          <w:highlight w:val="none"/>
        </w:rPr>
      </w:pPr>
      <w:r>
        <w:rPr>
          <w:rFonts w:hint="eastAsia" w:cs="宋体" w:asciiTheme="minorEastAsia" w:hAnsiTheme="minorEastAsia" w:eastAsiaTheme="minorEastAsia"/>
          <w:b/>
          <w:bCs/>
          <w:color w:val="auto"/>
          <w:szCs w:val="21"/>
          <w:highlight w:val="none"/>
        </w:rPr>
        <w:t>16、</w:t>
      </w:r>
      <w:r>
        <w:rPr>
          <w:rFonts w:hint="eastAsia" w:asciiTheme="minorEastAsia" w:hAnsiTheme="minorEastAsia" w:eastAsiaTheme="minorEastAsia"/>
          <w:b/>
          <w:bCs/>
          <w:color w:val="auto"/>
          <w:szCs w:val="21"/>
          <w:highlight w:val="none"/>
        </w:rPr>
        <w:t>其他风险</w:t>
      </w:r>
    </w:p>
    <w:p w14:paraId="26DA6ABE">
      <w:pPr>
        <w:tabs>
          <w:tab w:val="left" w:pos="3402"/>
        </w:tabs>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战争、自然灾害等不可抗力因素的出现，将会严重影响证券市场的运行，可能导致基金资产的损失。金融市场危机、行业竞争、代理机构违约等超出基金管理人自身直接控制能力之外的风险，可能导致基金份额持有人利益受损。</w:t>
      </w:r>
    </w:p>
    <w:p w14:paraId="56983DC4">
      <w:pPr>
        <w:spacing w:line="360" w:lineRule="auto"/>
        <w:ind w:firstLine="422" w:firstLineChars="200"/>
        <w:rPr>
          <w:b/>
          <w:bCs/>
          <w:color w:val="auto"/>
          <w:highlight w:val="none"/>
        </w:rPr>
      </w:pPr>
      <w:r>
        <w:rPr>
          <w:rFonts w:hint="eastAsia" w:asciiTheme="minorEastAsia" w:hAnsiTheme="minorEastAsia" w:eastAsiaTheme="minorEastAsia"/>
          <w:b/>
          <w:bCs/>
          <w:color w:val="auto"/>
          <w:szCs w:val="21"/>
          <w:highlight w:val="none"/>
        </w:rPr>
        <w:t>特别提示：</w:t>
      </w:r>
      <w:r>
        <w:rPr>
          <w:b/>
          <w:bCs/>
          <w:color w:val="auto"/>
          <w:highlight w:val="none"/>
        </w:rPr>
        <w:t>即使管理人已对可能存在的风险进行了揭示，但有关风险揭示事项仅为列举性质，未能详尽列明投资者参与本私募基金投资所面临的全部风险和可能导致投资者资产损失的所有因素，</w:t>
      </w:r>
      <w:r>
        <w:rPr>
          <w:b/>
          <w:bCs/>
          <w:color w:val="auto"/>
          <w:highlight w:val="none"/>
          <w:lang w:bidi="ar"/>
        </w:rPr>
        <w:t>投资者在参与私募基金投资并签署本</w:t>
      </w:r>
      <w:r>
        <w:rPr>
          <w:rFonts w:hint="eastAsia"/>
          <w:b/>
          <w:bCs/>
          <w:color w:val="auto"/>
          <w:highlight w:val="none"/>
          <w:lang w:bidi="ar"/>
        </w:rPr>
        <w:t>基金</w:t>
      </w:r>
      <w:r>
        <w:rPr>
          <w:b/>
          <w:bCs/>
          <w:color w:val="auto"/>
          <w:highlight w:val="none"/>
          <w:lang w:bidi="ar"/>
        </w:rPr>
        <w:t>合同前，应认真阅读并理解相关业务规则、基金合同及风险揭示书的全部内容</w:t>
      </w:r>
      <w:r>
        <w:rPr>
          <w:b/>
          <w:bCs/>
          <w:color w:val="auto"/>
          <w:highlight w:val="none"/>
        </w:rPr>
        <w:t>，并确信自己已做好足够的风险评估与财务安排，避免因参与本私募基金投资遭受难以承受的损失。管理人不保证最低收益或私募基金本金不受损失</w:t>
      </w:r>
      <w:r>
        <w:rPr>
          <w:rFonts w:hint="eastAsia" w:asciiTheme="minorEastAsia" w:hAnsiTheme="minorEastAsia" w:eastAsiaTheme="minorEastAsia"/>
          <w:b/>
          <w:bCs/>
          <w:color w:val="auto"/>
          <w:szCs w:val="21"/>
          <w:highlight w:val="none"/>
        </w:rPr>
        <w:t>。</w:t>
      </w:r>
    </w:p>
    <w:p w14:paraId="08CCC7BB">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69" w:name="_Toc381953538"/>
      <w:bookmarkStart w:id="70" w:name="_Toc459392423"/>
      <w:bookmarkStart w:id="71" w:name="_Toc340763865"/>
      <w:bookmarkStart w:id="72" w:name="_Toc361382983"/>
      <w:bookmarkStart w:id="73" w:name="_Toc334185942"/>
      <w:bookmarkStart w:id="74" w:name="_Toc344102751"/>
      <w:r>
        <w:rPr>
          <w:rFonts w:hint="eastAsia" w:asciiTheme="minorEastAsia" w:hAnsiTheme="minorEastAsia" w:eastAsiaTheme="minorEastAsia"/>
          <w:color w:val="auto"/>
          <w:sz w:val="28"/>
          <w:szCs w:val="28"/>
          <w:highlight w:val="none"/>
        </w:rPr>
        <w:t>二十一、基金份额的非交易过户和冻结、解冻</w:t>
      </w:r>
      <w:bookmarkEnd w:id="69"/>
      <w:bookmarkEnd w:id="70"/>
    </w:p>
    <w:p w14:paraId="19220BF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（一）基金份额的非交易过户</w:t>
      </w:r>
    </w:p>
    <w:p w14:paraId="0DAF1DD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非交易过户是指不采用申购、赎回等交易方式，将一定数量的基金份额按照一定的规则从某一基金份额持有人账户转移到另一基金份额持有人账户的行为。非交易过户包括继承、捐赠、司法执行以及基金份额登记机构认可、符合法律法规的其他</w:t>
      </w:r>
      <w:r>
        <w:rPr>
          <w:rFonts w:hint="eastAsia" w:asciiTheme="minorEastAsia" w:hAnsiTheme="minorEastAsia" w:eastAsiaTheme="minorEastAsia"/>
          <w:color w:val="auto"/>
          <w:szCs w:val="21"/>
          <w:highlight w:val="none"/>
        </w:rPr>
        <w:t>类型</w:t>
      </w:r>
      <w:r>
        <w:rPr>
          <w:rFonts w:asciiTheme="minorEastAsia" w:hAnsiTheme="minorEastAsia" w:eastAsiaTheme="minorEastAsia"/>
          <w:color w:val="auto"/>
          <w:szCs w:val="21"/>
          <w:highlight w:val="none"/>
        </w:rPr>
        <w:t>。办理非交易过户必须提供基金</w:t>
      </w:r>
      <w:r>
        <w:rPr>
          <w:rFonts w:hint="eastAsia" w:asciiTheme="minorEastAsia" w:hAnsiTheme="minorEastAsia" w:eastAsiaTheme="minorEastAsia"/>
          <w:color w:val="auto"/>
          <w:szCs w:val="21"/>
          <w:highlight w:val="none"/>
        </w:rPr>
        <w:t>份额登记机构</w:t>
      </w:r>
      <w:r>
        <w:rPr>
          <w:rFonts w:asciiTheme="minorEastAsia" w:hAnsiTheme="minorEastAsia" w:eastAsiaTheme="minorEastAsia"/>
          <w:color w:val="auto"/>
          <w:szCs w:val="21"/>
          <w:highlight w:val="none"/>
        </w:rPr>
        <w:t>要求提供的相关资料，接收划转的主体必须是依法可以持有本基金份额的投资者。</w:t>
      </w:r>
    </w:p>
    <w:p w14:paraId="48B434D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份额登记机构要求提供的相关资料，对于符合条件的非交易过户申请按基金份额登记机构的规定办理，并按基金份额登记机构规定的标准收费。</w:t>
      </w:r>
    </w:p>
    <w:p w14:paraId="5455F9B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（二）基金份额的冻结与解冻</w:t>
      </w:r>
    </w:p>
    <w:p w14:paraId="25819BA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本基金的基金份额冻结与解冻只包括人民法院、人民检察院、公安机关及其他国家有权机构依法要求的基金份额冻结与解冻事项，以及基金份额登记机构认可、符合法律法规的其他情况下的冻结与解冻。</w:t>
      </w:r>
    </w:p>
    <w:bookmarkEnd w:id="71"/>
    <w:bookmarkEnd w:id="72"/>
    <w:bookmarkEnd w:id="73"/>
    <w:bookmarkEnd w:id="74"/>
    <w:p w14:paraId="0FD05D5F">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75" w:name="_Toc459392424"/>
      <w:bookmarkStart w:id="76" w:name="_Toc277321602"/>
      <w:r>
        <w:rPr>
          <w:rFonts w:hint="eastAsia" w:asciiTheme="minorEastAsia" w:hAnsiTheme="minorEastAsia" w:eastAsiaTheme="minorEastAsia"/>
          <w:color w:val="auto"/>
          <w:sz w:val="28"/>
          <w:szCs w:val="28"/>
          <w:highlight w:val="none"/>
        </w:rPr>
        <w:t>二十二、基金合同的成立、生效及签署</w:t>
      </w:r>
      <w:bookmarkEnd w:id="75"/>
    </w:p>
    <w:p w14:paraId="2F178E6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（一）合同的成立、生效</w:t>
      </w:r>
    </w:p>
    <w:p w14:paraId="2AEB335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、合同成立</w:t>
      </w:r>
    </w:p>
    <w:p w14:paraId="0B733DE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本合同文本由基金管理人、基金托管人、基金投资者共同签署后合同即告成立。</w:t>
      </w:r>
    </w:p>
    <w:p w14:paraId="68C8A8F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、合同生效</w:t>
      </w:r>
    </w:p>
    <w:p w14:paraId="49CB6FC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本合同生效应当同时满足如下条件：</w:t>
      </w:r>
    </w:p>
    <w:p w14:paraId="7CC1674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）本合同经基金投资者、基金管理人与基金托管人合法签署；</w:t>
      </w:r>
    </w:p>
    <w:p w14:paraId="7A30F98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（2）基金投资者认购或申购资金实际交付并经基金管理人确认成功，基金投资者获得基金份额；</w:t>
      </w:r>
    </w:p>
    <w:p w14:paraId="33E110F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）本基金依法有效成立。</w:t>
      </w:r>
    </w:p>
    <w:p w14:paraId="743F936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本合同生效后，对本合同各方具有法律效力，任何一方都不得单方解除。</w:t>
      </w:r>
    </w:p>
    <w:p w14:paraId="2261D954">
      <w:pPr>
        <w:adjustRightInd w:val="0"/>
        <w:snapToGrid w:val="0"/>
        <w:spacing w:before="93" w:beforeLines="30" w:after="93" w:afterLines="30" w:line="384"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（二）合同的签署</w:t>
      </w:r>
    </w:p>
    <w:p w14:paraId="650AA964">
      <w:pPr>
        <w:adjustRightInd w:val="0"/>
        <w:snapToGrid w:val="0"/>
        <w:spacing w:before="93" w:beforeLines="30" w:after="93" w:afterLines="30" w:line="384"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、本合同的签署应当采用纸质合同和/或电子合同的方式进行，由基金管理人、基金托管人、基金投资者共同签署。</w:t>
      </w:r>
    </w:p>
    <w:p w14:paraId="0202DDC1">
      <w:pPr>
        <w:adjustRightInd w:val="0"/>
        <w:snapToGrid w:val="0"/>
        <w:spacing w:before="93" w:beforeLines="30" w:after="93" w:afterLines="30" w:line="384"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基金管理人、基金托管人及基金投资者签署纸质合同时，应签署一式三份。基金管理人应在基金募集期或基金开放期完成后的十个工作日内，将基金投资者签署的其中一份纸质合同寄送给基金托管人，基金托管人在收到基金管理人寄送的本合同的前提下，尽合理努力保管投资者签署的纸质合同。因基金托管人收集基金投资者签署的纸质合同存在客观局限性，保管投资者签署的纸质合同不构成基金托管人的义务。</w:t>
      </w:r>
    </w:p>
    <w:p w14:paraId="1D5B163F">
      <w:pPr>
        <w:adjustRightInd w:val="0"/>
        <w:snapToGrid w:val="0"/>
        <w:spacing w:before="93" w:beforeLines="30" w:after="93" w:afterLines="30" w:line="384"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基金管理人、基金托管人及基金投资者通过电子合同方式签署本合同，基金管理人、基金托管人及基金投资者认可电子合同的法律效力。若本基金使用的电子合同平台完成基金电子合同签署的，并不代表电子合同平台提供方承担基金销售、募集以及合同的订立、效力、履行等相关职责。</w:t>
      </w:r>
    </w:p>
    <w:p w14:paraId="2FFC5178">
      <w:pPr>
        <w:adjustRightInd w:val="0"/>
        <w:snapToGrid w:val="0"/>
        <w:spacing w:before="93" w:beforeLines="30" w:after="93" w:afterLines="30" w:line="384"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2、基金投资者在签署合同后方可进行认购、申购。</w:t>
      </w:r>
    </w:p>
    <w:p w14:paraId="52050FE8">
      <w:pPr>
        <w:adjustRightInd w:val="0"/>
        <w:snapToGrid w:val="0"/>
        <w:spacing w:before="93" w:beforeLines="30" w:after="93" w:afterLines="30" w:line="384"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经基金管理人确认有效的基金投资者认购、申购、赎回本基金的申请材料或数据电文和各推广机构出具的本基金认购、申购、赎回业务受理有关凭证等为本合同的附件，是本合同的有效组成部分，与本合同具有同等的法律效力。</w:t>
      </w:r>
    </w:p>
    <w:p w14:paraId="15767AAB">
      <w:pPr>
        <w:pStyle w:val="3"/>
        <w:keepNext w:val="0"/>
        <w:keepLines w:val="0"/>
        <w:adjustRightInd w:val="0"/>
        <w:snapToGrid w:val="0"/>
        <w:spacing w:before="312" w:beforeLines="100" w:after="312" w:afterLines="100" w:line="384" w:lineRule="auto"/>
        <w:jc w:val="center"/>
        <w:rPr>
          <w:rFonts w:asciiTheme="minorEastAsia" w:hAnsiTheme="minorEastAsia" w:eastAsiaTheme="minorEastAsia"/>
          <w:color w:val="auto"/>
          <w:sz w:val="28"/>
          <w:szCs w:val="28"/>
          <w:highlight w:val="none"/>
        </w:rPr>
      </w:pPr>
      <w:bookmarkStart w:id="77" w:name="_Toc459392425"/>
      <w:r>
        <w:rPr>
          <w:rFonts w:hint="eastAsia" w:asciiTheme="minorEastAsia" w:hAnsiTheme="minorEastAsia" w:eastAsiaTheme="minorEastAsia"/>
          <w:color w:val="auto"/>
          <w:sz w:val="28"/>
          <w:szCs w:val="28"/>
          <w:highlight w:val="none"/>
        </w:rPr>
        <w:t>二十三、基金合同的效力</w:t>
      </w:r>
      <w:bookmarkEnd w:id="77"/>
    </w:p>
    <w:p w14:paraId="7AE52E58">
      <w:pPr>
        <w:adjustRightInd w:val="0"/>
        <w:snapToGrid w:val="0"/>
        <w:spacing w:before="93" w:beforeLines="30" w:after="93" w:afterLines="30" w:line="384"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本合同是约定基金合同当事人之间权利义务关系的法律文件。基金份额持有人为法人的，本合同自基金份额持有人、基金管理人和基金托管人加盖公章（或合同专用章）以及三方法定代表人或授权代表签章或盖章之日起成立；基金份额持有人为自然人的，本合同自基金份额持有人本人签章或授权的代理人签章、基金管理人和基金托管人加盖公章（或合同专用章）以及双方法定代表人或授权代表签章之日起成立。当满足第二十二章中本合同生效的条件后，本合同生效。</w:t>
      </w:r>
    </w:p>
    <w:p w14:paraId="7D6874CB">
      <w:pPr>
        <w:adjustRightInd w:val="0"/>
        <w:snapToGrid w:val="0"/>
        <w:spacing w:before="93" w:beforeLines="30" w:after="93" w:afterLines="30" w:line="384"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（二）本合同自生效之日起对基金份额持有人、基金管理人、基金托管人具有同等的法律约束力。</w:t>
      </w:r>
    </w:p>
    <w:p w14:paraId="4500441E">
      <w:pPr>
        <w:adjustRightInd w:val="0"/>
        <w:snapToGrid w:val="0"/>
        <w:spacing w:before="93" w:beforeLines="30" w:after="93" w:afterLines="30" w:line="384"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（三）在本基金存续期，基金投资者自全部赎回其持有基金份额之日起，不再是本基金的份额持有人和本合同的当事人。</w:t>
      </w:r>
    </w:p>
    <w:p w14:paraId="3ED8F28E">
      <w:pPr>
        <w:adjustRightInd w:val="0"/>
        <w:snapToGrid w:val="0"/>
        <w:spacing w:before="93" w:beforeLines="30" w:after="93" w:afterLines="30" w:line="384"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（四）本合同有效期为本合同生效日至本合同终止日。</w:t>
      </w:r>
    </w:p>
    <w:p w14:paraId="36910C40">
      <w:pPr>
        <w:pStyle w:val="3"/>
        <w:keepNext w:val="0"/>
        <w:keepLines w:val="0"/>
        <w:adjustRightInd w:val="0"/>
        <w:snapToGrid w:val="0"/>
        <w:spacing w:before="312" w:beforeLines="100" w:after="312" w:afterLines="100" w:line="372" w:lineRule="auto"/>
        <w:jc w:val="center"/>
        <w:rPr>
          <w:rFonts w:asciiTheme="minorEastAsia" w:hAnsiTheme="minorEastAsia" w:eastAsiaTheme="minorEastAsia"/>
          <w:color w:val="auto"/>
          <w:sz w:val="28"/>
          <w:szCs w:val="28"/>
          <w:highlight w:val="none"/>
        </w:rPr>
      </w:pPr>
      <w:bookmarkStart w:id="78" w:name="_Toc459392426"/>
      <w:r>
        <w:rPr>
          <w:rFonts w:hint="eastAsia" w:asciiTheme="minorEastAsia" w:hAnsiTheme="minorEastAsia" w:eastAsiaTheme="minorEastAsia"/>
          <w:color w:val="auto"/>
          <w:sz w:val="28"/>
          <w:szCs w:val="28"/>
          <w:highlight w:val="none"/>
        </w:rPr>
        <w:t>二十四、基金合同的变更、解除与终止</w:t>
      </w:r>
      <w:bookmarkEnd w:id="76"/>
      <w:bookmarkEnd w:id="78"/>
    </w:p>
    <w:p w14:paraId="21C7F87C">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bookmarkStart w:id="79" w:name="_Toc459392427"/>
      <w:bookmarkStart w:id="80" w:name="_Toc277321603"/>
      <w:r>
        <w:rPr>
          <w:rFonts w:hint="eastAsia" w:asciiTheme="minorEastAsia" w:hAnsiTheme="minorEastAsia" w:eastAsiaTheme="minorEastAsia"/>
          <w:color w:val="auto"/>
          <w:szCs w:val="21"/>
          <w:highlight w:val="none"/>
        </w:rPr>
        <w:t>（一）非因法律、法规及有关政策发生变化的原因而导致合同变更时，可采用以下方式中的任何一种进行本合同变更。</w:t>
      </w:r>
    </w:p>
    <w:p w14:paraId="45B1EE08">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如基金合同的变更不涉及本基金合同当事人权利义务发生变化或对基金份额持有人利益无实质不利影响的或本合同另行约定的，私募基金管理人可与私募基金托管人协商一致后修改基金合同，并由私募基金管理人按照本合同的约定向基金份额持有人披露变更的具体内容。</w:t>
      </w:r>
    </w:p>
    <w:p w14:paraId="7EDD951E">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2、全体基金份额持有人、基金管理人和基金托管人协商一致并签署补充协议后对本合同内容进行变更。</w:t>
      </w:r>
    </w:p>
    <w:p w14:paraId="7A266893">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当本合同各方当事人完成补充协议签署后，基金管理人应当出具书面函件通知基金托管人补充协议生效。</w:t>
      </w:r>
      <w:r>
        <w:rPr>
          <w:rFonts w:hint="eastAsia" w:asciiTheme="minorEastAsia" w:hAnsiTheme="minorEastAsia" w:eastAsiaTheme="minorEastAsia"/>
          <w:b/>
          <w:bCs/>
          <w:color w:val="auto"/>
          <w:szCs w:val="21"/>
          <w:highlight w:val="none"/>
        </w:rPr>
        <w:t>因基金托管人未及时收悉书面函件，导致合同变更未及时生效的，基金托管人对由此造成的基金财产损失不承担赔偿责任。</w:t>
      </w:r>
    </w:p>
    <w:p w14:paraId="13874E28">
      <w:pPr>
        <w:adjustRightInd w:val="0"/>
        <w:snapToGrid w:val="0"/>
        <w:spacing w:before="93" w:beforeLines="30" w:after="93" w:afterLines="30" w:line="372" w:lineRule="auto"/>
        <w:ind w:firstLine="420"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color w:val="auto"/>
          <w:szCs w:val="21"/>
          <w:highlight w:val="none"/>
        </w:rPr>
        <w:t>补充协议生效时，基金管理人有义务确保全体基金份额持有人均已签署补充协议并且相关签署真实、有效，基金托管人对此不承担任何审核、监督义务。</w:t>
      </w:r>
      <w:r>
        <w:rPr>
          <w:rFonts w:hint="eastAsia" w:asciiTheme="minorEastAsia" w:hAnsiTheme="minorEastAsia" w:eastAsiaTheme="minorEastAsia"/>
          <w:b/>
          <w:bCs/>
          <w:color w:val="auto"/>
          <w:szCs w:val="21"/>
          <w:highlight w:val="none"/>
        </w:rPr>
        <w:t>若发生任何基金份额持有人未签署或其签署的真实性、有效性存在问题，对本基金、任何基金份额持有人或基金管理人造成损失的，基金托管人不承担赔偿责任。</w:t>
      </w:r>
    </w:p>
    <w:p w14:paraId="5F375021">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对于根据法律法规和本合同的规定可不经基金份额持有人大会决议通过的事项，基金管理人、基金托管人首先就本合同拟变更事项达成一致。基金管理人就本合同变更事项以约定的方式向基金份额持有人发布合同变更征询意见函（或通知）。基金份额持有人应在征询意见函（或通知）指定的日期内按指定的形式回复意见。基金份额持有人不同意变更的，应在征询意见函（或通知）指定的日期内赎回本基金（基金管理人可设置临时开放日（如有），且本条约定不受本合同“基金的申购、赎回与转让”中关于基金开放日的限制（但本基金的管理人及其员工的份额持有期低于6个月（180天）、其他投资者的份额持有期低于</w:t>
      </w:r>
      <w:r>
        <w:rPr>
          <w:rFonts w:asciiTheme="minorEastAsia" w:hAnsiTheme="minorEastAsia" w:eastAsiaTheme="minorEastAsia"/>
          <w:color w:val="auto"/>
          <w:szCs w:val="21"/>
          <w:highlight w:val="none"/>
        </w:rPr>
        <w:t>6</w:t>
      </w:r>
      <w:r>
        <w:rPr>
          <w:rFonts w:hint="eastAsia" w:asciiTheme="minorEastAsia" w:hAnsiTheme="minorEastAsia" w:eastAsiaTheme="minorEastAsia"/>
          <w:color w:val="auto"/>
          <w:szCs w:val="21"/>
          <w:highlight w:val="none"/>
        </w:rPr>
        <w:t>个月（</w:t>
      </w:r>
      <w:r>
        <w:rPr>
          <w:rFonts w:asciiTheme="minorEastAsia" w:hAnsiTheme="minorEastAsia" w:eastAsiaTheme="minorEastAsia"/>
          <w:color w:val="auto"/>
          <w:szCs w:val="21"/>
          <w:highlight w:val="none"/>
        </w:rPr>
        <w:t>18</w:t>
      </w:r>
      <w:r>
        <w:rPr>
          <w:rFonts w:hint="eastAsia" w:asciiTheme="minorEastAsia" w:hAnsiTheme="minorEastAsia" w:eastAsiaTheme="minorEastAsia"/>
          <w:color w:val="auto"/>
          <w:szCs w:val="21"/>
          <w:highlight w:val="none"/>
        </w:rPr>
        <w:t>0天）</w:t>
      </w:r>
      <w:r>
        <w:rPr>
          <w:rFonts w:hint="eastAsia" w:ascii="宋体" w:hAnsi="宋体"/>
          <w:color w:val="auto"/>
          <w:szCs w:val="21"/>
          <w:highlight w:val="none"/>
        </w:rPr>
        <w:t>（如本基金对其他投资者设置份额锁定期）</w:t>
      </w:r>
      <w:r>
        <w:rPr>
          <w:rFonts w:hint="eastAsia" w:asciiTheme="minorEastAsia" w:hAnsiTheme="minorEastAsia" w:eastAsiaTheme="minorEastAsia"/>
          <w:color w:val="auto"/>
          <w:szCs w:val="21"/>
          <w:highlight w:val="none"/>
        </w:rPr>
        <w:t>的，不得赎回该等基金份额））；基金份额持有人未在指定日期内回复意见或未在指定的日期内赎回本基金的，视为基金份额持有人同意合同变更。变更事项自征询意见函（或通知）指定的日期届满的次工作日开始生效，对合同各方均具有法律效力。</w:t>
      </w:r>
    </w:p>
    <w:p w14:paraId="6388AACB">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（二）因</w:t>
      </w:r>
      <w:r>
        <w:rPr>
          <w:rFonts w:asciiTheme="minorEastAsia" w:hAnsiTheme="minorEastAsia" w:eastAsiaTheme="minorEastAsia"/>
          <w:color w:val="auto"/>
          <w:szCs w:val="21"/>
          <w:highlight w:val="none"/>
        </w:rPr>
        <w:t>法律法规</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中国证监会的相关规定</w:t>
      </w:r>
      <w:r>
        <w:rPr>
          <w:rFonts w:hint="eastAsia" w:asciiTheme="minorEastAsia" w:hAnsiTheme="minorEastAsia" w:eastAsiaTheme="minorEastAsia"/>
          <w:color w:val="auto"/>
          <w:szCs w:val="21"/>
          <w:highlight w:val="none"/>
        </w:rPr>
        <w:t>、</w:t>
      </w:r>
      <w:r>
        <w:rPr>
          <w:rFonts w:hint="eastAsia" w:ascii="宋体" w:hAnsi="宋体"/>
          <w:color w:val="auto"/>
          <w:highlight w:val="none"/>
        </w:rPr>
        <w:t>行业指引、</w:t>
      </w:r>
      <w:r>
        <w:rPr>
          <w:rFonts w:hint="eastAsia" w:asciiTheme="minorEastAsia" w:hAnsiTheme="minorEastAsia" w:eastAsiaTheme="minorEastAsia"/>
          <w:color w:val="auto"/>
          <w:szCs w:val="21"/>
          <w:highlight w:val="none"/>
        </w:rPr>
        <w:t>自律规则</w:t>
      </w:r>
      <w:r>
        <w:rPr>
          <w:rFonts w:hint="eastAsia" w:ascii="宋体" w:hAnsi="宋体"/>
          <w:color w:val="auto"/>
          <w:highlight w:val="none"/>
        </w:rPr>
        <w:t>及有关政策</w:t>
      </w:r>
      <w:r>
        <w:rPr>
          <w:rFonts w:asciiTheme="minorEastAsia" w:hAnsiTheme="minorEastAsia" w:eastAsiaTheme="minorEastAsia"/>
          <w:color w:val="auto"/>
          <w:szCs w:val="21"/>
          <w:highlight w:val="none"/>
        </w:rPr>
        <w:t>发生变化需要对本合同进行变更的，</w:t>
      </w:r>
      <w:r>
        <w:rPr>
          <w:rFonts w:hint="eastAsia" w:asciiTheme="minorEastAsia" w:hAnsiTheme="minorEastAsia" w:eastAsiaTheme="minorEastAsia"/>
          <w:color w:val="auto"/>
          <w:szCs w:val="21"/>
          <w:highlight w:val="none"/>
        </w:rPr>
        <w:t>基金管理人</w:t>
      </w:r>
      <w:r>
        <w:rPr>
          <w:rFonts w:asciiTheme="minorEastAsia" w:hAnsiTheme="minorEastAsia" w:eastAsiaTheme="minorEastAsia"/>
          <w:color w:val="auto"/>
          <w:szCs w:val="21"/>
          <w:highlight w:val="none"/>
        </w:rPr>
        <w:t>可与基金托管人协商后修改</w:t>
      </w:r>
      <w:r>
        <w:rPr>
          <w:rFonts w:hint="eastAsia" w:asciiTheme="minorEastAsia" w:hAnsiTheme="minorEastAsia" w:eastAsiaTheme="minorEastAsia"/>
          <w:color w:val="auto"/>
          <w:szCs w:val="21"/>
          <w:highlight w:val="none"/>
        </w:rPr>
        <w:t>本</w:t>
      </w:r>
      <w:r>
        <w:rPr>
          <w:rFonts w:asciiTheme="minorEastAsia" w:hAnsiTheme="minorEastAsia" w:eastAsiaTheme="minorEastAsia"/>
          <w:color w:val="auto"/>
          <w:szCs w:val="21"/>
          <w:highlight w:val="none"/>
        </w:rPr>
        <w:t>合同</w:t>
      </w:r>
      <w:r>
        <w:rPr>
          <w:rFonts w:hint="eastAsia" w:asciiTheme="minorEastAsia" w:hAnsiTheme="minorEastAsia" w:eastAsiaTheme="minorEastAsia"/>
          <w:color w:val="auto"/>
          <w:szCs w:val="21"/>
          <w:highlight w:val="none"/>
        </w:rPr>
        <w:t>。在此种情况下，本合同的变更无需私募基金份额持有人同意。但</w:t>
      </w:r>
      <w:r>
        <w:rPr>
          <w:rFonts w:asciiTheme="minorEastAsia" w:hAnsiTheme="minorEastAsia" w:eastAsiaTheme="minorEastAsia"/>
          <w:color w:val="auto"/>
          <w:szCs w:val="21"/>
          <w:highlight w:val="none"/>
        </w:rPr>
        <w:t>基金管理人</w:t>
      </w:r>
      <w:r>
        <w:rPr>
          <w:rFonts w:hint="eastAsia" w:asciiTheme="minorEastAsia" w:hAnsiTheme="minorEastAsia" w:eastAsiaTheme="minorEastAsia"/>
          <w:color w:val="auto"/>
          <w:szCs w:val="21"/>
          <w:highlight w:val="none"/>
        </w:rPr>
        <w:t>应当按照本合同的约定</w:t>
      </w:r>
      <w:r>
        <w:rPr>
          <w:rFonts w:asciiTheme="minorEastAsia" w:hAnsiTheme="minorEastAsia" w:eastAsiaTheme="minorEastAsia"/>
          <w:color w:val="auto"/>
          <w:szCs w:val="21"/>
          <w:highlight w:val="none"/>
        </w:rPr>
        <w:t>向基金份额持有人</w:t>
      </w:r>
      <w:r>
        <w:rPr>
          <w:rFonts w:hint="eastAsia" w:asciiTheme="minorEastAsia" w:hAnsiTheme="minorEastAsia" w:eastAsiaTheme="minorEastAsia"/>
          <w:color w:val="auto"/>
          <w:szCs w:val="21"/>
          <w:highlight w:val="none"/>
        </w:rPr>
        <w:t>披露变更的具体内容</w:t>
      </w:r>
      <w:r>
        <w:rPr>
          <w:rFonts w:asciiTheme="minorEastAsia" w:hAnsiTheme="minorEastAsia" w:eastAsiaTheme="minorEastAsia"/>
          <w:color w:val="auto"/>
          <w:szCs w:val="21"/>
          <w:highlight w:val="none"/>
        </w:rPr>
        <w:t>。</w:t>
      </w:r>
    </w:p>
    <w:p w14:paraId="43455E37">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如本基金合同根据前述条款约定发生任何变更，且存在新增投资者拟申购本基金份额，私募基金管理人应当确保新增投资者签署变更后的基金合同或附有变更文件的原基金合同。如果新增投资者签署的基金合同条款与变更后的基金合同不一致，私募基金托管人对此不承担任何责任。</w:t>
      </w:r>
    </w:p>
    <w:p w14:paraId="4F011B67">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本基金发生《私募投资基金登记备案办法》第五十五条规定的信息变更的，私募基金管理人应当按照相关规定及时向基金业协会报送相关变更材料，履行变更手续，同时应当向基金投资者披露并采取设置临时开放日或者其他保障基金投资者赎回私募证券基金权利的措施，但变更内容有利于基金投资者或本合同另有约定的除外。</w:t>
      </w:r>
    </w:p>
    <w:p w14:paraId="0EF14356">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（五）合同的解除</w:t>
      </w:r>
    </w:p>
    <w:p w14:paraId="14202520">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通过私募基金管理人直接募集的，本基金为投资者设置二十四小时的投资冷静期，冷静期自基金合同签署完毕且投资者交纳购买基金的款项之时起算，投资者在冷静期内有权解除基金合同。出现前述情形时，募集机构应当按合同约定及时【无息】退还投资者的全部购买款项。</w:t>
      </w:r>
    </w:p>
    <w:p w14:paraId="10D77FB8">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中国基金业协会要求正式实施《私募投资基金募集行为管理办法》规定的回访制度后，投资者在募集机构回访确认成功前有权解除本合同。出现前述情形时，募集机构应当及时退还投资者的全部认购款项。但是，</w:t>
      </w:r>
      <w:r>
        <w:rPr>
          <w:rFonts w:hint="eastAsia" w:ascii="宋体" w:hAnsi="宋体"/>
          <w:color w:val="auto"/>
          <w:szCs w:val="21"/>
          <w:highlight w:val="none"/>
        </w:rPr>
        <w:t>根据法律法规规定、部门规章、行业自律指引规定等可豁免适用回访制度的个人、机构或资产管理产品除外</w:t>
      </w:r>
      <w:r>
        <w:rPr>
          <w:rFonts w:hint="eastAsia" w:asciiTheme="minorEastAsia" w:hAnsiTheme="minorEastAsia" w:eastAsiaTheme="minorEastAsia"/>
          <w:color w:val="auto"/>
          <w:szCs w:val="21"/>
          <w:highlight w:val="none"/>
        </w:rPr>
        <w:t>。</w:t>
      </w:r>
    </w:p>
    <w:p w14:paraId="1593EA3A">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（六）合同终止的情形包括下列事项：</w:t>
      </w:r>
    </w:p>
    <w:p w14:paraId="6A1BEF1C">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1、基金管理人、基金托管人职责终止,且在六个月内没有新基金管理人、新基金托管人承接的，导致基金管理人、基金托管人职责终止的原因包括但不限于以下：</w:t>
      </w:r>
    </w:p>
    <w:p w14:paraId="61E03AC6">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（1）基金管理人依法解散、被依法撤销或被依法宣告破产的；</w:t>
      </w:r>
    </w:p>
    <w:p w14:paraId="514E5795">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（2）基金管理人被依法取消私募投资基金管理人相关资质的；</w:t>
      </w:r>
    </w:p>
    <w:p w14:paraId="19050D5D">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（3）基金托管人依法解散、被依法撤销或被依法宣告破产的；</w:t>
      </w:r>
    </w:p>
    <w:p w14:paraId="32368226">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（4）基金托管人被依法取消基金托管资格的；</w:t>
      </w:r>
    </w:p>
    <w:p w14:paraId="6F307A92">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2、本合同期限届满而未延期的；</w:t>
      </w:r>
    </w:p>
    <w:p w14:paraId="5565D2A3">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3、基金份额持有人大会决定终止的；</w:t>
      </w:r>
    </w:p>
    <w:p w14:paraId="774505D5">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4、基金管理人因基金出现“</w:t>
      </w:r>
      <w:r>
        <w:rPr>
          <w:rFonts w:asciiTheme="minorEastAsia" w:hAnsiTheme="minorEastAsia" w:eastAsiaTheme="minorEastAsia"/>
          <w:color w:val="auto"/>
          <w:szCs w:val="21"/>
          <w:highlight w:val="none"/>
        </w:rPr>
        <w:t>基金上一年度日均基金资产净值低于500万元，或者</w:t>
      </w:r>
      <w:r>
        <w:rPr>
          <w:rFonts w:hint="eastAsia" w:asciiTheme="minorEastAsia" w:hAnsiTheme="minorEastAsia" w:eastAsiaTheme="minorEastAsia"/>
          <w:color w:val="auto"/>
          <w:szCs w:val="21"/>
          <w:highlight w:val="none"/>
        </w:rPr>
        <w:t>基金资产净值</w:t>
      </w:r>
      <w:r>
        <w:rPr>
          <w:rFonts w:asciiTheme="minorEastAsia" w:hAnsiTheme="minorEastAsia" w:eastAsiaTheme="minorEastAsia"/>
          <w:color w:val="auto"/>
          <w:szCs w:val="21"/>
          <w:highlight w:val="none"/>
        </w:rPr>
        <w:t>连续60个交易日低于500万元</w:t>
      </w:r>
      <w:r>
        <w:rPr>
          <w:rFonts w:hint="eastAsia" w:asciiTheme="minorEastAsia" w:hAnsiTheme="minorEastAsia" w:eastAsiaTheme="minorEastAsia"/>
          <w:color w:val="auto"/>
          <w:szCs w:val="21"/>
          <w:highlight w:val="none"/>
        </w:rPr>
        <w:t>的</w:t>
      </w:r>
      <w:r>
        <w:rPr>
          <w:rFonts w:asciiTheme="minorEastAsia" w:hAnsiTheme="minorEastAsia" w:eastAsiaTheme="minorEastAsia"/>
          <w:color w:val="auto"/>
          <w:szCs w:val="21"/>
          <w:highlight w:val="none"/>
        </w:rPr>
        <w:t>情形</w:t>
      </w:r>
      <w:r>
        <w:rPr>
          <w:rFonts w:hint="eastAsia" w:asciiTheme="minorEastAsia" w:hAnsiTheme="minorEastAsia" w:eastAsiaTheme="minorEastAsia"/>
          <w:color w:val="auto"/>
          <w:szCs w:val="21"/>
          <w:highlight w:val="none"/>
        </w:rPr>
        <w:t>”停止申购之日起，</w:t>
      </w:r>
      <w:r>
        <w:rPr>
          <w:rFonts w:asciiTheme="minorEastAsia" w:hAnsiTheme="minorEastAsia" w:eastAsiaTheme="minorEastAsia"/>
          <w:color w:val="auto"/>
          <w:szCs w:val="21"/>
          <w:highlight w:val="none"/>
        </w:rPr>
        <w:t>基金资产净值连续120个交易日低于500万元的</w:t>
      </w:r>
      <w:r>
        <w:rPr>
          <w:rFonts w:hint="eastAsia" w:asciiTheme="minorEastAsia" w:hAnsiTheme="minorEastAsia" w:eastAsiaTheme="minorEastAsia"/>
          <w:color w:val="auto"/>
          <w:szCs w:val="21"/>
          <w:highlight w:val="none"/>
        </w:rPr>
        <w:t>；</w:t>
      </w:r>
    </w:p>
    <w:p w14:paraId="67535A27">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5、法律法规和本合同规定的其他情形。</w:t>
      </w:r>
    </w:p>
    <w:p w14:paraId="69EADB35">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（七）基金维持运作机制</w:t>
      </w:r>
    </w:p>
    <w:p w14:paraId="27494DED">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私募基金管理人被基金业协会列为失联（异常）机构、</w:t>
      </w:r>
      <w:r>
        <w:rPr>
          <w:rFonts w:hint="eastAsia" w:ascii="宋体" w:hAnsi="宋体"/>
          <w:color w:val="auto"/>
          <w:szCs w:val="21"/>
          <w:highlight w:val="none"/>
        </w:rPr>
        <w:t>依法解散、被依法撤销、被依法宣告破产、</w:t>
      </w:r>
      <w:r>
        <w:rPr>
          <w:rFonts w:hint="eastAsia" w:asciiTheme="minorEastAsia" w:hAnsiTheme="minorEastAsia" w:eastAsiaTheme="minorEastAsia"/>
          <w:color w:val="auto"/>
          <w:szCs w:val="21"/>
          <w:highlight w:val="none"/>
        </w:rPr>
        <w:t>被基金业协会注销私募基金管理人登记</w:t>
      </w:r>
      <w:r>
        <w:rPr>
          <w:rFonts w:hint="eastAsia" w:ascii="宋体" w:hAnsi="宋体"/>
          <w:color w:val="auto"/>
          <w:szCs w:val="21"/>
          <w:highlight w:val="none"/>
        </w:rPr>
        <w:t>等原因导致私募基金管理人</w:t>
      </w:r>
      <w:r>
        <w:rPr>
          <w:rFonts w:hint="eastAsia" w:asciiTheme="minorEastAsia" w:hAnsiTheme="minorEastAsia" w:eastAsiaTheme="minorEastAsia"/>
          <w:color w:val="auto"/>
          <w:szCs w:val="21"/>
          <w:highlight w:val="none"/>
        </w:rPr>
        <w:t>客观上丧失继续管理本基金的能力</w:t>
      </w:r>
      <w:r>
        <w:rPr>
          <w:rFonts w:hint="eastAsia" w:ascii="宋体" w:hAnsi="宋体"/>
          <w:color w:val="auto"/>
          <w:szCs w:val="21"/>
          <w:highlight w:val="none"/>
        </w:rPr>
        <w:t>或私募基金管理人怠于履行管理职责，</w:t>
      </w:r>
      <w:r>
        <w:rPr>
          <w:rFonts w:hint="eastAsia" w:asciiTheme="minorEastAsia" w:hAnsiTheme="minorEastAsia" w:eastAsiaTheme="minorEastAsia"/>
          <w:color w:val="auto"/>
          <w:szCs w:val="21"/>
          <w:highlight w:val="none"/>
        </w:rPr>
        <w:t>且管理人未按合同约定履行义务组织清算的，基金份额持有人可按照法律法规规定及本合同约定召开份额持有人大会</w:t>
      </w:r>
      <w:r>
        <w:rPr>
          <w:rFonts w:hint="eastAsia" w:ascii="宋体" w:hAnsi="宋体"/>
          <w:color w:val="auto"/>
          <w:szCs w:val="21"/>
          <w:highlight w:val="none"/>
        </w:rPr>
        <w:t>变更管理人或</w:t>
      </w:r>
      <w:r>
        <w:rPr>
          <w:rFonts w:hint="eastAsia" w:asciiTheme="minorEastAsia" w:hAnsiTheme="minorEastAsia" w:eastAsiaTheme="minorEastAsia"/>
          <w:color w:val="auto"/>
          <w:szCs w:val="21"/>
          <w:highlight w:val="none"/>
        </w:rPr>
        <w:t>组织成立清算小组。清算小组可由基金份额持有人大会推举代表、基金托管人组成。在清算过程中涉及基金托管人的相关事宜，基金托管人应提供必要的协助与配合。</w:t>
      </w:r>
    </w:p>
    <w:p w14:paraId="174A2B9F">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若管理人被基金业协会从失联（异常）机构名单中移除或恢复继续管理本基金能力的，对于在其被认定为失联（异常）机构或客观上丧失继续管理本基金能力</w:t>
      </w:r>
      <w:r>
        <w:rPr>
          <w:rFonts w:hint="eastAsia" w:ascii="宋体" w:hAnsi="宋体"/>
          <w:color w:val="auto"/>
          <w:szCs w:val="21"/>
          <w:highlight w:val="none"/>
        </w:rPr>
        <w:t>或怠于履行管理人职责</w:t>
      </w:r>
      <w:r>
        <w:rPr>
          <w:rFonts w:hint="eastAsia" w:asciiTheme="minorEastAsia" w:hAnsiTheme="minorEastAsia" w:eastAsiaTheme="minorEastAsia"/>
          <w:color w:val="auto"/>
          <w:szCs w:val="21"/>
          <w:highlight w:val="none"/>
        </w:rPr>
        <w:t>期间，对基金份额持有人大会、清算小组签署的与本基金相关的协议文件、行使诉讼权利、处分基金财产或者实施其他有关的法律行为均予以认可。</w:t>
      </w:r>
    </w:p>
    <w:p w14:paraId="0C7DB2F5">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基金托管人应按照法律法规规定和本基金合同约定履行托管职责，维护基金份额持有人合法权益。</w:t>
      </w:r>
    </w:p>
    <w:p w14:paraId="1183D65C">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r>
        <w:rPr>
          <w:rFonts w:hint="eastAsia" w:asciiTheme="minorEastAsia" w:hAnsiTheme="minorEastAsia" w:eastAsiaTheme="minorEastAsia"/>
          <w:color w:val="auto"/>
          <w:sz w:val="28"/>
          <w:szCs w:val="28"/>
          <w:highlight w:val="none"/>
        </w:rPr>
        <w:t>二十五、基金的清算</w:t>
      </w:r>
      <w:bookmarkEnd w:id="79"/>
      <w:bookmarkEnd w:id="80"/>
    </w:p>
    <w:p w14:paraId="17509DF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（一）基金财产清算小组</w:t>
      </w:r>
    </w:p>
    <w:p w14:paraId="2D33586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1、自本合同终止之日起30个工作日内成立基金财产清算小组。</w:t>
      </w:r>
    </w:p>
    <w:p w14:paraId="24A51C9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2、基金财产清算小组成员由基金管理人、基金托管人等相关人员组成。清算小组可以聘用必要的工作人员。</w:t>
      </w:r>
    </w:p>
    <w:p w14:paraId="5548939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3、基金财产清算小组负责基金财产的保管、清理、估价、变现和分配。基金财产清算小组可以依法进行必要的民事活动。</w:t>
      </w:r>
    </w:p>
    <w:p w14:paraId="5C70B25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（二）基金财产清算程序</w:t>
      </w:r>
    </w:p>
    <w:p w14:paraId="0F109296">
      <w:pPr>
        <w:adjustRightInd w:val="0"/>
        <w:snapToGrid w:val="0"/>
        <w:spacing w:before="93" w:beforeLines="30" w:after="93" w:afterLines="30" w:line="348"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私募证券投资基金进入清算程序后，不得新增募集、不得新增投资，具体程序如下：</w:t>
      </w:r>
    </w:p>
    <w:p w14:paraId="2FF4ECC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1、本合同终止后，由基金财产清算小组统一接管基金财产；</w:t>
      </w:r>
    </w:p>
    <w:p w14:paraId="6E1FD2C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2、对基金财产和债权债务进行清理和确认；</w:t>
      </w:r>
    </w:p>
    <w:p w14:paraId="5113A66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3、对基金财产进行估值和变现；</w:t>
      </w:r>
    </w:p>
    <w:p w14:paraId="2584029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4、制作清算报告；</w:t>
      </w:r>
    </w:p>
    <w:p w14:paraId="0765BFA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5、对基金财产进行分配。</w:t>
      </w:r>
    </w:p>
    <w:p w14:paraId="05C54C4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w:t>
      </w:r>
      <w:r>
        <w:rPr>
          <w:rFonts w:asciiTheme="minorEastAsia" w:hAnsiTheme="minorEastAsia" w:eastAsiaTheme="minorEastAsia"/>
          <w:color w:val="auto"/>
          <w:szCs w:val="21"/>
          <w:highlight w:val="none"/>
        </w:rPr>
        <w:t>清算费用</w:t>
      </w:r>
    </w:p>
    <w:p w14:paraId="21FC9CA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清算费用是指</w:t>
      </w:r>
      <w:r>
        <w:rPr>
          <w:rFonts w:hint="eastAsia" w:asciiTheme="minorEastAsia" w:hAnsiTheme="minorEastAsia" w:eastAsiaTheme="minorEastAsia"/>
          <w:color w:val="auto"/>
          <w:szCs w:val="21"/>
          <w:highlight w:val="none"/>
        </w:rPr>
        <w:t>基金财产</w:t>
      </w:r>
      <w:r>
        <w:rPr>
          <w:rFonts w:asciiTheme="minorEastAsia" w:hAnsiTheme="minorEastAsia" w:eastAsiaTheme="minorEastAsia"/>
          <w:color w:val="auto"/>
          <w:szCs w:val="21"/>
          <w:highlight w:val="none"/>
        </w:rPr>
        <w:t>清算小组在进行基金财产清算过程中发生的所有合理费用，清算费用由</w:t>
      </w:r>
      <w:r>
        <w:rPr>
          <w:rFonts w:hint="eastAsia" w:asciiTheme="minorEastAsia" w:hAnsiTheme="minorEastAsia" w:eastAsiaTheme="minorEastAsia"/>
          <w:color w:val="auto"/>
          <w:szCs w:val="21"/>
          <w:highlight w:val="none"/>
        </w:rPr>
        <w:t>基金财产</w:t>
      </w:r>
      <w:r>
        <w:rPr>
          <w:rFonts w:asciiTheme="minorEastAsia" w:hAnsiTheme="minorEastAsia" w:eastAsiaTheme="minorEastAsia"/>
          <w:color w:val="auto"/>
          <w:szCs w:val="21"/>
          <w:highlight w:val="none"/>
        </w:rPr>
        <w:t>清算小组优先从基金</w:t>
      </w:r>
      <w:r>
        <w:rPr>
          <w:rFonts w:hint="eastAsia" w:asciiTheme="minorEastAsia" w:hAnsiTheme="minorEastAsia" w:eastAsiaTheme="minorEastAsia"/>
          <w:color w:val="auto"/>
          <w:szCs w:val="21"/>
          <w:highlight w:val="none"/>
        </w:rPr>
        <w:t>财产</w:t>
      </w:r>
      <w:r>
        <w:rPr>
          <w:rFonts w:asciiTheme="minorEastAsia" w:hAnsiTheme="minorEastAsia" w:eastAsiaTheme="minorEastAsia"/>
          <w:color w:val="auto"/>
          <w:szCs w:val="21"/>
          <w:highlight w:val="none"/>
        </w:rPr>
        <w:t>中支付。</w:t>
      </w:r>
    </w:p>
    <w:p w14:paraId="1A89244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w:t>
      </w:r>
      <w:r>
        <w:rPr>
          <w:rFonts w:asciiTheme="minorEastAsia" w:hAnsiTheme="minorEastAsia" w:eastAsiaTheme="minorEastAsia"/>
          <w:color w:val="auto"/>
          <w:szCs w:val="21"/>
          <w:highlight w:val="none"/>
        </w:rPr>
        <w:t>基金财产清算过程中剩余</w:t>
      </w:r>
      <w:r>
        <w:rPr>
          <w:rFonts w:hint="eastAsia" w:asciiTheme="minorEastAsia" w:hAnsiTheme="minorEastAsia" w:eastAsiaTheme="minorEastAsia"/>
          <w:color w:val="auto"/>
          <w:szCs w:val="21"/>
          <w:highlight w:val="none"/>
        </w:rPr>
        <w:t>财产</w:t>
      </w:r>
      <w:r>
        <w:rPr>
          <w:rFonts w:asciiTheme="minorEastAsia" w:hAnsiTheme="minorEastAsia" w:eastAsiaTheme="minorEastAsia"/>
          <w:color w:val="auto"/>
          <w:szCs w:val="21"/>
          <w:highlight w:val="none"/>
        </w:rPr>
        <w:t>的分配</w:t>
      </w:r>
    </w:p>
    <w:p w14:paraId="21429D1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依据基金财产清算的分配方案，</w:t>
      </w:r>
      <w:r>
        <w:rPr>
          <w:rFonts w:hint="eastAsia" w:asciiTheme="minorEastAsia" w:hAnsiTheme="minorEastAsia" w:eastAsiaTheme="minorEastAsia"/>
          <w:color w:val="auto"/>
          <w:szCs w:val="21"/>
          <w:highlight w:val="none"/>
        </w:rPr>
        <w:t>将基金财产清算后的全部剩余财产扣除基金财产清算费用、所欠税款及各项负债后，如有余额，按各类份额各自的资产净值占基金资产净值的比例进行分配后，再按照按各类基金份额持有人持有的该类份额占该类基金份额总份额数的占比进行分配并分别扣除单个投资者所持每笔份额应计提业绩报酬（如有）、浮动投资顾问费（如有）。其中，在基金清算时免收基金份额持有人的赎回费用（若有）。如本基金清算时出现基金财产不足以支付各项费用及负债的情况，基金管理人应当向基金托管人和基金服务机构补足本基金应支付而未支付的托管费和基金服务费。</w:t>
      </w:r>
    </w:p>
    <w:p w14:paraId="4A27E14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因持有流通受限证券、投资的产品封闭期（含限售期、锁定期）超过基金存续期等原因导致本基金财产无法及时变现的，基金管理人应当于本基金终止后对基金财产进行清算并先行分配已变现部分。待上述资产可以变现时，基金管理人及时完成剩余可变现基金资产的变现操作后进行二次清算，并将该部分财产另行分配给全体基金份额持有人。本基金持有多个流通受限的证券及投资产品的，基金管理人按本款约定进行多次变现及清算。二次及多次清算期间，基金管理人、基金托管人、基金服务机构不计提管理费、托管费、基金服务费。二次及多次清算流程同一次清算。</w:t>
      </w:r>
    </w:p>
    <w:p w14:paraId="13E3983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私募证券基金完成清算，剩余基金财产可以以货币资金方式分配给投资者，或者经投资者同意，以实物资产方式分配给投资者。</w:t>
      </w:r>
    </w:p>
    <w:p w14:paraId="46EFD15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w:t>
      </w:r>
      <w:r>
        <w:rPr>
          <w:rFonts w:asciiTheme="minorEastAsia" w:hAnsiTheme="minorEastAsia" w:eastAsiaTheme="minorEastAsia"/>
          <w:color w:val="auto"/>
          <w:szCs w:val="21"/>
          <w:highlight w:val="none"/>
        </w:rPr>
        <w:t>清算未尽事宜</w:t>
      </w:r>
    </w:p>
    <w:p w14:paraId="6803C62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本合同中关于基金清算的未尽事宜以清算报告或基金管理人</w:t>
      </w:r>
      <w:r>
        <w:rPr>
          <w:rFonts w:hint="eastAsia" w:asciiTheme="minorEastAsia" w:hAnsiTheme="minorEastAsia" w:eastAsiaTheme="minorEastAsia"/>
          <w:color w:val="auto"/>
          <w:szCs w:val="21"/>
          <w:highlight w:val="none"/>
        </w:rPr>
        <w:t>的通知</w:t>
      </w:r>
      <w:r>
        <w:rPr>
          <w:rFonts w:asciiTheme="minorEastAsia" w:hAnsiTheme="minorEastAsia" w:eastAsiaTheme="minorEastAsia"/>
          <w:color w:val="auto"/>
          <w:szCs w:val="21"/>
          <w:highlight w:val="none"/>
        </w:rPr>
        <w:t>为准。</w:t>
      </w:r>
    </w:p>
    <w:p w14:paraId="105621A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（六）基金财产清算报告</w:t>
      </w:r>
    </w:p>
    <w:p w14:paraId="0D43D8B3">
      <w:pPr>
        <w:adjustRightInd w:val="0"/>
        <w:snapToGrid w:val="0"/>
        <w:spacing w:before="93" w:beforeLines="30" w:after="93" w:afterLines="30" w:line="348" w:lineRule="auto"/>
        <w:ind w:firstLine="420" w:firstLineChars="200"/>
        <w:rPr>
          <w:color w:val="auto"/>
          <w:highlight w:val="none"/>
        </w:rPr>
      </w:pPr>
      <w:r>
        <w:rPr>
          <w:rFonts w:hint="eastAsia" w:asciiTheme="minorEastAsia" w:hAnsiTheme="minorEastAsia" w:eastAsiaTheme="minorEastAsia"/>
          <w:color w:val="auto"/>
          <w:szCs w:val="21"/>
          <w:highlight w:val="none"/>
        </w:rPr>
        <w:t>基金清算程序开始后，基金管理人（或其委托的服务机构）应及时编制基金财产清算报告，并由基金管理人将加盖基金管理人和基金托管人公章或业务章后的清算报告</w:t>
      </w:r>
      <w:r>
        <w:rPr>
          <w:rFonts w:asciiTheme="minorEastAsia" w:hAnsiTheme="minorEastAsia" w:eastAsiaTheme="minorEastAsia"/>
          <w:color w:val="auto"/>
          <w:szCs w:val="21"/>
          <w:highlight w:val="none"/>
        </w:rPr>
        <w:t>以约定的方式通知</w:t>
      </w:r>
      <w:r>
        <w:rPr>
          <w:rFonts w:hint="eastAsia" w:asciiTheme="minorEastAsia" w:hAnsiTheme="minorEastAsia" w:eastAsiaTheme="minorEastAsia"/>
          <w:color w:val="auto"/>
          <w:szCs w:val="21"/>
          <w:highlight w:val="none"/>
        </w:rPr>
        <w:t>基金份额持有人。</w:t>
      </w:r>
    </w:p>
    <w:p w14:paraId="0B5C660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（七）基金财产清算账册及文件由私募基金管理人保存10年以上。</w:t>
      </w:r>
    </w:p>
    <w:p w14:paraId="5BFEB8E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（八）基金财产相关账户的注销</w:t>
      </w:r>
    </w:p>
    <w:p w14:paraId="68F6007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基金财产清算完毕后，基金托管人及基金管理人应按照交易所、银行的有关规定注销托管资金专门账户、证券账户和期货账户、证券资金账户等投资所需账户。</w:t>
      </w:r>
    </w:p>
    <w:p w14:paraId="6CF55F8D">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81" w:name="_Toc459392428"/>
      <w:r>
        <w:rPr>
          <w:rFonts w:hint="eastAsia" w:asciiTheme="minorEastAsia" w:hAnsiTheme="minorEastAsia" w:eastAsiaTheme="minorEastAsia"/>
          <w:color w:val="auto"/>
          <w:sz w:val="28"/>
          <w:szCs w:val="28"/>
          <w:highlight w:val="none"/>
        </w:rPr>
        <w:t>二十六、违约责任</w:t>
      </w:r>
      <w:bookmarkEnd w:id="81"/>
    </w:p>
    <w:p w14:paraId="07C5C9C5">
      <w:pPr>
        <w:adjustRightInd w:val="0"/>
        <w:snapToGrid w:val="0"/>
        <w:spacing w:before="93" w:beforeLines="30" w:after="93" w:afterLines="30" w:line="360" w:lineRule="auto"/>
        <w:ind w:firstLine="420"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color w:val="auto"/>
          <w:szCs w:val="21"/>
          <w:highlight w:val="none"/>
        </w:rPr>
        <w:t>（一）当事人违反本合同，应当承担违约责任，给合同其他当事人造成损失的，应当承担赔偿责任；如属本合同当事人双方或多方当事人的违约，根据实际情况，由违约方分别承担各自应负的违约责任。</w:t>
      </w:r>
      <w:r>
        <w:rPr>
          <w:rFonts w:hint="eastAsia" w:asciiTheme="minorEastAsia" w:hAnsiTheme="minorEastAsia" w:eastAsiaTheme="minorEastAsia"/>
          <w:b/>
          <w:color w:val="auto"/>
          <w:szCs w:val="21"/>
          <w:highlight w:val="none"/>
        </w:rPr>
        <w:t>但是发生下列情况，当事人应当免责：</w:t>
      </w:r>
    </w:p>
    <w:p w14:paraId="6140AAB1">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t>1、基金管理人及和/或基金托管人按照中国证监会的规定或当时有效的法律法规的作为或不作为而造成的损失等。</w:t>
      </w:r>
    </w:p>
    <w:p w14:paraId="7F489063">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t>2、基金管理人由于按照本合同规定的投资原则而行使或不行使其投资权而造成的损失等。</w:t>
      </w:r>
    </w:p>
    <w:p w14:paraId="310807EC">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lang w:val="zh-CN"/>
        </w:rPr>
      </w:pPr>
      <w:r>
        <w:rPr>
          <w:rFonts w:asciiTheme="minorEastAsia" w:hAnsiTheme="minorEastAsia" w:eastAsiaTheme="minorEastAsia"/>
          <w:b/>
          <w:color w:val="auto"/>
          <w:szCs w:val="21"/>
          <w:highlight w:val="none"/>
          <w:lang w:val="zh-CN"/>
        </w:rPr>
        <w:t>3、基金托管人由于按照基金管理人符合本合同约定的有效指令执行而造成的损失等。</w:t>
      </w:r>
    </w:p>
    <w:p w14:paraId="1DD2FF31">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t>4、基金托管人对存放或存管在基金托管人以外机构的基金</w:t>
      </w:r>
      <w:r>
        <w:rPr>
          <w:rFonts w:hint="eastAsia" w:asciiTheme="minorEastAsia" w:hAnsiTheme="minorEastAsia" w:eastAsiaTheme="minorEastAsia"/>
          <w:b/>
          <w:color w:val="auto"/>
          <w:szCs w:val="21"/>
          <w:highlight w:val="none"/>
        </w:rPr>
        <w:t>财产，或交由商业银行、期货公司、证券公司等其他机构负责清算交收的委托财产（包括但不限于保证金账户内的资金、期货合约等）及其收益，因该等机构欺诈、疏忽、过失、破产等原因给委托财产带来的损失等。</w:t>
      </w:r>
    </w:p>
    <w:p w14:paraId="735C3D73">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t>5、</w:t>
      </w:r>
      <w:r>
        <w:rPr>
          <w:rFonts w:hint="eastAsia" w:asciiTheme="minorEastAsia" w:hAnsiTheme="minorEastAsia" w:eastAsiaTheme="minorEastAsia"/>
          <w:b/>
          <w:color w:val="auto"/>
          <w:kern w:val="0"/>
          <w:szCs w:val="21"/>
          <w:highlight w:val="none"/>
        </w:rPr>
        <w:t>本协议各方对由于第三方（包括但不限于交易所、中登公司、经纪商等）发送或提供的数据错误给本基金财产造成的损失等。</w:t>
      </w:r>
    </w:p>
    <w:p w14:paraId="78614918">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t>6、不可抗力。</w:t>
      </w:r>
    </w:p>
    <w:p w14:paraId="28BB06D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在发生一方或多方违约的情况下，在最大限度地保护基金份额持有人利益的前提下，本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20EB4FCF">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p>
    <w:p w14:paraId="2999F30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（四）一方依据本合同向另一方赔偿的损失，仅限于直接损失。</w:t>
      </w:r>
    </w:p>
    <w:p w14:paraId="77B05A6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（五）基金托管人仅承担本合同约定的相关责任及义务，基金管理人不得对基金托管人所承担的责任进行虚假宣传，更不得以基金托管人名义或利用基金托管人商誉进行非法募集资金、承诺投资收益等违规活动。</w:t>
      </w:r>
    </w:p>
    <w:p w14:paraId="5A1E0647">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82" w:name="_Toc459392429"/>
      <w:r>
        <w:rPr>
          <w:rFonts w:hint="eastAsia" w:asciiTheme="minorEastAsia" w:hAnsiTheme="minorEastAsia" w:eastAsiaTheme="minorEastAsia"/>
          <w:color w:val="auto"/>
          <w:sz w:val="28"/>
          <w:szCs w:val="28"/>
          <w:highlight w:val="none"/>
        </w:rPr>
        <w:t>二十七、通知与送达</w:t>
      </w:r>
      <w:bookmarkEnd w:id="82"/>
    </w:p>
    <w:p w14:paraId="043D7E7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合同的规定需要发出的任何通知、要求、需要、主张和其他联络内容等，基金管理人除了可通过管理人或代销机构的网站以公告的方式进行通知的事项外，还可以当面递交、传真、快递、挂号信、电子邮件或短信的方式送至本合同各方当事人。</w:t>
      </w:r>
    </w:p>
    <w:p w14:paraId="4298A187">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被送达方为基金管理人的，以本合同当事人信息页约定的基金管理人多种联系方式中的一种联系方式或基金管理人按本合同的约定变更后的多种联系方式中的一种联系方式完成送达的，即视为送达；被送达方为基金托管人的，以本合同当事人信息页约定的基金托管人的多种联系方式中的一种联系方式或基金托管人按本合同的约定变更后的多种联系方式中的一种联系方式完成送达的，即视为送达；被送达方为基金份额持有人的，送达至其在募集机构预留的多种联系方式中的一种联系方式或其按照本合同约定变更后的多种联系方式中的一种联系方式完成送达的，即视为送达。</w:t>
      </w:r>
    </w:p>
    <w:p w14:paraId="6563768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任何一方在任何时间改变接收通知所用的地址、电子邮箱、传真号码或手机号码都应立即将该变更书面通知另一方；如果该变更通知未能送达，递交给上述收件人或地址的通知或联络应视为被正常发送和接收。</w:t>
      </w:r>
    </w:p>
    <w:p w14:paraId="60E45CF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所有该等通知和其他联络均应视为已被收到：（1）当面递交的，于递交时收到；（2）邮寄或快递的，则寄出五个工作日视为收到；（3）传真递交的，传真机报告确认时视为收到；（4）电子邮件发送的，收件方服务器接收视为收到；（5）短信发送的，发送方发送成功视为收到。</w:t>
      </w:r>
    </w:p>
    <w:p w14:paraId="34BE47F6">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83" w:name="_Toc459392430"/>
      <w:r>
        <w:rPr>
          <w:rFonts w:hint="eastAsia" w:asciiTheme="minorEastAsia" w:hAnsiTheme="minorEastAsia" w:eastAsiaTheme="minorEastAsia"/>
          <w:color w:val="auto"/>
          <w:sz w:val="28"/>
          <w:szCs w:val="28"/>
          <w:highlight w:val="none"/>
        </w:rPr>
        <w:t>二十八、法律适用和争议的处理</w:t>
      </w:r>
      <w:bookmarkEnd w:id="83"/>
    </w:p>
    <w:p w14:paraId="46981FB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有关本合同的签署和履行而产生的任何争议及对本合同项下条款的解释，均适用中华人民共和国法律法规（为本合同之目的，在此不包括香港、澳门特别行政区及台湾地区法律法规），并按其解释。</w:t>
      </w:r>
    </w:p>
    <w:p w14:paraId="605E2AB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各方当事人同意，因本合同而产生的或与本合同有关的一切争议，合同当事人应尽量通过协商、调解途径解决。合同当事人不愿通过协商、调解解决或者协商、调解未能解决的，应提交基金托管人住所地有权受理法院通过诉讼方式解决。</w:t>
      </w:r>
    </w:p>
    <w:p w14:paraId="2FBA920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争议处理期间，合同当事人应恪守各自的职责，继续忠实、勤勉、尽责地履行本合同规定的义务，维护基金份额持有人的合法权益。</w:t>
      </w:r>
    </w:p>
    <w:p w14:paraId="45BBD9EF">
      <w:pPr>
        <w:pStyle w:val="3"/>
        <w:keepNext w:val="0"/>
        <w:keepLines w:val="0"/>
        <w:adjustRightInd w:val="0"/>
        <w:snapToGrid w:val="0"/>
        <w:spacing w:before="312" w:beforeLines="100" w:after="312" w:afterLines="100" w:line="360" w:lineRule="auto"/>
        <w:jc w:val="center"/>
        <w:rPr>
          <w:rFonts w:asciiTheme="minorEastAsia" w:hAnsiTheme="minorEastAsia" w:eastAsiaTheme="minorEastAsia"/>
          <w:color w:val="auto"/>
          <w:sz w:val="28"/>
          <w:szCs w:val="28"/>
          <w:highlight w:val="none"/>
        </w:rPr>
      </w:pPr>
      <w:bookmarkStart w:id="84" w:name="_Toc194741925"/>
      <w:bookmarkStart w:id="85" w:name="_Toc459392431"/>
      <w:r>
        <w:rPr>
          <w:rFonts w:hint="eastAsia" w:asciiTheme="minorEastAsia" w:hAnsiTheme="minorEastAsia" w:eastAsiaTheme="minorEastAsia"/>
          <w:color w:val="auto"/>
          <w:sz w:val="28"/>
          <w:szCs w:val="28"/>
          <w:highlight w:val="none"/>
        </w:rPr>
        <w:t>二十九、其他事项</w:t>
      </w:r>
      <w:bookmarkEnd w:id="84"/>
      <w:bookmarkEnd w:id="85"/>
    </w:p>
    <w:p w14:paraId="2A13A94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本合同如有未尽事宜，由合同当事人各方按有关法律法规和规定协商解决。</w:t>
      </w:r>
    </w:p>
    <w:p w14:paraId="235C326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（以下无正文）</w:t>
      </w:r>
      <w:r>
        <w:rPr>
          <w:rFonts w:asciiTheme="minorEastAsia" w:hAnsiTheme="minorEastAsia" w:eastAsiaTheme="minorEastAsia"/>
          <w:color w:val="auto"/>
          <w:szCs w:val="21"/>
          <w:highlight w:val="none"/>
        </w:rPr>
        <w:br w:type="page"/>
      </w:r>
      <w:r>
        <w:rPr>
          <w:rFonts w:hint="eastAsia" w:asciiTheme="minorEastAsia" w:hAnsiTheme="minorEastAsia" w:eastAsiaTheme="minorEastAsia"/>
          <w:color w:val="auto"/>
          <w:szCs w:val="21"/>
          <w:highlight w:val="none"/>
        </w:rPr>
        <w:t>（请基金份额持有人务必确保填写的资料正确有效，如因填写错误导致的任何损失，基金管理人和基金托管人不承担任何责任）</w:t>
      </w:r>
    </w:p>
    <w:p w14:paraId="0E8F452C">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基金投资者请填写：</w:t>
      </w:r>
    </w:p>
    <w:p w14:paraId="16B1802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（一）基金投资者</w:t>
      </w:r>
    </w:p>
    <w:p w14:paraId="19945DF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1、自然人</w:t>
      </w:r>
    </w:p>
    <w:p w14:paraId="4FE1FDF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姓名：                      </w:t>
      </w:r>
    </w:p>
    <w:p w14:paraId="30BCCBA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证件名称：□身份证、□军官证、□护照、□其他</w:t>
      </w:r>
      <w:r>
        <w:rPr>
          <w:rFonts w:hint="eastAsia" w:asciiTheme="minorEastAsia" w:hAnsiTheme="minorEastAsia" w:eastAsiaTheme="minorEastAsia"/>
          <w:color w:val="auto"/>
          <w:szCs w:val="21"/>
          <w:highlight w:val="none"/>
          <w:u w:val="single"/>
        </w:rPr>
        <w:t xml:space="preserve">        </w:t>
      </w:r>
    </w:p>
    <w:p w14:paraId="0B713F7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证件号码：</w:t>
      </w:r>
      <w:r>
        <w:rPr>
          <w:rFonts w:hint="eastAsia" w:asciiTheme="minorEastAsia" w:hAnsiTheme="minorEastAsia" w:eastAsiaTheme="minorEastAsia"/>
          <w:color w:val="auto"/>
          <w:sz w:val="36"/>
          <w:szCs w:val="36"/>
          <w:highlight w:val="none"/>
        </w:rPr>
        <w:t>□□□□□□□□□□□□□□□□□□</w:t>
      </w:r>
    </w:p>
    <w:p w14:paraId="73DAE3E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2、法人或其他组织</w:t>
      </w:r>
    </w:p>
    <w:p w14:paraId="6ECE402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名称：</w:t>
      </w:r>
    </w:p>
    <w:p w14:paraId="5A0A4C5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营业执照号码/统一社会信用代码：</w:t>
      </w:r>
    </w:p>
    <w:p w14:paraId="02E5982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组织机构代码证号码：</w:t>
      </w:r>
    </w:p>
    <w:p w14:paraId="2B6F995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法定代表人或负责人：</w:t>
      </w:r>
    </w:p>
    <w:p w14:paraId="7F20FE6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（二）基金投资者账户</w:t>
      </w:r>
    </w:p>
    <w:p w14:paraId="01287F0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投资者认购、申购基金的划出账户与赎回基金的划入账户，必须为以基金投资者名义开立的同一个账户。特殊情况导致认购、申购和赎回基金的账户名称不一致时，基金份额持有人应出具符合相关法律法规规定的书面说明并提供相关证明。账户信息如下：</w:t>
      </w:r>
    </w:p>
    <w:p w14:paraId="014F21D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账户名称： </w:t>
      </w:r>
    </w:p>
    <w:p w14:paraId="1E5F7B7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账号：</w:t>
      </w:r>
    </w:p>
    <w:p w14:paraId="11D4583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开户银行名称：</w:t>
      </w:r>
    </w:p>
    <w:p w14:paraId="627B008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（三）认购/初始申购金额</w:t>
      </w:r>
    </w:p>
    <w:p w14:paraId="5CAF89E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签署本合同之基金投资者，承诺认购/初始申购如下金额（不含额外缴纳认</w:t>
      </w:r>
      <w:r>
        <w:rPr>
          <w:rFonts w:hint="eastAsia" w:asciiTheme="minorEastAsia" w:hAnsiTheme="minorEastAsia" w:eastAsiaTheme="minorEastAsia"/>
          <w:color w:val="auto"/>
          <w:kern w:val="0"/>
          <w:szCs w:val="21"/>
          <w:highlight w:val="none"/>
        </w:rPr>
        <w:t>/申</w:t>
      </w:r>
      <w:r>
        <w:rPr>
          <w:rFonts w:hint="eastAsia" w:asciiTheme="minorEastAsia" w:hAnsiTheme="minorEastAsia" w:eastAsiaTheme="minorEastAsia"/>
          <w:color w:val="auto"/>
          <w:szCs w:val="21"/>
          <w:highlight w:val="none"/>
        </w:rPr>
        <w:t>购费）：</w:t>
      </w:r>
    </w:p>
    <w:p w14:paraId="6F9FAF61">
      <w:pPr>
        <w:spacing w:line="360" w:lineRule="auto"/>
        <w:ind w:firstLine="422" w:firstLineChars="200"/>
        <w:rPr>
          <w:rFonts w:ascii="宋体" w:hAnsi="宋体"/>
          <w:b/>
          <w:bCs/>
          <w:color w:val="auto"/>
          <w:szCs w:val="21"/>
          <w:highlight w:val="none"/>
        </w:rPr>
      </w:pPr>
      <w:r>
        <w:rPr>
          <w:rFonts w:hint="eastAsia" w:ascii="宋体" w:hAnsi="宋体"/>
          <w:b/>
          <w:bCs/>
          <w:color w:val="auto"/>
          <w:szCs w:val="21"/>
          <w:highlight w:val="none"/>
        </w:rPr>
        <w:t>□ A类份额</w:t>
      </w:r>
    </w:p>
    <w:tbl>
      <w:tblPr>
        <w:tblStyle w:val="8"/>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5393"/>
      </w:tblGrid>
      <w:tr w14:paraId="0866B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9" w:type="dxa"/>
          </w:tcPr>
          <w:p w14:paraId="12B4FD71">
            <w:pPr>
              <w:spacing w:line="360" w:lineRule="auto"/>
              <w:rPr>
                <w:rFonts w:ascii="宋体" w:hAnsi="宋体"/>
                <w:color w:val="auto"/>
                <w:szCs w:val="21"/>
                <w:highlight w:val="none"/>
              </w:rPr>
            </w:pPr>
            <w:r>
              <w:rPr>
                <w:rFonts w:hint="eastAsia" w:ascii="宋体" w:hAnsi="宋体"/>
                <w:color w:val="auto"/>
                <w:szCs w:val="21"/>
                <w:highlight w:val="none"/>
              </w:rPr>
              <w:t>小写（¥）：</w:t>
            </w:r>
          </w:p>
        </w:tc>
        <w:tc>
          <w:tcPr>
            <w:tcW w:w="5393" w:type="dxa"/>
          </w:tcPr>
          <w:p w14:paraId="32BC8328">
            <w:pPr>
              <w:spacing w:line="360" w:lineRule="auto"/>
              <w:rPr>
                <w:rFonts w:ascii="宋体" w:hAnsi="宋体"/>
                <w:color w:val="auto"/>
                <w:szCs w:val="21"/>
                <w:highlight w:val="none"/>
              </w:rPr>
            </w:pPr>
            <w:r>
              <w:rPr>
                <w:rFonts w:hint="eastAsia" w:ascii="宋体" w:hAnsi="宋体"/>
                <w:color w:val="auto"/>
                <w:szCs w:val="21"/>
                <w:highlight w:val="none"/>
              </w:rPr>
              <w:t>大写（人民币）：</w:t>
            </w:r>
          </w:p>
        </w:tc>
      </w:tr>
    </w:tbl>
    <w:p w14:paraId="11701786">
      <w:pPr>
        <w:spacing w:line="360" w:lineRule="auto"/>
        <w:ind w:firstLine="422" w:firstLineChars="200"/>
        <w:rPr>
          <w:rFonts w:ascii="宋体" w:hAnsi="宋体"/>
          <w:b/>
          <w:bCs/>
          <w:color w:val="auto"/>
          <w:szCs w:val="21"/>
          <w:highlight w:val="none"/>
        </w:rPr>
      </w:pPr>
      <w:r>
        <w:rPr>
          <w:rFonts w:hint="eastAsia" w:ascii="宋体" w:hAnsi="宋体"/>
          <w:b/>
          <w:bCs/>
          <w:color w:val="auto"/>
          <w:szCs w:val="21"/>
          <w:highlight w:val="none"/>
        </w:rPr>
        <w:t>□ B类份额</w:t>
      </w:r>
    </w:p>
    <w:tbl>
      <w:tblPr>
        <w:tblStyle w:val="8"/>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5393"/>
      </w:tblGrid>
      <w:tr w14:paraId="1017C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9" w:type="dxa"/>
          </w:tcPr>
          <w:p w14:paraId="03290744">
            <w:pPr>
              <w:spacing w:line="360" w:lineRule="auto"/>
              <w:rPr>
                <w:rFonts w:ascii="宋体" w:hAnsi="宋体"/>
                <w:color w:val="auto"/>
                <w:szCs w:val="21"/>
                <w:highlight w:val="none"/>
              </w:rPr>
            </w:pPr>
            <w:r>
              <w:rPr>
                <w:rFonts w:hint="eastAsia" w:ascii="宋体" w:hAnsi="宋体"/>
                <w:color w:val="auto"/>
                <w:szCs w:val="21"/>
                <w:highlight w:val="none"/>
              </w:rPr>
              <w:t>小写（¥）：</w:t>
            </w:r>
          </w:p>
        </w:tc>
        <w:tc>
          <w:tcPr>
            <w:tcW w:w="5393" w:type="dxa"/>
          </w:tcPr>
          <w:p w14:paraId="2B506446">
            <w:pPr>
              <w:spacing w:line="360" w:lineRule="auto"/>
              <w:rPr>
                <w:rFonts w:ascii="宋体" w:hAnsi="宋体"/>
                <w:color w:val="auto"/>
                <w:szCs w:val="21"/>
                <w:highlight w:val="none"/>
              </w:rPr>
            </w:pPr>
            <w:r>
              <w:rPr>
                <w:rFonts w:hint="eastAsia" w:ascii="宋体" w:hAnsi="宋体"/>
                <w:color w:val="auto"/>
                <w:szCs w:val="21"/>
                <w:highlight w:val="none"/>
              </w:rPr>
              <w:t>大写（人民币）：</w:t>
            </w:r>
          </w:p>
        </w:tc>
      </w:tr>
    </w:tbl>
    <w:p w14:paraId="7467CF9B">
      <w:pPr>
        <w:spacing w:line="360" w:lineRule="auto"/>
        <w:ind w:firstLine="422" w:firstLineChars="200"/>
        <w:rPr>
          <w:rFonts w:ascii="宋体" w:hAnsi="宋体"/>
          <w:b/>
          <w:bCs/>
          <w:color w:val="auto"/>
          <w:szCs w:val="21"/>
          <w:highlight w:val="none"/>
        </w:rPr>
      </w:pPr>
      <w:r>
        <w:rPr>
          <w:rFonts w:hint="eastAsia" w:ascii="宋体" w:hAnsi="宋体"/>
          <w:b/>
          <w:bCs/>
          <w:color w:val="auto"/>
          <w:szCs w:val="21"/>
          <w:highlight w:val="none"/>
        </w:rPr>
        <w:t>□ C类份额</w:t>
      </w:r>
    </w:p>
    <w:tbl>
      <w:tblPr>
        <w:tblStyle w:val="8"/>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5393"/>
      </w:tblGrid>
      <w:tr w14:paraId="13F99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9" w:type="dxa"/>
          </w:tcPr>
          <w:p w14:paraId="638D277F">
            <w:pPr>
              <w:spacing w:line="360" w:lineRule="auto"/>
              <w:rPr>
                <w:rFonts w:ascii="宋体" w:hAnsi="宋体"/>
                <w:color w:val="auto"/>
                <w:szCs w:val="21"/>
                <w:highlight w:val="none"/>
              </w:rPr>
            </w:pPr>
            <w:r>
              <w:rPr>
                <w:rFonts w:hint="eastAsia" w:ascii="宋体" w:hAnsi="宋体"/>
                <w:color w:val="auto"/>
                <w:szCs w:val="21"/>
                <w:highlight w:val="none"/>
              </w:rPr>
              <w:t>小写（¥）：</w:t>
            </w:r>
          </w:p>
        </w:tc>
        <w:tc>
          <w:tcPr>
            <w:tcW w:w="5393" w:type="dxa"/>
          </w:tcPr>
          <w:p w14:paraId="30DDD79E">
            <w:pPr>
              <w:spacing w:line="360" w:lineRule="auto"/>
              <w:rPr>
                <w:rFonts w:ascii="宋体" w:hAnsi="宋体"/>
                <w:color w:val="auto"/>
                <w:szCs w:val="21"/>
                <w:highlight w:val="none"/>
              </w:rPr>
            </w:pPr>
            <w:r>
              <w:rPr>
                <w:rFonts w:hint="eastAsia" w:ascii="宋体" w:hAnsi="宋体"/>
                <w:color w:val="auto"/>
                <w:szCs w:val="21"/>
                <w:highlight w:val="none"/>
              </w:rPr>
              <w:t>大写（人民币）：</w:t>
            </w:r>
          </w:p>
        </w:tc>
      </w:tr>
    </w:tbl>
    <w:p w14:paraId="3525A08F">
      <w:pPr>
        <w:spacing w:line="360" w:lineRule="auto"/>
        <w:ind w:firstLine="422" w:firstLineChars="200"/>
        <w:rPr>
          <w:rFonts w:ascii="宋体" w:hAnsi="宋体"/>
          <w:b/>
          <w:bCs/>
          <w:color w:val="auto"/>
          <w:szCs w:val="21"/>
          <w:highlight w:val="none"/>
        </w:rPr>
      </w:pPr>
      <w:r>
        <w:rPr>
          <w:rFonts w:hint="eastAsia" w:ascii="宋体" w:hAnsi="宋体"/>
          <w:b/>
          <w:bCs/>
          <w:color w:val="auto"/>
          <w:szCs w:val="21"/>
          <w:highlight w:val="none"/>
        </w:rPr>
        <w:t>□ D类份额</w:t>
      </w:r>
    </w:p>
    <w:tbl>
      <w:tblPr>
        <w:tblStyle w:val="8"/>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5393"/>
      </w:tblGrid>
      <w:tr w14:paraId="07257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9" w:type="dxa"/>
          </w:tcPr>
          <w:p w14:paraId="03A6DA95">
            <w:pPr>
              <w:spacing w:line="360" w:lineRule="auto"/>
              <w:rPr>
                <w:rFonts w:ascii="宋体" w:hAnsi="宋体"/>
                <w:color w:val="auto"/>
                <w:szCs w:val="21"/>
                <w:highlight w:val="none"/>
              </w:rPr>
            </w:pPr>
            <w:r>
              <w:rPr>
                <w:rFonts w:hint="eastAsia" w:ascii="宋体" w:hAnsi="宋体"/>
                <w:color w:val="auto"/>
                <w:szCs w:val="21"/>
                <w:highlight w:val="none"/>
              </w:rPr>
              <w:t>小写（¥）：</w:t>
            </w:r>
          </w:p>
        </w:tc>
        <w:tc>
          <w:tcPr>
            <w:tcW w:w="5393" w:type="dxa"/>
          </w:tcPr>
          <w:p w14:paraId="75A603EE">
            <w:pPr>
              <w:spacing w:line="360" w:lineRule="auto"/>
              <w:rPr>
                <w:rFonts w:ascii="宋体" w:hAnsi="宋体"/>
                <w:color w:val="auto"/>
                <w:szCs w:val="21"/>
                <w:highlight w:val="none"/>
              </w:rPr>
            </w:pPr>
            <w:r>
              <w:rPr>
                <w:rFonts w:hint="eastAsia" w:ascii="宋体" w:hAnsi="宋体"/>
                <w:color w:val="auto"/>
                <w:szCs w:val="21"/>
                <w:highlight w:val="none"/>
              </w:rPr>
              <w:t>大写（人民币）：</w:t>
            </w:r>
          </w:p>
        </w:tc>
      </w:tr>
    </w:tbl>
    <w:p w14:paraId="13A6C23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58DF7FE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如涉及额外缴纳认</w:t>
      </w:r>
      <w:r>
        <w:rPr>
          <w:rFonts w:hint="eastAsia" w:asciiTheme="minorEastAsia" w:hAnsiTheme="minorEastAsia" w:eastAsiaTheme="minorEastAsia"/>
          <w:color w:val="auto"/>
          <w:kern w:val="0"/>
          <w:szCs w:val="21"/>
          <w:highlight w:val="none"/>
        </w:rPr>
        <w:t>/申</w:t>
      </w:r>
      <w:r>
        <w:rPr>
          <w:rFonts w:hint="eastAsia" w:asciiTheme="minorEastAsia" w:hAnsiTheme="minorEastAsia" w:eastAsiaTheme="minorEastAsia"/>
          <w:color w:val="auto"/>
          <w:szCs w:val="21"/>
          <w:highlight w:val="none"/>
        </w:rPr>
        <w:t>购费，则额外缴纳的认</w:t>
      </w:r>
      <w:r>
        <w:rPr>
          <w:rFonts w:hint="eastAsia" w:asciiTheme="minorEastAsia" w:hAnsiTheme="minorEastAsia" w:eastAsiaTheme="minorEastAsia"/>
          <w:color w:val="auto"/>
          <w:kern w:val="0"/>
          <w:szCs w:val="21"/>
          <w:highlight w:val="none"/>
        </w:rPr>
        <w:t>/申</w:t>
      </w:r>
      <w:r>
        <w:rPr>
          <w:rFonts w:hint="eastAsia" w:asciiTheme="minorEastAsia" w:hAnsiTheme="minorEastAsia" w:eastAsiaTheme="minorEastAsia"/>
          <w:color w:val="auto"/>
          <w:szCs w:val="21"/>
          <w:highlight w:val="none"/>
        </w:rPr>
        <w:t>购费为：</w:t>
      </w:r>
    </w:p>
    <w:p w14:paraId="7C53FF57">
      <w:pPr>
        <w:spacing w:line="360" w:lineRule="auto"/>
        <w:ind w:firstLine="422" w:firstLineChars="200"/>
        <w:rPr>
          <w:rFonts w:ascii="宋体" w:hAnsi="宋体"/>
          <w:b/>
          <w:bCs/>
          <w:color w:val="auto"/>
          <w:szCs w:val="21"/>
          <w:highlight w:val="none"/>
        </w:rPr>
      </w:pPr>
      <w:r>
        <w:rPr>
          <w:rFonts w:hint="eastAsia" w:ascii="宋体" w:hAnsi="宋体"/>
          <w:b/>
          <w:bCs/>
          <w:color w:val="auto"/>
          <w:szCs w:val="21"/>
          <w:highlight w:val="none"/>
        </w:rPr>
        <w:t>□ A类份额</w:t>
      </w:r>
    </w:p>
    <w:tbl>
      <w:tblPr>
        <w:tblStyle w:val="8"/>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5393"/>
      </w:tblGrid>
      <w:tr w14:paraId="7245C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9" w:type="dxa"/>
          </w:tcPr>
          <w:p w14:paraId="79B04991">
            <w:pPr>
              <w:spacing w:line="360" w:lineRule="auto"/>
              <w:rPr>
                <w:rFonts w:ascii="宋体" w:hAnsi="宋体"/>
                <w:color w:val="auto"/>
                <w:szCs w:val="21"/>
                <w:highlight w:val="none"/>
              </w:rPr>
            </w:pPr>
            <w:r>
              <w:rPr>
                <w:rFonts w:hint="eastAsia" w:ascii="宋体" w:hAnsi="宋体"/>
                <w:color w:val="auto"/>
                <w:szCs w:val="21"/>
                <w:highlight w:val="none"/>
              </w:rPr>
              <w:t>小写（¥）：</w:t>
            </w:r>
          </w:p>
        </w:tc>
        <w:tc>
          <w:tcPr>
            <w:tcW w:w="5393" w:type="dxa"/>
          </w:tcPr>
          <w:p w14:paraId="067D352F">
            <w:pPr>
              <w:spacing w:line="360" w:lineRule="auto"/>
              <w:rPr>
                <w:rFonts w:ascii="宋体" w:hAnsi="宋体"/>
                <w:color w:val="auto"/>
                <w:szCs w:val="21"/>
                <w:highlight w:val="none"/>
              </w:rPr>
            </w:pPr>
            <w:r>
              <w:rPr>
                <w:rFonts w:hint="eastAsia" w:ascii="宋体" w:hAnsi="宋体"/>
                <w:color w:val="auto"/>
                <w:szCs w:val="21"/>
                <w:highlight w:val="none"/>
              </w:rPr>
              <w:t>大写（人民币）：</w:t>
            </w:r>
          </w:p>
        </w:tc>
      </w:tr>
    </w:tbl>
    <w:p w14:paraId="4E394895">
      <w:pPr>
        <w:spacing w:line="360" w:lineRule="auto"/>
        <w:ind w:firstLine="422" w:firstLineChars="200"/>
        <w:rPr>
          <w:rFonts w:ascii="宋体" w:hAnsi="宋体"/>
          <w:b/>
          <w:bCs/>
          <w:color w:val="auto"/>
          <w:szCs w:val="21"/>
          <w:highlight w:val="none"/>
        </w:rPr>
      </w:pPr>
      <w:r>
        <w:rPr>
          <w:rFonts w:hint="eastAsia" w:ascii="宋体" w:hAnsi="宋体"/>
          <w:b/>
          <w:bCs/>
          <w:color w:val="auto"/>
          <w:szCs w:val="21"/>
          <w:highlight w:val="none"/>
        </w:rPr>
        <w:t>□ B类份额</w:t>
      </w:r>
    </w:p>
    <w:tbl>
      <w:tblPr>
        <w:tblStyle w:val="8"/>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5393"/>
      </w:tblGrid>
      <w:tr w14:paraId="68881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9" w:type="dxa"/>
          </w:tcPr>
          <w:p w14:paraId="7D92F837">
            <w:pPr>
              <w:spacing w:line="360" w:lineRule="auto"/>
              <w:rPr>
                <w:rFonts w:ascii="宋体" w:hAnsi="宋体"/>
                <w:color w:val="auto"/>
                <w:szCs w:val="21"/>
                <w:highlight w:val="none"/>
              </w:rPr>
            </w:pPr>
            <w:r>
              <w:rPr>
                <w:rFonts w:hint="eastAsia" w:ascii="宋体" w:hAnsi="宋体"/>
                <w:color w:val="auto"/>
                <w:szCs w:val="21"/>
                <w:highlight w:val="none"/>
              </w:rPr>
              <w:t>小写（¥）：</w:t>
            </w:r>
          </w:p>
        </w:tc>
        <w:tc>
          <w:tcPr>
            <w:tcW w:w="5393" w:type="dxa"/>
          </w:tcPr>
          <w:p w14:paraId="3CD40BC1">
            <w:pPr>
              <w:spacing w:line="360" w:lineRule="auto"/>
              <w:rPr>
                <w:rFonts w:ascii="宋体" w:hAnsi="宋体"/>
                <w:color w:val="auto"/>
                <w:szCs w:val="21"/>
                <w:highlight w:val="none"/>
              </w:rPr>
            </w:pPr>
            <w:r>
              <w:rPr>
                <w:rFonts w:hint="eastAsia" w:ascii="宋体" w:hAnsi="宋体"/>
                <w:color w:val="auto"/>
                <w:szCs w:val="21"/>
                <w:highlight w:val="none"/>
              </w:rPr>
              <w:t>大写（人民币）：</w:t>
            </w:r>
          </w:p>
        </w:tc>
      </w:tr>
    </w:tbl>
    <w:p w14:paraId="0B7B9BF1">
      <w:pPr>
        <w:spacing w:line="360" w:lineRule="auto"/>
        <w:ind w:firstLine="422" w:firstLineChars="200"/>
        <w:rPr>
          <w:rFonts w:ascii="宋体" w:hAnsi="宋体"/>
          <w:b/>
          <w:bCs/>
          <w:color w:val="auto"/>
          <w:szCs w:val="21"/>
          <w:highlight w:val="none"/>
        </w:rPr>
      </w:pPr>
      <w:r>
        <w:rPr>
          <w:rFonts w:hint="eastAsia" w:ascii="宋体" w:hAnsi="宋体"/>
          <w:b/>
          <w:bCs/>
          <w:color w:val="auto"/>
          <w:szCs w:val="21"/>
          <w:highlight w:val="none"/>
        </w:rPr>
        <w:t>□ C类份额</w:t>
      </w:r>
    </w:p>
    <w:tbl>
      <w:tblPr>
        <w:tblStyle w:val="8"/>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5393"/>
      </w:tblGrid>
      <w:tr w14:paraId="2C81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9" w:type="dxa"/>
          </w:tcPr>
          <w:p w14:paraId="5FEF1148">
            <w:pPr>
              <w:spacing w:line="360" w:lineRule="auto"/>
              <w:rPr>
                <w:rFonts w:ascii="宋体" w:hAnsi="宋体"/>
                <w:color w:val="auto"/>
                <w:szCs w:val="21"/>
                <w:highlight w:val="none"/>
              </w:rPr>
            </w:pPr>
            <w:r>
              <w:rPr>
                <w:rFonts w:hint="eastAsia" w:ascii="宋体" w:hAnsi="宋体"/>
                <w:color w:val="auto"/>
                <w:szCs w:val="21"/>
                <w:highlight w:val="none"/>
              </w:rPr>
              <w:t>小写（¥）：</w:t>
            </w:r>
          </w:p>
        </w:tc>
        <w:tc>
          <w:tcPr>
            <w:tcW w:w="5393" w:type="dxa"/>
          </w:tcPr>
          <w:p w14:paraId="5BCE40DE">
            <w:pPr>
              <w:spacing w:line="360" w:lineRule="auto"/>
              <w:rPr>
                <w:rFonts w:ascii="宋体" w:hAnsi="宋体"/>
                <w:color w:val="auto"/>
                <w:szCs w:val="21"/>
                <w:highlight w:val="none"/>
              </w:rPr>
            </w:pPr>
            <w:r>
              <w:rPr>
                <w:rFonts w:hint="eastAsia" w:ascii="宋体" w:hAnsi="宋体"/>
                <w:color w:val="auto"/>
                <w:szCs w:val="21"/>
                <w:highlight w:val="none"/>
              </w:rPr>
              <w:t>大写（人民币）：</w:t>
            </w:r>
          </w:p>
        </w:tc>
      </w:tr>
    </w:tbl>
    <w:p w14:paraId="7750856F">
      <w:pPr>
        <w:spacing w:line="360" w:lineRule="auto"/>
        <w:ind w:firstLine="422" w:firstLineChars="200"/>
        <w:rPr>
          <w:rFonts w:ascii="宋体" w:hAnsi="宋体"/>
          <w:b/>
          <w:bCs/>
          <w:color w:val="auto"/>
          <w:szCs w:val="21"/>
          <w:highlight w:val="none"/>
        </w:rPr>
      </w:pPr>
      <w:r>
        <w:rPr>
          <w:rFonts w:hint="eastAsia" w:ascii="宋体" w:hAnsi="宋体"/>
          <w:b/>
          <w:bCs/>
          <w:color w:val="auto"/>
          <w:szCs w:val="21"/>
          <w:highlight w:val="none"/>
        </w:rPr>
        <w:t>□ D类份额</w:t>
      </w:r>
    </w:p>
    <w:tbl>
      <w:tblPr>
        <w:tblStyle w:val="8"/>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5393"/>
      </w:tblGrid>
      <w:tr w14:paraId="5C478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9" w:type="dxa"/>
          </w:tcPr>
          <w:p w14:paraId="5999752F">
            <w:pPr>
              <w:spacing w:line="360" w:lineRule="auto"/>
              <w:rPr>
                <w:rFonts w:ascii="宋体" w:hAnsi="宋体"/>
                <w:color w:val="auto"/>
                <w:szCs w:val="21"/>
                <w:highlight w:val="none"/>
              </w:rPr>
            </w:pPr>
            <w:r>
              <w:rPr>
                <w:rFonts w:hint="eastAsia" w:ascii="宋体" w:hAnsi="宋体"/>
                <w:color w:val="auto"/>
                <w:szCs w:val="21"/>
                <w:highlight w:val="none"/>
              </w:rPr>
              <w:t>小写（¥）：</w:t>
            </w:r>
          </w:p>
        </w:tc>
        <w:tc>
          <w:tcPr>
            <w:tcW w:w="5393" w:type="dxa"/>
          </w:tcPr>
          <w:p w14:paraId="5E379425">
            <w:pPr>
              <w:spacing w:line="360" w:lineRule="auto"/>
              <w:rPr>
                <w:rFonts w:ascii="宋体" w:hAnsi="宋体"/>
                <w:color w:val="auto"/>
                <w:szCs w:val="21"/>
                <w:highlight w:val="none"/>
              </w:rPr>
            </w:pPr>
            <w:r>
              <w:rPr>
                <w:rFonts w:hint="eastAsia" w:ascii="宋体" w:hAnsi="宋体"/>
                <w:color w:val="auto"/>
                <w:szCs w:val="21"/>
                <w:highlight w:val="none"/>
              </w:rPr>
              <w:t>大写（人民币）：</w:t>
            </w:r>
          </w:p>
        </w:tc>
      </w:tr>
    </w:tbl>
    <w:p w14:paraId="644BCC9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6093E7A7">
      <w:pPr>
        <w:widowControl/>
        <w:jc w:val="left"/>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br w:type="page"/>
      </w:r>
    </w:p>
    <w:p w14:paraId="7BC6733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（本页无正文，为</w:t>
      </w:r>
      <w:r>
        <w:rPr>
          <w:rFonts w:hint="eastAsia" w:asciiTheme="minorEastAsia" w:hAnsiTheme="minorEastAsia" w:eastAsiaTheme="minorEastAsia"/>
          <w:color w:val="auto"/>
          <w:szCs w:val="21"/>
          <w:highlight w:val="none"/>
          <w:lang w:eastAsia="zh-CN"/>
        </w:rPr>
        <w:t>石云中证1000资产进取一号私募证券投资基金</w:t>
      </w:r>
      <w:r>
        <w:rPr>
          <w:rFonts w:hint="eastAsia" w:asciiTheme="minorEastAsia" w:hAnsiTheme="minorEastAsia" w:eastAsiaTheme="minorEastAsia"/>
          <w:color w:val="auto"/>
          <w:szCs w:val="21"/>
          <w:highlight w:val="none"/>
        </w:rPr>
        <w:t>基金合同签署页。）</w:t>
      </w:r>
    </w:p>
    <w:p w14:paraId="54B22AD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001F9112">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 xml:space="preserve">基金投资者：                       </w:t>
      </w:r>
    </w:p>
    <w:p w14:paraId="7CB3645C">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6DD7E44E">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 xml:space="preserve">自然人（签字）：              或           法人或其他组织（盖章）：                                  </w:t>
      </w:r>
    </w:p>
    <w:p w14:paraId="6D8F5039">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 xml:space="preserve"> </w:t>
      </w:r>
    </w:p>
    <w:p w14:paraId="0FD256D0">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 xml:space="preserve">                                          法定代表人或授权代表（签字）： </w:t>
      </w:r>
    </w:p>
    <w:p w14:paraId="2946939D">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20A650F4">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 xml:space="preserve">签署日期：    年   </w:t>
      </w:r>
      <w:r>
        <w:rPr>
          <w:rFonts w:asciiTheme="minorEastAsia" w:hAnsiTheme="minorEastAsia" w:eastAsiaTheme="minorEastAsia"/>
          <w:b/>
          <w:color w:val="auto"/>
          <w:szCs w:val="21"/>
          <w:highlight w:val="none"/>
        </w:rPr>
        <w:t xml:space="preserve"> </w:t>
      </w:r>
      <w:r>
        <w:rPr>
          <w:rFonts w:hint="eastAsia" w:asciiTheme="minorEastAsia" w:hAnsiTheme="minorEastAsia" w:eastAsiaTheme="minorEastAsia"/>
          <w:b/>
          <w:color w:val="auto"/>
          <w:szCs w:val="21"/>
          <w:highlight w:val="none"/>
        </w:rPr>
        <w:t xml:space="preserve">月  </w:t>
      </w:r>
      <w:r>
        <w:rPr>
          <w:rFonts w:asciiTheme="minorEastAsia" w:hAnsiTheme="minorEastAsia" w:eastAsiaTheme="minorEastAsia"/>
          <w:b/>
          <w:color w:val="auto"/>
          <w:szCs w:val="21"/>
          <w:highlight w:val="none"/>
        </w:rPr>
        <w:t xml:space="preserve"> </w:t>
      </w:r>
      <w:r>
        <w:rPr>
          <w:rFonts w:hint="eastAsia" w:asciiTheme="minorEastAsia" w:hAnsiTheme="minorEastAsia" w:eastAsiaTheme="minorEastAsia"/>
          <w:b/>
          <w:color w:val="auto"/>
          <w:szCs w:val="21"/>
          <w:highlight w:val="none"/>
        </w:rPr>
        <w:t xml:space="preserve"> 日              签署日期：    年    月   </w:t>
      </w:r>
      <w:r>
        <w:rPr>
          <w:rFonts w:asciiTheme="minorEastAsia" w:hAnsiTheme="minorEastAsia" w:eastAsiaTheme="minorEastAsia"/>
          <w:b/>
          <w:color w:val="auto"/>
          <w:szCs w:val="21"/>
          <w:highlight w:val="none"/>
        </w:rPr>
        <w:t xml:space="preserve"> </w:t>
      </w:r>
      <w:r>
        <w:rPr>
          <w:rFonts w:hint="eastAsia" w:asciiTheme="minorEastAsia" w:hAnsiTheme="minorEastAsia" w:eastAsiaTheme="minorEastAsia"/>
          <w:b/>
          <w:color w:val="auto"/>
          <w:szCs w:val="21"/>
          <w:highlight w:val="none"/>
        </w:rPr>
        <w:t xml:space="preserve">日                              </w:t>
      </w:r>
    </w:p>
    <w:p w14:paraId="1B5AC0EB">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113423DC">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3D967CDD">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28199D9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10EAAF76">
      <w:pPr>
        <w:adjustRightInd w:val="0"/>
        <w:snapToGrid w:val="0"/>
        <w:spacing w:before="93" w:beforeLines="30" w:after="93" w:afterLines="30" w:line="360" w:lineRule="auto"/>
        <w:ind w:firstLine="422" w:firstLineChars="200"/>
        <w:rPr>
          <w:rFonts w:hint="eastAsia" w:asciiTheme="minorEastAsia" w:hAnsiTheme="minorEastAsia" w:eastAsiaTheme="minorEastAsia"/>
          <w:b/>
          <w:color w:val="auto"/>
          <w:szCs w:val="21"/>
          <w:highlight w:val="none"/>
          <w:lang w:eastAsia="zh-CN"/>
        </w:rPr>
      </w:pPr>
      <w:r>
        <w:rPr>
          <w:rFonts w:hint="eastAsia" w:asciiTheme="minorEastAsia" w:hAnsiTheme="minorEastAsia" w:eastAsiaTheme="minorEastAsia"/>
          <w:b/>
          <w:color w:val="auto"/>
          <w:szCs w:val="21"/>
          <w:highlight w:val="none"/>
        </w:rPr>
        <w:t>基金管理人：</w:t>
      </w:r>
      <w:r>
        <w:rPr>
          <w:rFonts w:hint="eastAsia" w:asciiTheme="minorEastAsia" w:hAnsiTheme="minorEastAsia" w:eastAsiaTheme="minorEastAsia"/>
          <w:b/>
          <w:color w:val="auto"/>
          <w:szCs w:val="21"/>
          <w:highlight w:val="none"/>
          <w:lang w:eastAsia="zh-CN"/>
        </w:rPr>
        <w:t>北京石云科技有限公司</w:t>
      </w:r>
    </w:p>
    <w:p w14:paraId="414E682F">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2FBB5D91">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 xml:space="preserve">法定代表人或授权代理人：         </w:t>
      </w:r>
    </w:p>
    <w:p w14:paraId="7A5BE05C">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721D7231">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 xml:space="preserve">签署日期：    年   </w:t>
      </w:r>
      <w:r>
        <w:rPr>
          <w:rFonts w:asciiTheme="minorEastAsia" w:hAnsiTheme="minorEastAsia" w:eastAsiaTheme="minorEastAsia"/>
          <w:b/>
          <w:color w:val="auto"/>
          <w:szCs w:val="21"/>
          <w:highlight w:val="none"/>
        </w:rPr>
        <w:t xml:space="preserve"> </w:t>
      </w:r>
      <w:r>
        <w:rPr>
          <w:rFonts w:hint="eastAsia" w:asciiTheme="minorEastAsia" w:hAnsiTheme="minorEastAsia" w:eastAsiaTheme="minorEastAsia"/>
          <w:b/>
          <w:color w:val="auto"/>
          <w:szCs w:val="21"/>
          <w:highlight w:val="none"/>
        </w:rPr>
        <w:t xml:space="preserve">月   </w:t>
      </w:r>
      <w:r>
        <w:rPr>
          <w:rFonts w:asciiTheme="minorEastAsia" w:hAnsiTheme="minorEastAsia" w:eastAsiaTheme="minorEastAsia"/>
          <w:b/>
          <w:color w:val="auto"/>
          <w:szCs w:val="21"/>
          <w:highlight w:val="none"/>
        </w:rPr>
        <w:t xml:space="preserve"> </w:t>
      </w:r>
      <w:r>
        <w:rPr>
          <w:rFonts w:hint="eastAsia" w:asciiTheme="minorEastAsia" w:hAnsiTheme="minorEastAsia" w:eastAsiaTheme="minorEastAsia"/>
          <w:b/>
          <w:color w:val="auto"/>
          <w:szCs w:val="21"/>
          <w:highlight w:val="none"/>
        </w:rPr>
        <w:t>日</w:t>
      </w:r>
    </w:p>
    <w:p w14:paraId="15AF4E02">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5623EC4A">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18C63DC1">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2FD159E5">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35B23D4E">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基金托管人：华福证券股份有限公司</w:t>
      </w:r>
    </w:p>
    <w:p w14:paraId="695E7241">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7B9D3376">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 xml:space="preserve">法定代表人或授权代理人：                  </w:t>
      </w:r>
    </w:p>
    <w:p w14:paraId="08F185B4">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0391666E">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 xml:space="preserve">签署日期：    年   </w:t>
      </w:r>
      <w:r>
        <w:rPr>
          <w:rFonts w:asciiTheme="minorEastAsia" w:hAnsiTheme="minorEastAsia" w:eastAsiaTheme="minorEastAsia"/>
          <w:b/>
          <w:color w:val="auto"/>
          <w:szCs w:val="21"/>
          <w:highlight w:val="none"/>
        </w:rPr>
        <w:t xml:space="preserve"> </w:t>
      </w:r>
      <w:r>
        <w:rPr>
          <w:rFonts w:hint="eastAsia" w:asciiTheme="minorEastAsia" w:hAnsiTheme="minorEastAsia" w:eastAsiaTheme="minorEastAsia"/>
          <w:b/>
          <w:color w:val="auto"/>
          <w:szCs w:val="21"/>
          <w:highlight w:val="none"/>
        </w:rPr>
        <w:t xml:space="preserve">月 </w:t>
      </w:r>
      <w:r>
        <w:rPr>
          <w:rFonts w:asciiTheme="minorEastAsia" w:hAnsiTheme="minorEastAsia" w:eastAsiaTheme="minorEastAsia"/>
          <w:b/>
          <w:color w:val="auto"/>
          <w:szCs w:val="21"/>
          <w:highlight w:val="none"/>
        </w:rPr>
        <w:t xml:space="preserve"> </w:t>
      </w:r>
      <w:r>
        <w:rPr>
          <w:rFonts w:hint="eastAsia" w:asciiTheme="minorEastAsia" w:hAnsiTheme="minorEastAsia" w:eastAsiaTheme="minorEastAsia"/>
          <w:b/>
          <w:color w:val="auto"/>
          <w:szCs w:val="21"/>
          <w:highlight w:val="none"/>
        </w:rPr>
        <w:t xml:space="preserve">  日</w:t>
      </w:r>
    </w:p>
    <w:p w14:paraId="5E3F94E6">
      <w:pPr>
        <w:adjustRightInd w:val="0"/>
        <w:snapToGrid w:val="0"/>
        <w:spacing w:before="93" w:beforeLines="30" w:after="93" w:afterLines="30" w:line="360" w:lineRule="auto"/>
        <w:rPr>
          <w:rFonts w:asciiTheme="minorEastAsia" w:hAnsiTheme="minorEastAsia"/>
          <w:color w:val="auto"/>
          <w:highlight w:val="none"/>
        </w:rPr>
      </w:pPr>
    </w:p>
    <w:p w14:paraId="5BB3412C"/>
    <w:sectPr>
      <w:headerReference r:id="rId7" w:type="first"/>
      <w:headerReference r:id="rId5" w:type="default"/>
      <w:headerReference r:id="rId6" w:type="even"/>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2516195"/>
    </w:sdtPr>
    <w:sdtContent>
      <w:p w14:paraId="69874793">
        <w:pPr>
          <w:pStyle w:val="5"/>
          <w:jc w:val="center"/>
        </w:pPr>
        <w:r>
          <w:fldChar w:fldCharType="begin"/>
        </w:r>
        <w:r>
          <w:instrText xml:space="preserve">PAGE   \* MERGEFORMAT</w:instrText>
        </w:r>
        <w:r>
          <w:fldChar w:fldCharType="separate"/>
        </w:r>
        <w:r>
          <w:rPr>
            <w:lang w:val="zh-CN"/>
          </w:rPr>
          <w:t>31</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2581D">
    <w:pPr>
      <w:pStyle w:val="6"/>
    </w:pPr>
    <w:r>
      <w:rPr>
        <w:rFonts w:hint="eastAsia"/>
      </w:rPr>
      <w:t>******私募证券投资基金基金合同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4FFEB">
    <w:pPr>
      <w:pStyle w:val="6"/>
    </w:pPr>
    <w:r>
      <w:rPr>
        <w:rFonts w:hint="eastAsia" w:asciiTheme="minorEastAsia" w:hAnsiTheme="minorEastAsia" w:eastAsiaTheme="minorEastAsia"/>
        <w:highlight w:val="none"/>
        <w:lang w:eastAsia="zh-CN"/>
      </w:rPr>
      <w:t>石云中证1000资产进取一号私募证券投资基金</w:t>
    </w:r>
    <w:r>
      <w:rPr>
        <w:rFonts w:hint="eastAsia" w:asciiTheme="minorEastAsia" w:hAnsiTheme="minorEastAsia" w:eastAsiaTheme="minorEastAsia"/>
      </w:rPr>
      <w:t>基金合同</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70BC2">
    <w:pPr>
      <w:pStyle w:val="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24056">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890DCA"/>
    <w:multiLevelType w:val="singleLevel"/>
    <w:tmpl w:val="86890DCA"/>
    <w:lvl w:ilvl="0" w:tentative="0">
      <w:start w:val="5"/>
      <w:numFmt w:val="decimal"/>
      <w:suff w:val="nothing"/>
      <w:lvlText w:val="%1、"/>
      <w:lvlJc w:val="left"/>
    </w:lvl>
  </w:abstractNum>
  <w:abstractNum w:abstractNumId="1">
    <w:nsid w:val="C78DE937"/>
    <w:multiLevelType w:val="singleLevel"/>
    <w:tmpl w:val="C78DE937"/>
    <w:lvl w:ilvl="0" w:tentative="0">
      <w:start w:val="12"/>
      <w:numFmt w:val="decimal"/>
      <w:suff w:val="nothing"/>
      <w:lvlText w:val="%1、"/>
      <w:lvlJc w:val="left"/>
    </w:lvl>
  </w:abstractNum>
  <w:abstractNum w:abstractNumId="2">
    <w:nsid w:val="07D26445"/>
    <w:multiLevelType w:val="singleLevel"/>
    <w:tmpl w:val="07D26445"/>
    <w:lvl w:ilvl="0" w:tentative="0">
      <w:start w:val="3"/>
      <w:numFmt w:val="decimal"/>
      <w:suff w:val="nothing"/>
      <w:lvlText w:val="%1、"/>
      <w:lvlJc w:val="left"/>
    </w:lvl>
  </w:abstractNum>
  <w:abstractNum w:abstractNumId="3">
    <w:nsid w:val="14750961"/>
    <w:multiLevelType w:val="multilevel"/>
    <w:tmpl w:val="14750961"/>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
    <w:nsid w:val="2FEB29B7"/>
    <w:multiLevelType w:val="singleLevel"/>
    <w:tmpl w:val="2FEB29B7"/>
    <w:lvl w:ilvl="0" w:tentative="0">
      <w:start w:val="2"/>
      <w:numFmt w:val="decimal"/>
      <w:suff w:val="nothing"/>
      <w:lvlText w:val="%1、"/>
      <w:lvlJc w:val="left"/>
    </w:lvl>
  </w:abstractNum>
  <w:abstractNum w:abstractNumId="5">
    <w:nsid w:val="48DF7908"/>
    <w:multiLevelType w:val="singleLevel"/>
    <w:tmpl w:val="48DF7908"/>
    <w:lvl w:ilvl="0" w:tentative="0">
      <w:start w:val="3"/>
      <w:numFmt w:val="decimal"/>
      <w:suff w:val="nothing"/>
      <w:lvlText w:val="%1、"/>
      <w:lvlJc w:val="left"/>
    </w:lvl>
  </w:abstractNum>
  <w:num w:numId="1">
    <w:abstractNumId w:val="0"/>
  </w:num>
  <w:num w:numId="2">
    <w:abstractNumId w:val="3"/>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F30235"/>
    <w:rsid w:val="26F30235"/>
    <w:rsid w:val="48290C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keepNext/>
      <w:keepLines/>
      <w:spacing w:before="340" w:after="330" w:line="578" w:lineRule="auto"/>
      <w:outlineLvl w:val="0"/>
    </w:pPr>
    <w:rPr>
      <w:b/>
      <w:bCs/>
      <w:kern w:val="44"/>
      <w:sz w:val="44"/>
      <w:szCs w:val="44"/>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widowControl/>
      <w:ind w:firstLine="420" w:firstLineChars="200"/>
      <w:jc w:val="left"/>
    </w:pPr>
    <w:rPr>
      <w:rFonts w:eastAsiaTheme="minorEastAsia"/>
      <w:kern w:val="0"/>
      <w:sz w:val="24"/>
      <w:lang w:eastAsia="en-US"/>
    </w:rPr>
  </w:style>
  <w:style w:type="paragraph" w:styleId="4">
    <w:name w:val="Body Text Indent"/>
    <w:basedOn w:val="1"/>
    <w:qFormat/>
    <w:uiPriority w:val="99"/>
    <w:pPr>
      <w:spacing w:line="360" w:lineRule="auto"/>
      <w:ind w:firstLine="420" w:firstLineChars="200"/>
    </w:pPr>
    <w:rPr>
      <w:color w:val="000000"/>
      <w:szCs w:val="21"/>
    </w:r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qFormat/>
    <w:uiPriority w:val="39"/>
    <w:pPr>
      <w:tabs>
        <w:tab w:val="right" w:leader="dot" w:pos="8296"/>
      </w:tabs>
      <w:spacing w:line="360" w:lineRule="auto"/>
    </w:pPr>
  </w:style>
  <w:style w:type="character" w:styleId="10">
    <w:name w:val="Hyperlink"/>
    <w:basedOn w:val="9"/>
    <w:qFormat/>
    <w:uiPriority w:val="99"/>
    <w:rPr>
      <w:color w:val="0000FF"/>
      <w:u w:val="single"/>
    </w:rPr>
  </w:style>
  <w:style w:type="character" w:styleId="11">
    <w:name w:val="annotation reference"/>
    <w:basedOn w:val="9"/>
    <w:qFormat/>
    <w:uiPriority w:val="99"/>
    <w:rPr>
      <w:sz w:val="21"/>
      <w:szCs w:val="21"/>
    </w:rPr>
  </w:style>
  <w:style w:type="paragraph" w:customStyle="1" w:styleId="12">
    <w:name w:val="p0"/>
    <w:basedOn w:val="1"/>
    <w:qFormat/>
    <w:uiPriority w:val="0"/>
    <w:pPr>
      <w:widowControl/>
    </w:pPr>
    <w:rPr>
      <w:kern w:val="0"/>
      <w:szCs w:val="21"/>
    </w:rPr>
  </w:style>
  <w:style w:type="paragraph" w:styleId="13">
    <w:name w:val="List Paragraph"/>
    <w:basedOn w:val="1"/>
    <w:qFormat/>
    <w:uiPriority w:val="34"/>
    <w:pPr>
      <w:ind w:firstLine="420" w:firstLineChars="200"/>
    </w:pPr>
  </w:style>
  <w:style w:type="paragraph" w:customStyle="1" w:styleId="14">
    <w:name w:val="a-BR532136"/>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5">
    <w:name w:val="a-BR283528"/>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
    <w:name w:val="a-BR71248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7">
    <w:name w:val="a-BR052783"/>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8">
    <w:name w:val="页脚 字符_0"/>
    <w:basedOn w:val="9"/>
    <w:qFormat/>
    <w:uiPriority w:val="99"/>
    <w:rPr>
      <w:rFonts w:ascii="Times New Roman" w:hAnsi="Times New Roman" w:eastAsia="宋体" w:cs="Times New Roman"/>
      <w:sz w:val="18"/>
      <w:szCs w:val="18"/>
    </w:rPr>
  </w:style>
  <w:style w:type="paragraph" w:customStyle="1" w:styleId="19">
    <w:name w:val="正文所"/>
    <w:basedOn w:val="1"/>
    <w:qFormat/>
    <w:uiPriority w:val="0"/>
    <w:pPr>
      <w:spacing w:line="360" w:lineRule="auto"/>
      <w:ind w:firstLine="420" w:firstLineChars="200"/>
    </w:pPr>
    <w:rPr>
      <w:rFonts w:ascii="宋体"/>
      <w:szCs w:val="20"/>
    </w:rPr>
  </w:style>
  <w:style w:type="paragraph" w:customStyle="1" w:styleId="20">
    <w:name w:val="a-BR007145"/>
    <w:qFormat/>
    <w:uiPriority w:val="0"/>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116</Pages>
  <Words>23624</Words>
  <Characters>23984</Characters>
  <Lines>0</Lines>
  <Paragraphs>0</Paragraphs>
  <TotalTime>3</TotalTime>
  <ScaleCrop>false</ScaleCrop>
  <LinksUpToDate>false</LinksUpToDate>
  <CharactersWithSpaces>24051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2026-05-26T02:49:00Z</dcterms:created>
  <dc:creator>WPS_1680512676</dc:creator>
  <cp:lastModifiedBy>WPS_1680512676</cp:lastModifiedBy>
  <dcterms:modified xsi:type="dcterms:W3CDTF">2026-05-26T06:27:43Z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EFFDC7C0F70E446B97F17D05C21B8CBC_11</vt:lpwstr>
  </property>
  <property fmtid="{D5CDD505-2E9C-101B-9397-08002B2CF9AE}" pid="4" name="KSOTemplateDocerSaveRecord">
    <vt:lpwstr>eyJoZGlkIjoiN2VmNGRmNjMwMjMxYWI4ZDkxMjI1MGZhZTA2MTQ3MTUiLCJ1c2VySWQiOiIxNDg3MDQ1NjUxIn0=</vt:lpwstr>
  </property>
</Properties>
</file>