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DD9B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132" w:name="_GoBack"/>
      <w:bookmarkEnd w:id="132"/>
    </w:p>
    <w:p w14:paraId="2E3FE99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1048417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1E9B185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2AFB350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2D0745D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4879109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7914CC6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34E0D5ED">
      <w:pPr>
        <w:adjustRightInd w:val="0"/>
        <w:snapToGrid w:val="0"/>
        <w:spacing w:before="312" w:beforeLines="100" w:after="312" w:afterLines="100" w:line="360" w:lineRule="auto"/>
        <w:jc w:val="center"/>
        <w:rPr>
          <w:rFonts w:hint="eastAsia" w:asciiTheme="minorEastAsia" w:hAnsiTheme="minorEastAsia" w:eastAsiaTheme="minorEastAsia"/>
          <w:b/>
          <w:color w:val="auto"/>
          <w:sz w:val="28"/>
          <w:szCs w:val="28"/>
          <w:highlight w:val="none"/>
          <w:lang w:eastAsia="zh-CN"/>
        </w:rPr>
      </w:pPr>
      <w:r>
        <w:rPr>
          <w:rFonts w:hint="eastAsia" w:asciiTheme="minorEastAsia" w:hAnsiTheme="minorEastAsia" w:eastAsiaTheme="minorEastAsia"/>
          <w:b/>
          <w:color w:val="auto"/>
          <w:sz w:val="28"/>
          <w:szCs w:val="28"/>
          <w:highlight w:val="none"/>
          <w:lang w:eastAsia="zh-CN"/>
        </w:rPr>
        <w:t>石云福禄1000指数增强一号私募证券投资基金</w:t>
      </w:r>
    </w:p>
    <w:p w14:paraId="46170AC5">
      <w:pPr>
        <w:adjustRightInd w:val="0"/>
        <w:snapToGrid w:val="0"/>
        <w:spacing w:before="312" w:beforeLines="100" w:after="312" w:afterLines="100" w:line="360" w:lineRule="auto"/>
        <w:jc w:val="center"/>
        <w:rPr>
          <w:rFonts w:asciiTheme="minorEastAsia" w:hAnsiTheme="minorEastAsia" w:eastAsiaTheme="minorEastAsia"/>
          <w:b/>
          <w:color w:val="auto"/>
          <w:sz w:val="28"/>
          <w:szCs w:val="28"/>
          <w:highlight w:val="none"/>
        </w:rPr>
      </w:pPr>
      <w:r>
        <w:rPr>
          <w:rFonts w:hint="eastAsia" w:asciiTheme="minorEastAsia" w:hAnsiTheme="minorEastAsia" w:eastAsiaTheme="minorEastAsia"/>
          <w:b/>
          <w:color w:val="auto"/>
          <w:sz w:val="28"/>
          <w:szCs w:val="28"/>
          <w:highlight w:val="none"/>
        </w:rPr>
        <w:t>基金合同</w:t>
      </w:r>
    </w:p>
    <w:p w14:paraId="2F706A0F">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7A83836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24F267B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26CC3E9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0B2FA71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4B5D158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0783D33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20570B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6D7BBBB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7BA6B0D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4B74BBB5">
      <w:pPr>
        <w:adjustRightInd w:val="0"/>
        <w:snapToGrid w:val="0"/>
        <w:spacing w:before="93" w:beforeLines="30" w:after="93" w:afterLines="30" w:line="360" w:lineRule="auto"/>
        <w:ind w:firstLine="2182" w:firstLineChars="1035"/>
        <w:rPr>
          <w:rFonts w:hint="eastAsia" w:asciiTheme="minorEastAsia" w:hAnsiTheme="minorEastAsia" w:eastAsiaTheme="minorEastAsia"/>
          <w:b/>
          <w:color w:val="auto"/>
          <w:szCs w:val="21"/>
          <w:highlight w:val="none"/>
          <w:lang w:eastAsia="zh-CN"/>
        </w:rPr>
      </w:pPr>
      <w:r>
        <w:rPr>
          <w:rFonts w:hint="eastAsia" w:asciiTheme="minorEastAsia" w:hAnsiTheme="minorEastAsia" w:eastAsiaTheme="minorEastAsia"/>
          <w:b/>
          <w:color w:val="auto"/>
          <w:szCs w:val="21"/>
          <w:highlight w:val="none"/>
        </w:rPr>
        <w:t>基金管理人：</w:t>
      </w:r>
      <w:r>
        <w:rPr>
          <w:rFonts w:hint="eastAsia" w:asciiTheme="minorEastAsia" w:hAnsiTheme="minorEastAsia" w:eastAsiaTheme="minorEastAsia"/>
          <w:b/>
          <w:color w:val="auto"/>
          <w:szCs w:val="21"/>
          <w:highlight w:val="none"/>
          <w:lang w:eastAsia="zh-CN"/>
        </w:rPr>
        <w:t>石云科技股份有限公司</w:t>
      </w:r>
    </w:p>
    <w:p w14:paraId="223AC809">
      <w:pPr>
        <w:adjustRightInd w:val="0"/>
        <w:snapToGrid w:val="0"/>
        <w:spacing w:before="93" w:beforeLines="30" w:after="93" w:afterLines="30" w:line="360" w:lineRule="auto"/>
        <w:ind w:firstLine="2182" w:firstLineChars="1035"/>
        <w:rPr>
          <w:rFonts w:hint="eastAsia" w:asciiTheme="minorEastAsia" w:hAnsiTheme="minorEastAsia" w:eastAsiaTheme="minorEastAsia"/>
          <w:b/>
          <w:color w:val="auto"/>
          <w:szCs w:val="21"/>
          <w:highlight w:val="none"/>
          <w:lang w:eastAsia="zh-CN"/>
        </w:rPr>
      </w:pPr>
      <w:r>
        <w:rPr>
          <w:rFonts w:hint="eastAsia" w:asciiTheme="minorEastAsia" w:hAnsiTheme="minorEastAsia" w:eastAsiaTheme="minorEastAsia"/>
          <w:b/>
          <w:color w:val="auto"/>
          <w:szCs w:val="21"/>
          <w:highlight w:val="none"/>
        </w:rPr>
        <w:t>基金托管人：</w:t>
      </w:r>
      <w:r>
        <w:rPr>
          <w:rFonts w:hint="eastAsia" w:asciiTheme="minorEastAsia" w:hAnsiTheme="minorEastAsia" w:eastAsiaTheme="minorEastAsia"/>
          <w:b/>
          <w:color w:val="auto"/>
          <w:szCs w:val="21"/>
          <w:highlight w:val="none"/>
          <w:lang w:eastAsia="zh-CN"/>
        </w:rPr>
        <w:t>招商证券股份有限公司</w:t>
      </w:r>
    </w:p>
    <w:p w14:paraId="5E3D6824">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br w:type="page"/>
      </w:r>
    </w:p>
    <w:p w14:paraId="32E81998">
      <w:pPr>
        <w:adjustRightInd w:val="0"/>
        <w:snapToGrid w:val="0"/>
        <w:spacing w:before="312" w:beforeLines="100" w:after="312" w:afterLines="100" w:line="360" w:lineRule="auto"/>
        <w:jc w:val="center"/>
        <w:rPr>
          <w:rFonts w:asciiTheme="minorEastAsia" w:hAnsiTheme="minorEastAsia" w:eastAsiaTheme="minorEastAsia"/>
          <w:b/>
          <w:color w:val="auto"/>
          <w:sz w:val="28"/>
          <w:szCs w:val="28"/>
          <w:highlight w:val="none"/>
        </w:rPr>
      </w:pPr>
      <w:bookmarkStart w:id="0" w:name="_Toc53491094"/>
      <w:r>
        <w:rPr>
          <w:rFonts w:hint="eastAsia" w:asciiTheme="minorEastAsia" w:hAnsiTheme="minorEastAsia" w:eastAsiaTheme="minorEastAsia"/>
          <w:b/>
          <w:color w:val="auto"/>
          <w:sz w:val="28"/>
          <w:szCs w:val="28"/>
          <w:highlight w:val="none"/>
        </w:rPr>
        <w:t>投资者承诺书</w:t>
      </w:r>
      <w:bookmarkEnd w:id="0"/>
    </w:p>
    <w:p w14:paraId="5E0D36A0">
      <w:pPr>
        <w:adjustRightInd w:val="0"/>
        <w:snapToGrid w:val="0"/>
        <w:spacing w:before="93" w:beforeLines="30" w:after="93" w:afterLines="30" w:line="360" w:lineRule="auto"/>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lang w:eastAsia="zh-CN"/>
        </w:rPr>
        <w:t>石云科技股份有限公司</w:t>
      </w:r>
      <w:r>
        <w:rPr>
          <w:rFonts w:hint="eastAsia" w:asciiTheme="minorEastAsia" w:hAnsiTheme="minorEastAsia" w:eastAsiaTheme="minorEastAsia"/>
          <w:b/>
          <w:color w:val="auto"/>
          <w:szCs w:val="21"/>
          <w:highlight w:val="none"/>
        </w:rPr>
        <w:t>：</w:t>
      </w:r>
    </w:p>
    <w:p w14:paraId="7E106AC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1、本人/本单位承诺符合《私募投资基金监督管理暂行办法》《证券期货投资者适当性管理办法》《基金募集机构投资者适当性管理实施指引（试行）》及其他法律法规、证监会规定的合格投资者标准，具有相应的风险识别能力和风险承受能力。本人/本单位</w:t>
      </w:r>
      <w:r>
        <w:rPr>
          <w:rFonts w:hint="eastAsia" w:asciiTheme="minorEastAsia" w:hAnsiTheme="minorEastAsia" w:eastAsiaTheme="minorEastAsia"/>
          <w:color w:val="auto"/>
          <w:szCs w:val="21"/>
          <w:highlight w:val="none"/>
        </w:rPr>
        <w:t>承诺向基金管理人提供的有关投资目的、投资偏好、投资限制和风险承受能力等情况真实合法、完整有效，不存在任何重大遗漏或误导性陈述，前述信息资料如发生任何实质性变更，</w:t>
      </w:r>
      <w:r>
        <w:rPr>
          <w:rFonts w:hint="eastAsia" w:cs="仿宋_GB2312" w:asciiTheme="minorEastAsia" w:hAnsiTheme="minorEastAsia" w:eastAsiaTheme="minorEastAsia"/>
          <w:color w:val="auto"/>
          <w:szCs w:val="21"/>
          <w:highlight w:val="none"/>
        </w:rPr>
        <w:t>本人/本单位</w:t>
      </w:r>
      <w:r>
        <w:rPr>
          <w:rFonts w:hint="eastAsia" w:asciiTheme="minorEastAsia" w:hAnsiTheme="minorEastAsia" w:eastAsiaTheme="minorEastAsia"/>
          <w:color w:val="auto"/>
          <w:szCs w:val="21"/>
          <w:highlight w:val="none"/>
        </w:rPr>
        <w:t>应当及时书面告知基金管理人或代销机构。</w:t>
      </w:r>
    </w:p>
    <w:p w14:paraId="65AD80D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hint="eastAsia" w:cs="仿宋_GB2312" w:asciiTheme="minorEastAsia" w:hAnsiTheme="minorEastAsia" w:eastAsiaTheme="minorEastAsia"/>
          <w:color w:val="auto"/>
          <w:szCs w:val="21"/>
          <w:highlight w:val="none"/>
        </w:rPr>
        <w:t>本人/本单位承诺</w:t>
      </w:r>
      <w:r>
        <w:rPr>
          <w:rFonts w:hint="eastAsia" w:asciiTheme="minorEastAsia" w:hAnsiTheme="minorEastAsia" w:eastAsiaTheme="minorEastAsia"/>
          <w:color w:val="auto"/>
          <w:szCs w:val="21"/>
          <w:highlight w:val="none"/>
        </w:rPr>
        <w:t>用于认购/申购基金份额的财产为投资者拥有合法所有权或处分权的资产，保证该等财产的来源及用途符合法律法规和相关政策规定，不存在非法汇集他人资金投资的情形，不存在使用贷款、发行债券等筹集的非自有资金投资本基金的情形，不存在不合理的利益输送、关联交易及洗钱等情况，</w:t>
      </w:r>
      <w:r>
        <w:rPr>
          <w:rFonts w:hint="eastAsia" w:cs="仿宋_GB2312" w:asciiTheme="minorEastAsia" w:hAnsiTheme="minorEastAsia" w:eastAsiaTheme="minorEastAsia"/>
          <w:color w:val="auto"/>
          <w:szCs w:val="21"/>
          <w:highlight w:val="none"/>
        </w:rPr>
        <w:t>本人/本单位</w:t>
      </w:r>
      <w:r>
        <w:rPr>
          <w:rFonts w:hint="eastAsia" w:asciiTheme="minorEastAsia" w:hAnsiTheme="minorEastAsia" w:eastAsiaTheme="minorEastAsia"/>
          <w:color w:val="auto"/>
          <w:szCs w:val="21"/>
          <w:highlight w:val="none"/>
        </w:rPr>
        <w:t>保证有完全及合法的权利委托基金管理人进行基金财产的投资管理，以及委托基金托管人进行基金财产的托管业务。</w:t>
      </w:r>
    </w:p>
    <w:p w14:paraId="2A6FDA9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本人/本单位承诺已充分理解本基金合同全文，了解相关权利、义务，了解有关法律法规及所投资基金的风险收益特征，了解本基金的投资决策安排，愿意承担相应的投资风险。本人/本单位承认，基金管理人、基金托管人未对基金财产的收益状况做出任何承诺或担保。</w:t>
      </w:r>
    </w:p>
    <w:p w14:paraId="4C6AF8F6">
      <w:pPr>
        <w:adjustRightInd w:val="0"/>
        <w:snapToGrid w:val="0"/>
        <w:spacing w:before="93" w:beforeLines="30" w:after="93" w:afterLines="30" w:line="360" w:lineRule="auto"/>
        <w:ind w:firstLine="420" w:firstLineChars="200"/>
        <w:rPr>
          <w:rFonts w:cs="仿宋_GB2312"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4、本人/本单位承诺，基金管理人有权要求本人/本单位提供资产来源及用途合法性证明，对资产来源及用途及合法性进行调查，本人/本单位愿意配合。</w:t>
      </w:r>
    </w:p>
    <w:p w14:paraId="33FC99E6">
      <w:pPr>
        <w:adjustRightInd w:val="0"/>
        <w:snapToGrid w:val="0"/>
        <w:spacing w:before="93" w:beforeLines="30" w:after="93" w:afterLines="30" w:line="360" w:lineRule="auto"/>
        <w:ind w:firstLine="420" w:firstLineChars="200"/>
        <w:rPr>
          <w:rFonts w:hint="eastAsia" w:cs="仿宋_GB2312"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5、本人/本单位承诺，本人/本单位在参与基金管理人发起设立的私募基金的投资过程中，如果因存在欺诈、隐瞒或其他不符合实际情况的陈述所产生的一切责任，由本人/本单位自行承担，与基金管理人及基金托管人无关。</w:t>
      </w:r>
    </w:p>
    <w:p w14:paraId="3402B320">
      <w:pPr>
        <w:adjustRightInd w:val="0"/>
        <w:snapToGrid w:val="0"/>
        <w:spacing w:before="93" w:beforeLines="30" w:after="93" w:afterLines="30" w:line="360" w:lineRule="auto"/>
        <w:ind w:firstLine="420" w:firstLineChars="200"/>
        <w:rPr>
          <w:rFonts w:cs="仿宋_GB2312"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6、本人/本单位承诺已知悉并接受此安排：本基金分为A、B</w:t>
      </w:r>
      <w:r>
        <w:rPr>
          <w:rFonts w:hint="eastAsia" w:cs="仿宋_GB2312" w:asciiTheme="minorEastAsia" w:hAnsiTheme="minorEastAsia" w:eastAsiaTheme="minorEastAsia"/>
          <w:color w:val="auto"/>
          <w:szCs w:val="21"/>
          <w:highlight w:val="none"/>
          <w:lang w:eastAsia="zh-CN"/>
        </w:rPr>
        <w:t>、</w:t>
      </w:r>
      <w:r>
        <w:rPr>
          <w:rFonts w:hint="eastAsia" w:cs="仿宋_GB2312" w:asciiTheme="minorEastAsia" w:hAnsiTheme="minorEastAsia" w:eastAsiaTheme="minorEastAsia"/>
          <w:color w:val="auto"/>
          <w:szCs w:val="21"/>
          <w:highlight w:val="none"/>
          <w:lang w:val="en-US" w:eastAsia="zh-CN"/>
        </w:rPr>
        <w:t>C、D四</w:t>
      </w:r>
      <w:r>
        <w:rPr>
          <w:rFonts w:hint="eastAsia" w:cs="仿宋_GB2312" w:asciiTheme="minorEastAsia" w:hAnsiTheme="minorEastAsia" w:eastAsiaTheme="minorEastAsia"/>
          <w:color w:val="auto"/>
          <w:szCs w:val="21"/>
          <w:highlight w:val="none"/>
        </w:rPr>
        <w:t>类份额，本基金的A类基金份额是指由基金管理人委托的代销机构向自然人合格投资者进行代销募集的基金份额，其认购/申购行为须符合监管机构的规定；本基金的B类基金份额是指</w:t>
      </w:r>
      <w:r>
        <w:rPr>
          <w:rFonts w:hint="eastAsia" w:ascii="宋体" w:hAnsi="宋体"/>
          <w:color w:val="auto"/>
          <w:szCs w:val="21"/>
          <w:highlight w:val="none"/>
        </w:rPr>
        <w:t>由基金管理人委托的代销机构向除自然人合格投资者以外的其他合格投资者进行代销募集的基金份额</w:t>
      </w:r>
      <w:r>
        <w:rPr>
          <w:rFonts w:hint="eastAsia" w:ascii="宋体" w:hAnsi="宋体"/>
          <w:color w:val="auto"/>
          <w:szCs w:val="21"/>
          <w:highlight w:val="none"/>
          <w:lang w:eastAsia="zh-CN"/>
        </w:rPr>
        <w:t>；</w:t>
      </w:r>
      <w:r>
        <w:rPr>
          <w:rFonts w:hint="eastAsia" w:cs="仿宋_GB2312" w:asciiTheme="minorEastAsia" w:hAnsiTheme="minorEastAsia" w:eastAsiaTheme="minorEastAsia"/>
          <w:color w:val="auto"/>
          <w:szCs w:val="21"/>
          <w:highlight w:val="none"/>
        </w:rPr>
        <w:t>本基金的</w:t>
      </w:r>
      <w:r>
        <w:rPr>
          <w:rFonts w:hint="eastAsia" w:cs="仿宋_GB2312" w:asciiTheme="minorEastAsia" w:hAnsiTheme="minorEastAsia" w:eastAsiaTheme="minorEastAsia"/>
          <w:color w:val="auto"/>
          <w:szCs w:val="21"/>
          <w:highlight w:val="none"/>
          <w:lang w:val="en-US" w:eastAsia="zh-CN"/>
        </w:rPr>
        <w:t>C</w:t>
      </w:r>
      <w:r>
        <w:rPr>
          <w:rFonts w:hint="eastAsia" w:cs="仿宋_GB2312" w:asciiTheme="minorEastAsia" w:hAnsiTheme="minorEastAsia" w:eastAsiaTheme="minorEastAsia"/>
          <w:color w:val="auto"/>
          <w:szCs w:val="21"/>
          <w:highlight w:val="none"/>
        </w:rPr>
        <w:t>类基金份额是指</w:t>
      </w:r>
      <w:r>
        <w:rPr>
          <w:rFonts w:hint="eastAsia" w:cs="仿宋_GB2312" w:asciiTheme="minorEastAsia" w:hAnsiTheme="minorEastAsia" w:eastAsiaTheme="minorEastAsia"/>
          <w:color w:val="auto"/>
          <w:szCs w:val="21"/>
          <w:highlight w:val="none"/>
          <w:lang w:val="en-US" w:eastAsia="zh-CN"/>
        </w:rPr>
        <w:t>向</w:t>
      </w:r>
      <w:r>
        <w:rPr>
          <w:rFonts w:hint="eastAsia" w:ascii="宋体" w:hAnsi="宋体"/>
          <w:color w:val="auto"/>
          <w:szCs w:val="21"/>
          <w:highlight w:val="none"/>
        </w:rPr>
        <w:t>除A、B、D类份额投资者以外的其他合格投资者募集的基金份额</w:t>
      </w:r>
      <w:r>
        <w:rPr>
          <w:rFonts w:hint="eastAsia" w:ascii="宋体" w:hAnsi="宋体"/>
          <w:color w:val="auto"/>
          <w:szCs w:val="21"/>
          <w:highlight w:val="none"/>
          <w:lang w:eastAsia="zh-CN"/>
        </w:rPr>
        <w:t>；</w:t>
      </w:r>
      <w:r>
        <w:rPr>
          <w:rFonts w:hint="eastAsia" w:cs="仿宋_GB2312" w:asciiTheme="minorEastAsia" w:hAnsiTheme="minorEastAsia" w:eastAsiaTheme="minorEastAsia"/>
          <w:color w:val="auto"/>
          <w:szCs w:val="21"/>
          <w:highlight w:val="none"/>
        </w:rPr>
        <w:t>本基金的</w:t>
      </w:r>
      <w:r>
        <w:rPr>
          <w:rFonts w:hint="eastAsia" w:cs="仿宋_GB2312" w:asciiTheme="minorEastAsia" w:hAnsiTheme="minorEastAsia" w:eastAsiaTheme="minorEastAsia"/>
          <w:color w:val="auto"/>
          <w:szCs w:val="21"/>
          <w:highlight w:val="none"/>
          <w:lang w:val="en-US" w:eastAsia="zh-CN"/>
        </w:rPr>
        <w:t>D</w:t>
      </w:r>
      <w:r>
        <w:rPr>
          <w:rFonts w:hint="eastAsia" w:cs="仿宋_GB2312" w:asciiTheme="minorEastAsia" w:hAnsiTheme="minorEastAsia" w:eastAsiaTheme="minorEastAsia"/>
          <w:color w:val="auto"/>
          <w:szCs w:val="21"/>
          <w:highlight w:val="none"/>
        </w:rPr>
        <w:t>类基金份额是指</w:t>
      </w:r>
      <w:r>
        <w:rPr>
          <w:rFonts w:hint="eastAsia" w:ascii="宋体" w:hAnsi="宋体"/>
          <w:color w:val="auto"/>
          <w:szCs w:val="21"/>
          <w:highlight w:val="none"/>
        </w:rPr>
        <w:t>通过管理人直销渠道向本基金管理人管理的其他私募基金、本基金管理人、本基金管理人员工以及本基金管理人担任投资顾问的资管产品募集的基金份额</w:t>
      </w:r>
      <w:r>
        <w:rPr>
          <w:rFonts w:hint="eastAsia" w:cs="仿宋_GB2312" w:asciiTheme="minorEastAsia" w:hAnsiTheme="minorEastAsia" w:eastAsiaTheme="minorEastAsia"/>
          <w:color w:val="auto"/>
          <w:szCs w:val="21"/>
          <w:highlight w:val="none"/>
        </w:rPr>
        <w:t>。此分类安排由管理人自行控制，托管人及服务机构不负责监督控制。</w:t>
      </w:r>
      <w:r>
        <w:rPr>
          <w:rFonts w:hint="eastAsia" w:cs="仿宋_GB2312" w:asciiTheme="minorEastAsia" w:hAnsiTheme="minorEastAsia" w:eastAsiaTheme="minorEastAsia"/>
          <w:color w:val="auto"/>
          <w:szCs w:val="21"/>
          <w:highlight w:val="none"/>
          <w:lang w:val="en-US" w:eastAsia="zh-CN"/>
        </w:rPr>
        <w:t>四</w:t>
      </w:r>
      <w:r>
        <w:rPr>
          <w:rFonts w:hint="eastAsia" w:cs="仿宋_GB2312" w:asciiTheme="minorEastAsia" w:hAnsiTheme="minorEastAsia" w:eastAsiaTheme="minorEastAsia"/>
          <w:color w:val="auto"/>
          <w:szCs w:val="21"/>
          <w:highlight w:val="none"/>
        </w:rPr>
        <w:t>类份额承担不同认/申购费、管理费</w:t>
      </w:r>
      <w:r>
        <w:rPr>
          <w:rFonts w:hint="eastAsia" w:cs="仿宋_GB2312" w:asciiTheme="minorEastAsia" w:hAnsiTheme="minorEastAsia" w:eastAsiaTheme="minorEastAsia"/>
          <w:color w:val="auto"/>
          <w:szCs w:val="21"/>
          <w:highlight w:val="none"/>
          <w:lang w:eastAsia="zh-CN"/>
        </w:rPr>
        <w:t>、</w:t>
      </w:r>
      <w:r>
        <w:rPr>
          <w:rFonts w:hint="eastAsia" w:cs="仿宋_GB2312" w:asciiTheme="minorEastAsia" w:hAnsiTheme="minorEastAsia" w:eastAsiaTheme="minorEastAsia"/>
          <w:color w:val="auto"/>
          <w:szCs w:val="21"/>
          <w:highlight w:val="none"/>
          <w:lang w:val="en-US" w:eastAsia="zh-CN"/>
        </w:rPr>
        <w:t>销售服务费</w:t>
      </w:r>
      <w:r>
        <w:rPr>
          <w:rFonts w:hint="eastAsia" w:cs="仿宋_GB2312" w:asciiTheme="minorEastAsia" w:hAnsiTheme="minorEastAsia" w:eastAsiaTheme="minorEastAsia"/>
          <w:color w:val="auto"/>
          <w:szCs w:val="21"/>
          <w:highlight w:val="none"/>
        </w:rPr>
        <w:t>及业绩报酬。相关费用收取方式详见“基金的基本情况”章节之“基金的份额分类”。</w:t>
      </w:r>
    </w:p>
    <w:p w14:paraId="52B1A2D7">
      <w:pPr>
        <w:adjustRightInd w:val="0"/>
        <w:snapToGrid w:val="0"/>
        <w:spacing w:before="93" w:beforeLines="30" w:after="93" w:afterLines="30" w:line="360" w:lineRule="auto"/>
        <w:ind w:firstLine="420" w:firstLineChars="200"/>
        <w:rPr>
          <w:rFonts w:cs="仿宋_GB2312"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本人/本单位符合</w:t>
      </w:r>
      <w:r>
        <w:rPr>
          <w:rFonts w:hint="eastAsia" w:cs="仿宋_GB2312" w:asciiTheme="minorEastAsia" w:hAnsiTheme="minorEastAsia" w:eastAsiaTheme="minorEastAsia"/>
          <w:color w:val="auto"/>
          <w:szCs w:val="21"/>
          <w:highlight w:val="none"/>
        </w:rPr>
        <w:sym w:font="Wingdings 2" w:char="F02A"/>
      </w:r>
      <w:r>
        <w:rPr>
          <w:rFonts w:hint="eastAsia" w:cs="仿宋_GB2312" w:asciiTheme="minorEastAsia" w:hAnsiTheme="minorEastAsia" w:eastAsiaTheme="minorEastAsia"/>
          <w:color w:val="auto"/>
          <w:szCs w:val="21"/>
          <w:highlight w:val="none"/>
        </w:rPr>
        <w:t>A类份额、</w:t>
      </w:r>
      <w:r>
        <w:rPr>
          <w:rFonts w:hint="eastAsia" w:cs="仿宋_GB2312" w:asciiTheme="minorEastAsia" w:hAnsiTheme="minorEastAsia" w:eastAsiaTheme="minorEastAsia"/>
          <w:color w:val="auto"/>
          <w:szCs w:val="21"/>
          <w:highlight w:val="none"/>
        </w:rPr>
        <w:sym w:font="Wingdings 2" w:char="00A3"/>
      </w:r>
      <w:r>
        <w:rPr>
          <w:rFonts w:hint="eastAsia" w:cs="仿宋_GB2312" w:asciiTheme="minorEastAsia" w:hAnsiTheme="minorEastAsia" w:eastAsiaTheme="minorEastAsia"/>
          <w:color w:val="auto"/>
          <w:szCs w:val="21"/>
          <w:highlight w:val="none"/>
        </w:rPr>
        <w:t>B类份额</w:t>
      </w:r>
      <w:r>
        <w:rPr>
          <w:rFonts w:hint="eastAsia" w:cs="仿宋_GB2312" w:asciiTheme="minorEastAsia" w:hAnsiTheme="minorEastAsia" w:eastAsiaTheme="minorEastAsia"/>
          <w:color w:val="auto"/>
          <w:szCs w:val="21"/>
          <w:highlight w:val="none"/>
          <w:lang w:eastAsia="zh-CN"/>
        </w:rPr>
        <w:t>、</w:t>
      </w:r>
      <w:r>
        <w:rPr>
          <w:rFonts w:hint="eastAsia" w:cs="仿宋_GB2312" w:asciiTheme="minorEastAsia" w:hAnsiTheme="minorEastAsia" w:eastAsiaTheme="minorEastAsia"/>
          <w:color w:val="auto"/>
          <w:szCs w:val="21"/>
          <w:highlight w:val="none"/>
        </w:rPr>
        <w:sym w:font="Wingdings 2" w:char="00A3"/>
      </w:r>
      <w:r>
        <w:rPr>
          <w:rFonts w:hint="eastAsia" w:cs="仿宋_GB2312" w:asciiTheme="minorEastAsia" w:hAnsiTheme="minorEastAsia" w:eastAsiaTheme="minorEastAsia"/>
          <w:color w:val="auto"/>
          <w:szCs w:val="21"/>
          <w:highlight w:val="none"/>
          <w:lang w:val="en-US" w:eastAsia="zh-CN"/>
        </w:rPr>
        <w:t>C</w:t>
      </w:r>
      <w:r>
        <w:rPr>
          <w:rFonts w:hint="eastAsia" w:cs="仿宋_GB2312" w:asciiTheme="minorEastAsia" w:hAnsiTheme="minorEastAsia" w:eastAsiaTheme="minorEastAsia"/>
          <w:color w:val="auto"/>
          <w:szCs w:val="21"/>
          <w:highlight w:val="none"/>
        </w:rPr>
        <w:t>类份额</w:t>
      </w:r>
      <w:r>
        <w:rPr>
          <w:rFonts w:hint="eastAsia" w:cs="仿宋_GB2312" w:asciiTheme="minorEastAsia" w:hAnsiTheme="minorEastAsia" w:eastAsiaTheme="minorEastAsia"/>
          <w:color w:val="auto"/>
          <w:szCs w:val="21"/>
          <w:highlight w:val="none"/>
          <w:lang w:eastAsia="zh-CN"/>
        </w:rPr>
        <w:t>、</w:t>
      </w:r>
      <w:r>
        <w:rPr>
          <w:rFonts w:hint="eastAsia" w:cs="仿宋_GB2312" w:asciiTheme="minorEastAsia" w:hAnsiTheme="minorEastAsia" w:eastAsiaTheme="minorEastAsia"/>
          <w:color w:val="auto"/>
          <w:szCs w:val="21"/>
          <w:highlight w:val="none"/>
        </w:rPr>
        <w:sym w:font="Wingdings 2" w:char="00A3"/>
      </w:r>
      <w:r>
        <w:rPr>
          <w:rFonts w:hint="eastAsia" w:cs="仿宋_GB2312" w:asciiTheme="minorEastAsia" w:hAnsiTheme="minorEastAsia" w:eastAsiaTheme="minorEastAsia"/>
          <w:color w:val="auto"/>
          <w:szCs w:val="21"/>
          <w:highlight w:val="none"/>
          <w:lang w:val="en-US" w:eastAsia="zh-CN"/>
        </w:rPr>
        <w:t>D</w:t>
      </w:r>
      <w:r>
        <w:rPr>
          <w:rFonts w:hint="eastAsia" w:cs="仿宋_GB2312" w:asciiTheme="minorEastAsia" w:hAnsiTheme="minorEastAsia" w:eastAsiaTheme="minorEastAsia"/>
          <w:color w:val="auto"/>
          <w:szCs w:val="21"/>
          <w:highlight w:val="none"/>
        </w:rPr>
        <w:t>类份额要求且自愿选择认购/申购</w:t>
      </w:r>
      <w:r>
        <w:rPr>
          <w:rFonts w:hint="eastAsia" w:cs="仿宋_GB2312" w:asciiTheme="minorEastAsia" w:hAnsiTheme="minorEastAsia" w:eastAsiaTheme="minorEastAsia"/>
          <w:color w:val="auto"/>
          <w:szCs w:val="21"/>
          <w:highlight w:val="none"/>
        </w:rPr>
        <w:sym w:font="Wingdings 2" w:char="F02A"/>
      </w:r>
      <w:r>
        <w:rPr>
          <w:rFonts w:hint="eastAsia" w:cs="仿宋_GB2312" w:asciiTheme="minorEastAsia" w:hAnsiTheme="minorEastAsia" w:eastAsiaTheme="minorEastAsia"/>
          <w:color w:val="auto"/>
          <w:szCs w:val="21"/>
          <w:highlight w:val="none"/>
        </w:rPr>
        <w:t xml:space="preserve"> A类份额</w:t>
      </w:r>
      <w:r>
        <w:rPr>
          <w:rFonts w:hint="eastAsia" w:cs="仿宋_GB2312" w:asciiTheme="minorEastAsia" w:hAnsiTheme="minorEastAsia" w:eastAsiaTheme="minorEastAsia"/>
          <w:color w:val="auto"/>
          <w:szCs w:val="21"/>
          <w:highlight w:val="none"/>
        </w:rPr>
        <w:sym w:font="Wingdings 2" w:char="F02A"/>
      </w:r>
      <w:r>
        <w:rPr>
          <w:rFonts w:hint="eastAsia" w:cs="仿宋_GB2312" w:asciiTheme="minorEastAsia" w:hAnsiTheme="minorEastAsia" w:eastAsiaTheme="minorEastAsia"/>
          <w:color w:val="auto"/>
          <w:szCs w:val="21"/>
          <w:highlight w:val="none"/>
        </w:rPr>
        <w:t>B类份额</w:t>
      </w:r>
      <w:r>
        <w:rPr>
          <w:rFonts w:hint="eastAsia" w:cs="仿宋_GB2312" w:asciiTheme="minorEastAsia" w:hAnsiTheme="minorEastAsia" w:eastAsiaTheme="minorEastAsia"/>
          <w:color w:val="auto"/>
          <w:szCs w:val="21"/>
          <w:highlight w:val="none"/>
        </w:rPr>
        <w:sym w:font="Wingdings 2" w:char="00A3"/>
      </w:r>
      <w:r>
        <w:rPr>
          <w:rFonts w:hint="eastAsia" w:cs="仿宋_GB2312" w:asciiTheme="minorEastAsia" w:hAnsiTheme="minorEastAsia" w:eastAsiaTheme="minorEastAsia"/>
          <w:color w:val="auto"/>
          <w:szCs w:val="21"/>
          <w:highlight w:val="none"/>
          <w:lang w:val="en-US" w:eastAsia="zh-CN"/>
        </w:rPr>
        <w:t>C</w:t>
      </w:r>
      <w:r>
        <w:rPr>
          <w:rFonts w:hint="eastAsia" w:cs="仿宋_GB2312" w:asciiTheme="minorEastAsia" w:hAnsiTheme="minorEastAsia" w:eastAsiaTheme="minorEastAsia"/>
          <w:color w:val="auto"/>
          <w:szCs w:val="21"/>
          <w:highlight w:val="none"/>
        </w:rPr>
        <w:t>类份额</w:t>
      </w:r>
      <w:r>
        <w:rPr>
          <w:rFonts w:hint="eastAsia" w:cs="仿宋_GB2312" w:asciiTheme="minorEastAsia" w:hAnsiTheme="minorEastAsia" w:eastAsiaTheme="minorEastAsia"/>
          <w:color w:val="auto"/>
          <w:szCs w:val="21"/>
          <w:highlight w:val="none"/>
        </w:rPr>
        <w:sym w:font="Wingdings 2" w:char="00A3"/>
      </w:r>
      <w:r>
        <w:rPr>
          <w:rFonts w:hint="eastAsia" w:cs="仿宋_GB2312" w:asciiTheme="minorEastAsia" w:hAnsiTheme="minorEastAsia" w:eastAsiaTheme="minorEastAsia"/>
          <w:color w:val="auto"/>
          <w:szCs w:val="21"/>
          <w:highlight w:val="none"/>
          <w:lang w:val="en-US" w:eastAsia="zh-CN"/>
        </w:rPr>
        <w:t>D</w:t>
      </w:r>
      <w:r>
        <w:rPr>
          <w:rFonts w:hint="eastAsia" w:cs="仿宋_GB2312" w:asciiTheme="minorEastAsia" w:hAnsiTheme="minorEastAsia" w:eastAsiaTheme="minorEastAsia"/>
          <w:color w:val="auto"/>
          <w:szCs w:val="21"/>
          <w:highlight w:val="none"/>
        </w:rPr>
        <w:t>类份额，并承担对应份额的认/申购费、管理费</w:t>
      </w:r>
      <w:r>
        <w:rPr>
          <w:rFonts w:hint="eastAsia" w:cs="仿宋_GB2312" w:asciiTheme="minorEastAsia" w:hAnsiTheme="minorEastAsia" w:eastAsiaTheme="minorEastAsia"/>
          <w:color w:val="auto"/>
          <w:szCs w:val="21"/>
          <w:highlight w:val="none"/>
          <w:lang w:eastAsia="zh-CN"/>
        </w:rPr>
        <w:t>、</w:t>
      </w:r>
      <w:r>
        <w:rPr>
          <w:rFonts w:hint="eastAsia" w:cs="仿宋_GB2312" w:asciiTheme="minorEastAsia" w:hAnsiTheme="minorEastAsia" w:eastAsiaTheme="minorEastAsia"/>
          <w:color w:val="auto"/>
          <w:szCs w:val="21"/>
          <w:highlight w:val="none"/>
        </w:rPr>
        <w:t>销售服务费及业绩报酬。</w:t>
      </w:r>
    </w:p>
    <w:p w14:paraId="448FFCBF">
      <w:pPr>
        <w:adjustRightInd w:val="0"/>
        <w:snapToGrid w:val="0"/>
        <w:spacing w:before="93" w:beforeLines="30" w:after="93" w:afterLines="30" w:line="360" w:lineRule="auto"/>
        <w:ind w:firstLine="420" w:firstLineChars="200"/>
        <w:rPr>
          <w:rFonts w:hint="eastAsia" w:cs="仿宋_GB2312" w:asciiTheme="minorEastAsia" w:hAnsiTheme="minorEastAsia" w:eastAsiaTheme="minorEastAsia"/>
          <w:color w:val="auto"/>
          <w:szCs w:val="21"/>
          <w:highlight w:val="none"/>
        </w:rPr>
      </w:pPr>
    </w:p>
    <w:p w14:paraId="6F121B42">
      <w:pPr>
        <w:adjustRightInd w:val="0"/>
        <w:snapToGrid w:val="0"/>
        <w:spacing w:before="93" w:beforeLines="30" w:after="93" w:afterLines="30" w:line="360" w:lineRule="auto"/>
        <w:ind w:firstLine="3192" w:firstLineChars="1520"/>
        <w:rPr>
          <w:rFonts w:asciiTheme="minorEastAsia" w:hAnsiTheme="minorEastAsia" w:eastAsiaTheme="minorEastAsia"/>
          <w:color w:val="auto"/>
          <w:szCs w:val="21"/>
          <w:highlight w:val="none"/>
        </w:rPr>
      </w:pPr>
    </w:p>
    <w:p w14:paraId="4F2F5D06">
      <w:pPr>
        <w:adjustRightInd w:val="0"/>
        <w:snapToGrid w:val="0"/>
        <w:spacing w:before="93" w:beforeLines="30" w:after="93" w:afterLines="30" w:line="360" w:lineRule="auto"/>
        <w:ind w:firstLine="3192" w:firstLineChars="1520"/>
        <w:rPr>
          <w:rFonts w:asciiTheme="minorEastAsia" w:hAnsiTheme="minorEastAsia" w:eastAsiaTheme="minorEastAsia"/>
          <w:color w:val="auto"/>
          <w:szCs w:val="21"/>
          <w:highlight w:val="none"/>
        </w:rPr>
      </w:pPr>
    </w:p>
    <w:p w14:paraId="0A4FEF91">
      <w:pPr>
        <w:adjustRightInd w:val="0"/>
        <w:snapToGrid w:val="0"/>
        <w:spacing w:before="93" w:beforeLines="30" w:after="93" w:afterLines="30" w:line="360" w:lineRule="auto"/>
        <w:ind w:firstLine="3192" w:firstLineChars="1520"/>
        <w:rPr>
          <w:rFonts w:asciiTheme="minorEastAsia" w:hAnsiTheme="minorEastAsia" w:eastAsiaTheme="minorEastAsia"/>
          <w:b/>
          <w:color w:val="auto"/>
          <w:szCs w:val="21"/>
          <w:highlight w:val="none"/>
        </w:rPr>
      </w:pPr>
      <w:r>
        <w:rPr>
          <w:rFonts w:hint="eastAsia" w:asciiTheme="minorEastAsia" w:hAnsiTheme="minorEastAsia" w:eastAsiaTheme="minorEastAsia"/>
          <w:color w:val="auto"/>
          <w:szCs w:val="21"/>
          <w:highlight w:val="none"/>
        </w:rPr>
        <w:t>承诺人</w:t>
      </w:r>
      <w:r>
        <w:rPr>
          <w:rFonts w:hint="eastAsia" w:asciiTheme="minorEastAsia" w:hAnsiTheme="minorEastAsia" w:eastAsiaTheme="minorEastAsia"/>
          <w:b/>
          <w:color w:val="auto"/>
          <w:szCs w:val="21"/>
          <w:highlight w:val="none"/>
        </w:rPr>
        <w:t>（自然人）</w:t>
      </w:r>
    </w:p>
    <w:p w14:paraId="761408DE">
      <w:pPr>
        <w:adjustRightInd w:val="0"/>
        <w:snapToGrid w:val="0"/>
        <w:spacing w:before="93" w:beforeLines="30" w:after="93" w:afterLines="30" w:line="360" w:lineRule="auto"/>
        <w:ind w:firstLine="3192" w:firstLineChars="152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（签字）</w:t>
      </w:r>
    </w:p>
    <w:p w14:paraId="671B8870">
      <w:pPr>
        <w:adjustRightInd w:val="0"/>
        <w:snapToGrid w:val="0"/>
        <w:spacing w:before="93" w:beforeLines="30" w:after="93" w:afterLines="30" w:line="360" w:lineRule="auto"/>
        <w:ind w:firstLine="3192" w:firstLineChars="152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或：承诺人</w:t>
      </w:r>
      <w:r>
        <w:rPr>
          <w:rFonts w:hint="eastAsia" w:asciiTheme="minorEastAsia" w:hAnsiTheme="minorEastAsia" w:eastAsiaTheme="minorEastAsia"/>
          <w:b/>
          <w:color w:val="auto"/>
          <w:szCs w:val="21"/>
          <w:highlight w:val="none"/>
        </w:rPr>
        <w:t>（机构）</w:t>
      </w:r>
    </w:p>
    <w:p w14:paraId="5B5B3DFC">
      <w:pPr>
        <w:adjustRightInd w:val="0"/>
        <w:snapToGrid w:val="0"/>
        <w:spacing w:before="93" w:beforeLines="30" w:after="93" w:afterLines="30" w:line="360" w:lineRule="auto"/>
        <w:ind w:firstLine="3192" w:firstLineChars="152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（加盖公章并由法定代表人/负责人或授权代表签字）</w:t>
      </w:r>
    </w:p>
    <w:p w14:paraId="5F4824B2">
      <w:pPr>
        <w:adjustRightInd w:val="0"/>
        <w:snapToGrid w:val="0"/>
        <w:spacing w:before="93" w:beforeLines="30" w:after="93" w:afterLines="30" w:line="360" w:lineRule="auto"/>
        <w:ind w:firstLine="3192" w:firstLineChars="152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日期：      年     月     日</w:t>
      </w:r>
    </w:p>
    <w:p w14:paraId="73240FCE">
      <w:pPr>
        <w:adjustRightInd w:val="0"/>
        <w:snapToGrid w:val="0"/>
        <w:spacing w:before="30" w:after="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br w:type="page"/>
      </w:r>
    </w:p>
    <w:p w14:paraId="6DE3D517">
      <w:pPr>
        <w:adjustRightInd w:val="0"/>
        <w:snapToGrid w:val="0"/>
        <w:spacing w:before="312" w:beforeLines="100" w:after="312" w:afterLines="100" w:line="300" w:lineRule="auto"/>
        <w:jc w:val="center"/>
        <w:rPr>
          <w:rFonts w:asciiTheme="minorEastAsia" w:hAnsiTheme="minorEastAsia" w:eastAsiaTheme="minorEastAsia"/>
          <w:b/>
          <w:color w:val="auto"/>
          <w:sz w:val="28"/>
          <w:szCs w:val="28"/>
          <w:highlight w:val="none"/>
        </w:rPr>
      </w:pPr>
      <w:bookmarkStart w:id="1" w:name="_Toc53491095"/>
      <w:r>
        <w:rPr>
          <w:rFonts w:hint="eastAsia" w:asciiTheme="minorEastAsia" w:hAnsiTheme="minorEastAsia" w:eastAsiaTheme="minorEastAsia"/>
          <w:b/>
          <w:color w:val="auto"/>
          <w:sz w:val="28"/>
          <w:szCs w:val="28"/>
          <w:highlight w:val="none"/>
        </w:rPr>
        <w:t>投资者告知书</w:t>
      </w:r>
      <w:bookmarkEnd w:id="1"/>
    </w:p>
    <w:p w14:paraId="503DE549">
      <w:pPr>
        <w:adjustRightInd w:val="0"/>
        <w:snapToGrid w:val="0"/>
        <w:spacing w:before="93" w:beforeLines="30" w:after="93" w:afterLines="30" w:line="360" w:lineRule="auto"/>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尊敬的投资者：</w:t>
      </w:r>
    </w:p>
    <w:p w14:paraId="7C5E56A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通过直销机构（基金管理人）和基金管理人委托的代销机构（如有）进行销售。基金投资者认购或申购本基金，以人民币货币资金形式交付，在直销机构认购或申购的投资者须将资金从在中国境内开立的自有银行账户划款至募集结算资金专用账户，在代销机构认购或申购的投资者按代销机构的规定缴付资金。</w:t>
      </w:r>
    </w:p>
    <w:p w14:paraId="15650D2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cs="仿宋_GB2312" w:asciiTheme="minorEastAsia" w:hAnsiTheme="minorEastAsia" w:eastAsiaTheme="minorEastAsia"/>
          <w:color w:val="auto"/>
          <w:szCs w:val="21"/>
          <w:highlight w:val="none"/>
        </w:rPr>
        <w:t>本私募基金募集结算资金专用账户为：</w:t>
      </w:r>
    </w:p>
    <w:p w14:paraId="2FD92D3C">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直销募集结算资金专用账户名称：兴业证券股份有限公司基金运营外包募集专户</w:t>
      </w:r>
    </w:p>
    <w:p w14:paraId="3F414E43">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直销募集结算资金专用账户账号号码：</w:t>
      </w:r>
      <w:r>
        <w:rPr>
          <w:rFonts w:hint="eastAsia" w:asciiTheme="minorEastAsia" w:hAnsiTheme="minorEastAsia" w:eastAsiaTheme="minorEastAsia"/>
          <w:color w:val="auto"/>
          <w:szCs w:val="21"/>
          <w:highlight w:val="none"/>
          <w:lang w:eastAsia="zh-CN"/>
        </w:rPr>
        <w:t>25058200458602010485200417</w:t>
      </w:r>
    </w:p>
    <w:p w14:paraId="703FFC98">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直销募集结算资金专用账户开户行：交通银行上海自贸试验区分行</w:t>
      </w:r>
    </w:p>
    <w:p w14:paraId="15356B4D">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直销募集结算资金专用账户大额支付号：</w:t>
      </w:r>
      <w:r>
        <w:rPr>
          <w:rFonts w:hint="eastAsia" w:asciiTheme="minorEastAsia" w:hAnsiTheme="minorEastAsia" w:eastAsiaTheme="minorEastAsia"/>
          <w:color w:val="auto"/>
          <w:szCs w:val="21"/>
          <w:highlight w:val="none"/>
          <w:lang w:eastAsia="zh-CN"/>
        </w:rPr>
        <w:t>820000000000</w:t>
      </w:r>
    </w:p>
    <w:p w14:paraId="0891B00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直销募集账户监督机构：兴业证券股份有限公司 </w:t>
      </w:r>
    </w:p>
    <w:p w14:paraId="576FF12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投资者认购、申购本基金的，应当遵循各销售渠道认购、申购流程，将资金划入各销售渠道资金账户。通过管理人直销的，资金直接划入本私募基金募集结算资金专用账户。</w:t>
      </w:r>
    </w:p>
    <w:p w14:paraId="6AEE4E3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结算资金专用账户是募集账户监督机构代基金管理人开立，用于归集本基金募集期间和存续期间的认购、申购和赎回资金等往来资金的专用账户。募集结算资金专用账户接收投资者资金的，不代表募集账户监督机构对本基金的价值和收益作出实质性判断或保证，也不表明投资于本基金没有风险。在募集结算资金专用账户使用的过程中，除非有足够的证据证明是募集账户监督机构造成的损失外，私募基金管理人应就其自身操作不当等原因所造成的损失承担相关责任。</w:t>
      </w:r>
    </w:p>
    <w:p w14:paraId="2171AB1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本人/机构已认真阅读《投资者告知书》，清楚认识并认可关于募集结算资金专用账户的上述告知内容，并愿意自行承担由此可能导致的一切风险和损失。</w:t>
      </w:r>
    </w:p>
    <w:p w14:paraId="5F05292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0F781AC1">
      <w:pPr>
        <w:adjustRightInd w:val="0"/>
        <w:snapToGrid w:val="0"/>
        <w:spacing w:before="93" w:beforeLines="30" w:after="93" w:afterLines="30" w:line="360" w:lineRule="auto"/>
        <w:ind w:firstLine="3192" w:firstLineChars="152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w:t>
      </w:r>
      <w:r>
        <w:rPr>
          <w:rFonts w:hint="eastAsia" w:asciiTheme="minorEastAsia" w:hAnsiTheme="minorEastAsia" w:eastAsiaTheme="minorEastAsia"/>
          <w:b/>
          <w:bCs/>
          <w:color w:val="auto"/>
          <w:szCs w:val="21"/>
          <w:highlight w:val="none"/>
        </w:rPr>
        <w:t>（自然人）</w:t>
      </w:r>
    </w:p>
    <w:p w14:paraId="700D5A5E">
      <w:pPr>
        <w:adjustRightInd w:val="0"/>
        <w:snapToGrid w:val="0"/>
        <w:spacing w:before="93" w:beforeLines="30" w:after="93" w:afterLines="30" w:line="360" w:lineRule="auto"/>
        <w:ind w:firstLine="3192" w:firstLineChars="152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（签字）</w:t>
      </w:r>
    </w:p>
    <w:p w14:paraId="0808A501">
      <w:pPr>
        <w:adjustRightInd w:val="0"/>
        <w:snapToGrid w:val="0"/>
        <w:spacing w:before="93" w:beforeLines="30" w:after="93" w:afterLines="30" w:line="360" w:lineRule="auto"/>
        <w:ind w:firstLine="3192" w:firstLineChars="152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或：基金投资者</w:t>
      </w:r>
      <w:r>
        <w:rPr>
          <w:rFonts w:hint="eastAsia" w:asciiTheme="minorEastAsia" w:hAnsiTheme="minorEastAsia" w:eastAsiaTheme="minorEastAsia"/>
          <w:b/>
          <w:bCs/>
          <w:color w:val="auto"/>
          <w:szCs w:val="21"/>
          <w:highlight w:val="none"/>
        </w:rPr>
        <w:t>（机构）</w:t>
      </w:r>
    </w:p>
    <w:p w14:paraId="3DE3ECD0">
      <w:pPr>
        <w:adjustRightInd w:val="0"/>
        <w:snapToGrid w:val="0"/>
        <w:spacing w:before="93" w:beforeLines="30" w:after="93" w:afterLines="30" w:line="360" w:lineRule="auto"/>
        <w:ind w:firstLine="3192" w:firstLineChars="152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（加盖公章并由法定代表人/负责人或授权代表签字）</w:t>
      </w:r>
    </w:p>
    <w:p w14:paraId="225F59A0">
      <w:pPr>
        <w:adjustRightInd w:val="0"/>
        <w:snapToGrid w:val="0"/>
        <w:spacing w:before="93" w:beforeLines="30" w:after="93" w:afterLines="30" w:line="360" w:lineRule="auto"/>
        <w:ind w:firstLine="3150" w:firstLineChars="15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日期：      年     月     日</w:t>
      </w:r>
    </w:p>
    <w:p w14:paraId="068FFCAB">
      <w:pPr>
        <w:adjustRightInd w:val="0"/>
        <w:snapToGrid w:val="0"/>
        <w:spacing w:before="93" w:beforeLines="30" w:after="93" w:afterLines="30" w:line="300" w:lineRule="auto"/>
        <w:ind w:firstLine="2730" w:firstLineChars="1300"/>
        <w:rPr>
          <w:rFonts w:asciiTheme="minorEastAsia" w:hAnsiTheme="minorEastAsia" w:eastAsiaTheme="minorEastAsia"/>
          <w:color w:val="auto"/>
          <w:szCs w:val="21"/>
          <w:highlight w:val="none"/>
        </w:rPr>
      </w:pPr>
    </w:p>
    <w:p w14:paraId="13BEF3AD">
      <w:pPr>
        <w:adjustRightInd w:val="0"/>
        <w:snapToGrid w:val="0"/>
        <w:spacing w:before="312" w:beforeLines="100" w:after="312" w:afterLines="100" w:line="360" w:lineRule="auto"/>
        <w:jc w:val="center"/>
        <w:rPr>
          <w:rFonts w:asciiTheme="minorEastAsia" w:hAnsiTheme="minorEastAsia" w:eastAsiaTheme="minorEastAsia"/>
          <w:b/>
          <w:color w:val="auto"/>
          <w:sz w:val="28"/>
          <w:szCs w:val="28"/>
          <w:highlight w:val="none"/>
        </w:rPr>
      </w:pPr>
      <w:bookmarkStart w:id="2" w:name="_Toc53491097"/>
      <w:r>
        <w:rPr>
          <w:rFonts w:hint="eastAsia" w:asciiTheme="minorEastAsia" w:hAnsiTheme="minorEastAsia" w:eastAsiaTheme="minorEastAsia"/>
          <w:b/>
          <w:color w:val="auto"/>
          <w:sz w:val="28"/>
          <w:szCs w:val="28"/>
          <w:highlight w:val="none"/>
        </w:rPr>
        <w:t>目  录</w:t>
      </w:r>
      <w:bookmarkEnd w:id="2"/>
    </w:p>
    <w:p w14:paraId="6C3983B4">
      <w:pPr>
        <w:pStyle w:val="6"/>
        <w:tabs>
          <w:tab w:val="right" w:leader="dot" w:pos="8306"/>
          <w:tab w:val="clear" w:pos="8296"/>
        </w:tabs>
        <w:rPr>
          <w:color w:val="auto"/>
          <w:highlight w:val="none"/>
        </w:rPr>
      </w:pPr>
      <w:bookmarkStart w:id="3" w:name="_Toc459392403"/>
      <w:bookmarkStart w:id="4" w:name="_Toc194741904"/>
      <w:r>
        <w:rPr>
          <w:rFonts w:eastAsiaTheme="minorEastAsia"/>
          <w:bCs/>
          <w:color w:val="auto"/>
          <w:szCs w:val="21"/>
          <w:highlight w:val="none"/>
        </w:rPr>
        <w:fldChar w:fldCharType="begin"/>
      </w:r>
      <w:r>
        <w:rPr>
          <w:rFonts w:eastAsiaTheme="minorEastAsia"/>
          <w:bCs/>
          <w:color w:val="auto"/>
          <w:szCs w:val="21"/>
          <w:highlight w:val="none"/>
        </w:rPr>
        <w:instrText xml:space="preserve"> TOC \o "1-1" \h \z \u </w:instrText>
      </w:r>
      <w:r>
        <w:rPr>
          <w:rFonts w:eastAsiaTheme="minorEastAsia"/>
          <w:bCs/>
          <w:color w:val="auto"/>
          <w:szCs w:val="21"/>
          <w:highlight w:val="none"/>
        </w:rPr>
        <w:fldChar w:fldCharType="separate"/>
      </w: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_Toc25769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一、前言</w:t>
      </w:r>
      <w:r>
        <w:rPr>
          <w:color w:val="auto"/>
          <w:highlight w:val="none"/>
        </w:rPr>
        <w:tab/>
      </w:r>
      <w:r>
        <w:rPr>
          <w:color w:val="auto"/>
          <w:highlight w:val="none"/>
        </w:rPr>
        <w:fldChar w:fldCharType="begin"/>
      </w:r>
      <w:r>
        <w:rPr>
          <w:color w:val="auto"/>
          <w:highlight w:val="none"/>
        </w:rPr>
        <w:instrText xml:space="preserve"> PAGEREF _Toc25769 \h </w:instrText>
      </w:r>
      <w:r>
        <w:rPr>
          <w:color w:val="auto"/>
          <w:highlight w:val="none"/>
        </w:rPr>
        <w:fldChar w:fldCharType="separate"/>
      </w:r>
      <w:r>
        <w:rPr>
          <w:color w:val="auto"/>
          <w:highlight w:val="none"/>
        </w:rPr>
        <w:t>6</w:t>
      </w:r>
      <w:r>
        <w:rPr>
          <w:color w:val="auto"/>
          <w:highlight w:val="none"/>
        </w:rPr>
        <w:fldChar w:fldCharType="end"/>
      </w:r>
      <w:r>
        <w:rPr>
          <w:rFonts w:eastAsiaTheme="minorEastAsia"/>
          <w:bCs/>
          <w:color w:val="auto"/>
          <w:szCs w:val="21"/>
          <w:highlight w:val="none"/>
        </w:rPr>
        <w:fldChar w:fldCharType="end"/>
      </w:r>
    </w:p>
    <w:p w14:paraId="53B63160">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_Toc7742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二、释义</w:t>
      </w:r>
      <w:r>
        <w:rPr>
          <w:color w:val="auto"/>
          <w:highlight w:val="none"/>
        </w:rPr>
        <w:tab/>
      </w:r>
      <w:r>
        <w:rPr>
          <w:color w:val="auto"/>
          <w:highlight w:val="none"/>
        </w:rPr>
        <w:fldChar w:fldCharType="begin"/>
      </w:r>
      <w:r>
        <w:rPr>
          <w:color w:val="auto"/>
          <w:highlight w:val="none"/>
        </w:rPr>
        <w:instrText xml:space="preserve"> PAGEREF _Toc7742 \h </w:instrText>
      </w:r>
      <w:r>
        <w:rPr>
          <w:color w:val="auto"/>
          <w:highlight w:val="none"/>
        </w:rPr>
        <w:fldChar w:fldCharType="separate"/>
      </w:r>
      <w:r>
        <w:rPr>
          <w:color w:val="auto"/>
          <w:highlight w:val="none"/>
        </w:rPr>
        <w:t>6</w:t>
      </w:r>
      <w:r>
        <w:rPr>
          <w:color w:val="auto"/>
          <w:highlight w:val="none"/>
        </w:rPr>
        <w:fldChar w:fldCharType="end"/>
      </w:r>
      <w:r>
        <w:rPr>
          <w:rFonts w:eastAsiaTheme="minorEastAsia"/>
          <w:bCs/>
          <w:color w:val="auto"/>
          <w:szCs w:val="21"/>
          <w:highlight w:val="none"/>
        </w:rPr>
        <w:fldChar w:fldCharType="end"/>
      </w:r>
    </w:p>
    <w:p w14:paraId="78E7A75D">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_Toc14883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三、声明与承诺</w:t>
      </w:r>
      <w:r>
        <w:rPr>
          <w:color w:val="auto"/>
          <w:highlight w:val="none"/>
        </w:rPr>
        <w:tab/>
      </w:r>
      <w:r>
        <w:rPr>
          <w:color w:val="auto"/>
          <w:highlight w:val="none"/>
        </w:rPr>
        <w:fldChar w:fldCharType="begin"/>
      </w:r>
      <w:r>
        <w:rPr>
          <w:color w:val="auto"/>
          <w:highlight w:val="none"/>
        </w:rPr>
        <w:instrText xml:space="preserve"> PAGEREF _Toc14883 \h </w:instrText>
      </w:r>
      <w:r>
        <w:rPr>
          <w:color w:val="auto"/>
          <w:highlight w:val="none"/>
        </w:rPr>
        <w:fldChar w:fldCharType="separate"/>
      </w:r>
      <w:r>
        <w:rPr>
          <w:color w:val="auto"/>
          <w:highlight w:val="none"/>
        </w:rPr>
        <w:t>10</w:t>
      </w:r>
      <w:r>
        <w:rPr>
          <w:color w:val="auto"/>
          <w:highlight w:val="none"/>
        </w:rPr>
        <w:fldChar w:fldCharType="end"/>
      </w:r>
      <w:r>
        <w:rPr>
          <w:rFonts w:eastAsiaTheme="minorEastAsia"/>
          <w:bCs/>
          <w:color w:val="auto"/>
          <w:szCs w:val="21"/>
          <w:highlight w:val="none"/>
        </w:rPr>
        <w:fldChar w:fldCharType="end"/>
      </w:r>
    </w:p>
    <w:p w14:paraId="11B17B5F">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_Toc3260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四、基金的基本情况</w:t>
      </w:r>
      <w:r>
        <w:rPr>
          <w:color w:val="auto"/>
          <w:highlight w:val="none"/>
        </w:rPr>
        <w:tab/>
      </w:r>
      <w:r>
        <w:rPr>
          <w:color w:val="auto"/>
          <w:highlight w:val="none"/>
        </w:rPr>
        <w:fldChar w:fldCharType="begin"/>
      </w:r>
      <w:r>
        <w:rPr>
          <w:color w:val="auto"/>
          <w:highlight w:val="none"/>
        </w:rPr>
        <w:instrText xml:space="preserve"> PAGEREF _Toc3260 \h </w:instrText>
      </w:r>
      <w:r>
        <w:rPr>
          <w:color w:val="auto"/>
          <w:highlight w:val="none"/>
        </w:rPr>
        <w:fldChar w:fldCharType="separate"/>
      </w:r>
      <w:r>
        <w:rPr>
          <w:color w:val="auto"/>
          <w:highlight w:val="none"/>
        </w:rPr>
        <w:t>11</w:t>
      </w:r>
      <w:r>
        <w:rPr>
          <w:color w:val="auto"/>
          <w:highlight w:val="none"/>
        </w:rPr>
        <w:fldChar w:fldCharType="end"/>
      </w:r>
      <w:r>
        <w:rPr>
          <w:rFonts w:eastAsiaTheme="minorEastAsia"/>
          <w:bCs/>
          <w:color w:val="auto"/>
          <w:szCs w:val="21"/>
          <w:highlight w:val="none"/>
        </w:rPr>
        <w:fldChar w:fldCharType="end"/>
      </w:r>
    </w:p>
    <w:p w14:paraId="1558D5E7">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_Toc24966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五、基金的募集</w:t>
      </w:r>
      <w:r>
        <w:rPr>
          <w:color w:val="auto"/>
          <w:highlight w:val="none"/>
        </w:rPr>
        <w:tab/>
      </w:r>
      <w:r>
        <w:rPr>
          <w:color w:val="auto"/>
          <w:highlight w:val="none"/>
        </w:rPr>
        <w:fldChar w:fldCharType="begin"/>
      </w:r>
      <w:r>
        <w:rPr>
          <w:color w:val="auto"/>
          <w:highlight w:val="none"/>
        </w:rPr>
        <w:instrText xml:space="preserve"> PAGEREF _Toc24966 \h </w:instrText>
      </w:r>
      <w:r>
        <w:rPr>
          <w:color w:val="auto"/>
          <w:highlight w:val="none"/>
        </w:rPr>
        <w:fldChar w:fldCharType="separate"/>
      </w:r>
      <w:r>
        <w:rPr>
          <w:color w:val="auto"/>
          <w:highlight w:val="none"/>
        </w:rPr>
        <w:t>14</w:t>
      </w:r>
      <w:r>
        <w:rPr>
          <w:color w:val="auto"/>
          <w:highlight w:val="none"/>
        </w:rPr>
        <w:fldChar w:fldCharType="end"/>
      </w:r>
      <w:r>
        <w:rPr>
          <w:rFonts w:eastAsiaTheme="minorEastAsia"/>
          <w:bCs/>
          <w:color w:val="auto"/>
          <w:szCs w:val="21"/>
          <w:highlight w:val="none"/>
        </w:rPr>
        <w:fldChar w:fldCharType="end"/>
      </w:r>
    </w:p>
    <w:p w14:paraId="63441B5F">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_Toc32538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六、基金的成立与备案</w:t>
      </w:r>
      <w:r>
        <w:rPr>
          <w:color w:val="auto"/>
          <w:highlight w:val="none"/>
        </w:rPr>
        <w:tab/>
      </w:r>
      <w:r>
        <w:rPr>
          <w:color w:val="auto"/>
          <w:highlight w:val="none"/>
        </w:rPr>
        <w:fldChar w:fldCharType="begin"/>
      </w:r>
      <w:r>
        <w:rPr>
          <w:color w:val="auto"/>
          <w:highlight w:val="none"/>
        </w:rPr>
        <w:instrText xml:space="preserve"> PAGEREF _Toc32538 \h </w:instrText>
      </w:r>
      <w:r>
        <w:rPr>
          <w:color w:val="auto"/>
          <w:highlight w:val="none"/>
        </w:rPr>
        <w:fldChar w:fldCharType="separate"/>
      </w:r>
      <w:r>
        <w:rPr>
          <w:color w:val="auto"/>
          <w:highlight w:val="none"/>
        </w:rPr>
        <w:t>18</w:t>
      </w:r>
      <w:r>
        <w:rPr>
          <w:color w:val="auto"/>
          <w:highlight w:val="none"/>
        </w:rPr>
        <w:fldChar w:fldCharType="end"/>
      </w:r>
      <w:r>
        <w:rPr>
          <w:rFonts w:eastAsiaTheme="minorEastAsia"/>
          <w:bCs/>
          <w:color w:val="auto"/>
          <w:szCs w:val="21"/>
          <w:highlight w:val="none"/>
        </w:rPr>
        <w:fldChar w:fldCharType="end"/>
      </w:r>
    </w:p>
    <w:p w14:paraId="58B425FA">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_Toc3448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七、基金的申购、赎回与转让</w:t>
      </w:r>
      <w:r>
        <w:rPr>
          <w:color w:val="auto"/>
          <w:highlight w:val="none"/>
        </w:rPr>
        <w:tab/>
      </w:r>
      <w:r>
        <w:rPr>
          <w:color w:val="auto"/>
          <w:highlight w:val="none"/>
        </w:rPr>
        <w:fldChar w:fldCharType="begin"/>
      </w:r>
      <w:r>
        <w:rPr>
          <w:color w:val="auto"/>
          <w:highlight w:val="none"/>
        </w:rPr>
        <w:instrText xml:space="preserve"> PAGEREF _Toc3448 \h </w:instrText>
      </w:r>
      <w:r>
        <w:rPr>
          <w:color w:val="auto"/>
          <w:highlight w:val="none"/>
        </w:rPr>
        <w:fldChar w:fldCharType="separate"/>
      </w:r>
      <w:r>
        <w:rPr>
          <w:color w:val="auto"/>
          <w:highlight w:val="none"/>
        </w:rPr>
        <w:t>19</w:t>
      </w:r>
      <w:r>
        <w:rPr>
          <w:color w:val="auto"/>
          <w:highlight w:val="none"/>
        </w:rPr>
        <w:fldChar w:fldCharType="end"/>
      </w:r>
      <w:r>
        <w:rPr>
          <w:rFonts w:eastAsiaTheme="minorEastAsia"/>
          <w:bCs/>
          <w:color w:val="auto"/>
          <w:szCs w:val="21"/>
          <w:highlight w:val="none"/>
        </w:rPr>
        <w:fldChar w:fldCharType="end"/>
      </w:r>
    </w:p>
    <w:p w14:paraId="734905C9">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_Toc15424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八、当事人及权利义务</w:t>
      </w:r>
      <w:r>
        <w:rPr>
          <w:color w:val="auto"/>
          <w:highlight w:val="none"/>
        </w:rPr>
        <w:tab/>
      </w:r>
      <w:r>
        <w:rPr>
          <w:color w:val="auto"/>
          <w:highlight w:val="none"/>
        </w:rPr>
        <w:fldChar w:fldCharType="begin"/>
      </w:r>
      <w:r>
        <w:rPr>
          <w:color w:val="auto"/>
          <w:highlight w:val="none"/>
        </w:rPr>
        <w:instrText xml:space="preserve"> PAGEREF _Toc15424 \h </w:instrText>
      </w:r>
      <w:r>
        <w:rPr>
          <w:color w:val="auto"/>
          <w:highlight w:val="none"/>
        </w:rPr>
        <w:fldChar w:fldCharType="separate"/>
      </w:r>
      <w:r>
        <w:rPr>
          <w:color w:val="auto"/>
          <w:highlight w:val="none"/>
        </w:rPr>
        <w:t>26</w:t>
      </w:r>
      <w:r>
        <w:rPr>
          <w:color w:val="auto"/>
          <w:highlight w:val="none"/>
        </w:rPr>
        <w:fldChar w:fldCharType="end"/>
      </w:r>
      <w:r>
        <w:rPr>
          <w:rFonts w:eastAsiaTheme="minorEastAsia"/>
          <w:bCs/>
          <w:color w:val="auto"/>
          <w:szCs w:val="21"/>
          <w:highlight w:val="none"/>
        </w:rPr>
        <w:fldChar w:fldCharType="end"/>
      </w:r>
    </w:p>
    <w:p w14:paraId="7936F7EF">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_Toc13490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九、基金份额持有人大会及日常机构</w:t>
      </w:r>
      <w:r>
        <w:rPr>
          <w:color w:val="auto"/>
          <w:highlight w:val="none"/>
        </w:rPr>
        <w:tab/>
      </w:r>
      <w:r>
        <w:rPr>
          <w:color w:val="auto"/>
          <w:highlight w:val="none"/>
        </w:rPr>
        <w:fldChar w:fldCharType="begin"/>
      </w:r>
      <w:r>
        <w:rPr>
          <w:color w:val="auto"/>
          <w:highlight w:val="none"/>
        </w:rPr>
        <w:instrText xml:space="preserve"> PAGEREF _Toc13490 \h </w:instrText>
      </w:r>
      <w:r>
        <w:rPr>
          <w:color w:val="auto"/>
          <w:highlight w:val="none"/>
        </w:rPr>
        <w:fldChar w:fldCharType="separate"/>
      </w:r>
      <w:r>
        <w:rPr>
          <w:color w:val="auto"/>
          <w:highlight w:val="none"/>
        </w:rPr>
        <w:t>32</w:t>
      </w:r>
      <w:r>
        <w:rPr>
          <w:color w:val="auto"/>
          <w:highlight w:val="none"/>
        </w:rPr>
        <w:fldChar w:fldCharType="end"/>
      </w:r>
      <w:r>
        <w:rPr>
          <w:rFonts w:eastAsiaTheme="minorEastAsia"/>
          <w:bCs/>
          <w:color w:val="auto"/>
          <w:szCs w:val="21"/>
          <w:highlight w:val="none"/>
        </w:rPr>
        <w:fldChar w:fldCharType="end"/>
      </w:r>
    </w:p>
    <w:p w14:paraId="259D29A6">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_Toc17835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十、基金份额的登记</w:t>
      </w:r>
      <w:r>
        <w:rPr>
          <w:color w:val="auto"/>
          <w:highlight w:val="none"/>
        </w:rPr>
        <w:tab/>
      </w:r>
      <w:r>
        <w:rPr>
          <w:color w:val="auto"/>
          <w:highlight w:val="none"/>
        </w:rPr>
        <w:fldChar w:fldCharType="begin"/>
      </w:r>
      <w:r>
        <w:rPr>
          <w:color w:val="auto"/>
          <w:highlight w:val="none"/>
        </w:rPr>
        <w:instrText xml:space="preserve"> PAGEREF _Toc17835 \h </w:instrText>
      </w:r>
      <w:r>
        <w:rPr>
          <w:color w:val="auto"/>
          <w:highlight w:val="none"/>
        </w:rPr>
        <w:fldChar w:fldCharType="separate"/>
      </w:r>
      <w:r>
        <w:rPr>
          <w:color w:val="auto"/>
          <w:highlight w:val="none"/>
        </w:rPr>
        <w:t>37</w:t>
      </w:r>
      <w:r>
        <w:rPr>
          <w:color w:val="auto"/>
          <w:highlight w:val="none"/>
        </w:rPr>
        <w:fldChar w:fldCharType="end"/>
      </w:r>
      <w:r>
        <w:rPr>
          <w:rFonts w:eastAsiaTheme="minorEastAsia"/>
          <w:bCs/>
          <w:color w:val="auto"/>
          <w:szCs w:val="21"/>
          <w:highlight w:val="none"/>
        </w:rPr>
        <w:fldChar w:fldCharType="end"/>
      </w:r>
    </w:p>
    <w:p w14:paraId="237626F1">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_Toc18878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十一、基金的投资</w:t>
      </w:r>
      <w:r>
        <w:rPr>
          <w:color w:val="auto"/>
          <w:highlight w:val="none"/>
        </w:rPr>
        <w:tab/>
      </w:r>
      <w:r>
        <w:rPr>
          <w:color w:val="auto"/>
          <w:highlight w:val="none"/>
        </w:rPr>
        <w:fldChar w:fldCharType="begin"/>
      </w:r>
      <w:r>
        <w:rPr>
          <w:color w:val="auto"/>
          <w:highlight w:val="none"/>
        </w:rPr>
        <w:instrText xml:space="preserve"> PAGEREF _Toc18878 \h </w:instrText>
      </w:r>
      <w:r>
        <w:rPr>
          <w:color w:val="auto"/>
          <w:highlight w:val="none"/>
        </w:rPr>
        <w:fldChar w:fldCharType="separate"/>
      </w:r>
      <w:r>
        <w:rPr>
          <w:color w:val="auto"/>
          <w:highlight w:val="none"/>
        </w:rPr>
        <w:t>38</w:t>
      </w:r>
      <w:r>
        <w:rPr>
          <w:color w:val="auto"/>
          <w:highlight w:val="none"/>
        </w:rPr>
        <w:fldChar w:fldCharType="end"/>
      </w:r>
      <w:r>
        <w:rPr>
          <w:rFonts w:eastAsiaTheme="minorEastAsia"/>
          <w:bCs/>
          <w:color w:val="auto"/>
          <w:szCs w:val="21"/>
          <w:highlight w:val="none"/>
        </w:rPr>
        <w:fldChar w:fldCharType="end"/>
      </w:r>
    </w:p>
    <w:p w14:paraId="50A121FC">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_Toc26302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十二、基金的财产</w:t>
      </w:r>
      <w:r>
        <w:rPr>
          <w:color w:val="auto"/>
          <w:highlight w:val="none"/>
        </w:rPr>
        <w:tab/>
      </w:r>
      <w:r>
        <w:rPr>
          <w:color w:val="auto"/>
          <w:highlight w:val="none"/>
        </w:rPr>
        <w:fldChar w:fldCharType="begin"/>
      </w:r>
      <w:r>
        <w:rPr>
          <w:color w:val="auto"/>
          <w:highlight w:val="none"/>
        </w:rPr>
        <w:instrText xml:space="preserve"> PAGEREF _Toc26302 \h </w:instrText>
      </w:r>
      <w:r>
        <w:rPr>
          <w:color w:val="auto"/>
          <w:highlight w:val="none"/>
        </w:rPr>
        <w:fldChar w:fldCharType="separate"/>
      </w:r>
      <w:r>
        <w:rPr>
          <w:color w:val="auto"/>
          <w:highlight w:val="none"/>
        </w:rPr>
        <w:t>44</w:t>
      </w:r>
      <w:r>
        <w:rPr>
          <w:color w:val="auto"/>
          <w:highlight w:val="none"/>
        </w:rPr>
        <w:fldChar w:fldCharType="end"/>
      </w:r>
      <w:r>
        <w:rPr>
          <w:rFonts w:eastAsiaTheme="minorEastAsia"/>
          <w:bCs/>
          <w:color w:val="auto"/>
          <w:szCs w:val="21"/>
          <w:highlight w:val="none"/>
        </w:rPr>
        <w:fldChar w:fldCharType="end"/>
      </w:r>
    </w:p>
    <w:p w14:paraId="2EA1B7B2">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_Toc27018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十三、指令的发送、确认与执行</w:t>
      </w:r>
      <w:r>
        <w:rPr>
          <w:color w:val="auto"/>
          <w:highlight w:val="none"/>
        </w:rPr>
        <w:tab/>
      </w:r>
      <w:r>
        <w:rPr>
          <w:color w:val="auto"/>
          <w:highlight w:val="none"/>
        </w:rPr>
        <w:fldChar w:fldCharType="begin"/>
      </w:r>
      <w:r>
        <w:rPr>
          <w:color w:val="auto"/>
          <w:highlight w:val="none"/>
        </w:rPr>
        <w:instrText xml:space="preserve"> PAGEREF _Toc27018 \h </w:instrText>
      </w:r>
      <w:r>
        <w:rPr>
          <w:color w:val="auto"/>
          <w:highlight w:val="none"/>
        </w:rPr>
        <w:fldChar w:fldCharType="separate"/>
      </w:r>
      <w:r>
        <w:rPr>
          <w:color w:val="auto"/>
          <w:highlight w:val="none"/>
        </w:rPr>
        <w:t>46</w:t>
      </w:r>
      <w:r>
        <w:rPr>
          <w:color w:val="auto"/>
          <w:highlight w:val="none"/>
        </w:rPr>
        <w:fldChar w:fldCharType="end"/>
      </w:r>
      <w:r>
        <w:rPr>
          <w:rFonts w:eastAsiaTheme="minorEastAsia"/>
          <w:bCs/>
          <w:color w:val="auto"/>
          <w:szCs w:val="21"/>
          <w:highlight w:val="none"/>
        </w:rPr>
        <w:fldChar w:fldCharType="end"/>
      </w:r>
    </w:p>
    <w:p w14:paraId="316F5BCD">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_Toc4975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十四、交易及清算交收安排</w:t>
      </w:r>
      <w:r>
        <w:rPr>
          <w:color w:val="auto"/>
          <w:highlight w:val="none"/>
        </w:rPr>
        <w:tab/>
      </w:r>
      <w:r>
        <w:rPr>
          <w:color w:val="auto"/>
          <w:highlight w:val="none"/>
        </w:rPr>
        <w:fldChar w:fldCharType="begin"/>
      </w:r>
      <w:r>
        <w:rPr>
          <w:color w:val="auto"/>
          <w:highlight w:val="none"/>
        </w:rPr>
        <w:instrText xml:space="preserve"> PAGEREF _Toc4975 \h </w:instrText>
      </w:r>
      <w:r>
        <w:rPr>
          <w:color w:val="auto"/>
          <w:highlight w:val="none"/>
        </w:rPr>
        <w:fldChar w:fldCharType="separate"/>
      </w:r>
      <w:r>
        <w:rPr>
          <w:color w:val="auto"/>
          <w:highlight w:val="none"/>
        </w:rPr>
        <w:t>49</w:t>
      </w:r>
      <w:r>
        <w:rPr>
          <w:color w:val="auto"/>
          <w:highlight w:val="none"/>
        </w:rPr>
        <w:fldChar w:fldCharType="end"/>
      </w:r>
      <w:r>
        <w:rPr>
          <w:rFonts w:eastAsiaTheme="minorEastAsia"/>
          <w:bCs/>
          <w:color w:val="auto"/>
          <w:szCs w:val="21"/>
          <w:highlight w:val="none"/>
        </w:rPr>
        <w:fldChar w:fldCharType="end"/>
      </w:r>
    </w:p>
    <w:p w14:paraId="5F710AA0">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_Toc32718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十五、越权交易</w:t>
      </w:r>
      <w:r>
        <w:rPr>
          <w:color w:val="auto"/>
          <w:highlight w:val="none"/>
        </w:rPr>
        <w:tab/>
      </w:r>
      <w:r>
        <w:rPr>
          <w:color w:val="auto"/>
          <w:highlight w:val="none"/>
        </w:rPr>
        <w:fldChar w:fldCharType="begin"/>
      </w:r>
      <w:r>
        <w:rPr>
          <w:color w:val="auto"/>
          <w:highlight w:val="none"/>
        </w:rPr>
        <w:instrText xml:space="preserve"> PAGEREF _Toc32718 \h </w:instrText>
      </w:r>
      <w:r>
        <w:rPr>
          <w:color w:val="auto"/>
          <w:highlight w:val="none"/>
        </w:rPr>
        <w:fldChar w:fldCharType="separate"/>
      </w:r>
      <w:r>
        <w:rPr>
          <w:color w:val="auto"/>
          <w:highlight w:val="none"/>
        </w:rPr>
        <w:t>51</w:t>
      </w:r>
      <w:r>
        <w:rPr>
          <w:color w:val="auto"/>
          <w:highlight w:val="none"/>
        </w:rPr>
        <w:fldChar w:fldCharType="end"/>
      </w:r>
      <w:r>
        <w:rPr>
          <w:rFonts w:eastAsiaTheme="minorEastAsia"/>
          <w:bCs/>
          <w:color w:val="auto"/>
          <w:szCs w:val="21"/>
          <w:highlight w:val="none"/>
        </w:rPr>
        <w:fldChar w:fldCharType="end"/>
      </w:r>
    </w:p>
    <w:p w14:paraId="0274574E">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_Toc14779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十六、基金财产的估值和会计核算</w:t>
      </w:r>
      <w:r>
        <w:rPr>
          <w:color w:val="auto"/>
          <w:highlight w:val="none"/>
        </w:rPr>
        <w:tab/>
      </w:r>
      <w:r>
        <w:rPr>
          <w:color w:val="auto"/>
          <w:highlight w:val="none"/>
        </w:rPr>
        <w:fldChar w:fldCharType="begin"/>
      </w:r>
      <w:r>
        <w:rPr>
          <w:color w:val="auto"/>
          <w:highlight w:val="none"/>
        </w:rPr>
        <w:instrText xml:space="preserve"> PAGEREF _Toc14779 \h </w:instrText>
      </w:r>
      <w:r>
        <w:rPr>
          <w:color w:val="auto"/>
          <w:highlight w:val="none"/>
        </w:rPr>
        <w:fldChar w:fldCharType="separate"/>
      </w:r>
      <w:r>
        <w:rPr>
          <w:color w:val="auto"/>
          <w:highlight w:val="none"/>
        </w:rPr>
        <w:t>54</w:t>
      </w:r>
      <w:r>
        <w:rPr>
          <w:color w:val="auto"/>
          <w:highlight w:val="none"/>
        </w:rPr>
        <w:fldChar w:fldCharType="end"/>
      </w:r>
      <w:r>
        <w:rPr>
          <w:rFonts w:eastAsiaTheme="minorEastAsia"/>
          <w:bCs/>
          <w:color w:val="auto"/>
          <w:szCs w:val="21"/>
          <w:highlight w:val="none"/>
        </w:rPr>
        <w:fldChar w:fldCharType="end"/>
      </w:r>
    </w:p>
    <w:p w14:paraId="28E325F5">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_Toc5965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十七、基金的费用与税收</w:t>
      </w:r>
      <w:r>
        <w:rPr>
          <w:color w:val="auto"/>
          <w:highlight w:val="none"/>
        </w:rPr>
        <w:tab/>
      </w:r>
      <w:r>
        <w:rPr>
          <w:color w:val="auto"/>
          <w:highlight w:val="none"/>
        </w:rPr>
        <w:fldChar w:fldCharType="begin"/>
      </w:r>
      <w:r>
        <w:rPr>
          <w:color w:val="auto"/>
          <w:highlight w:val="none"/>
        </w:rPr>
        <w:instrText xml:space="preserve"> PAGEREF _Toc5965 \h </w:instrText>
      </w:r>
      <w:r>
        <w:rPr>
          <w:color w:val="auto"/>
          <w:highlight w:val="none"/>
        </w:rPr>
        <w:fldChar w:fldCharType="separate"/>
      </w:r>
      <w:r>
        <w:rPr>
          <w:color w:val="auto"/>
          <w:highlight w:val="none"/>
        </w:rPr>
        <w:t>63</w:t>
      </w:r>
      <w:r>
        <w:rPr>
          <w:color w:val="auto"/>
          <w:highlight w:val="none"/>
        </w:rPr>
        <w:fldChar w:fldCharType="end"/>
      </w:r>
      <w:r>
        <w:rPr>
          <w:rFonts w:eastAsiaTheme="minorEastAsia"/>
          <w:bCs/>
          <w:color w:val="auto"/>
          <w:szCs w:val="21"/>
          <w:highlight w:val="none"/>
        </w:rPr>
        <w:fldChar w:fldCharType="end"/>
      </w:r>
    </w:p>
    <w:p w14:paraId="1D86F51C">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_Toc825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十八、基金的收益分配</w:t>
      </w:r>
      <w:r>
        <w:rPr>
          <w:color w:val="auto"/>
          <w:highlight w:val="none"/>
        </w:rPr>
        <w:tab/>
      </w:r>
      <w:r>
        <w:rPr>
          <w:color w:val="auto"/>
          <w:highlight w:val="none"/>
        </w:rPr>
        <w:fldChar w:fldCharType="begin"/>
      </w:r>
      <w:r>
        <w:rPr>
          <w:color w:val="auto"/>
          <w:highlight w:val="none"/>
        </w:rPr>
        <w:instrText xml:space="preserve"> PAGEREF _Toc825 \h </w:instrText>
      </w:r>
      <w:r>
        <w:rPr>
          <w:color w:val="auto"/>
          <w:highlight w:val="none"/>
        </w:rPr>
        <w:fldChar w:fldCharType="separate"/>
      </w:r>
      <w:r>
        <w:rPr>
          <w:color w:val="auto"/>
          <w:highlight w:val="none"/>
        </w:rPr>
        <w:t>69</w:t>
      </w:r>
      <w:r>
        <w:rPr>
          <w:color w:val="auto"/>
          <w:highlight w:val="none"/>
        </w:rPr>
        <w:fldChar w:fldCharType="end"/>
      </w:r>
      <w:r>
        <w:rPr>
          <w:rFonts w:eastAsiaTheme="minorEastAsia"/>
          <w:bCs/>
          <w:color w:val="auto"/>
          <w:szCs w:val="21"/>
          <w:highlight w:val="none"/>
        </w:rPr>
        <w:fldChar w:fldCharType="end"/>
      </w:r>
    </w:p>
    <w:p w14:paraId="5353E2CA">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_Toc32125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十九、基金的信息披露与报告</w:t>
      </w:r>
      <w:r>
        <w:rPr>
          <w:color w:val="auto"/>
          <w:highlight w:val="none"/>
        </w:rPr>
        <w:tab/>
      </w:r>
      <w:r>
        <w:rPr>
          <w:color w:val="auto"/>
          <w:highlight w:val="none"/>
        </w:rPr>
        <w:fldChar w:fldCharType="begin"/>
      </w:r>
      <w:r>
        <w:rPr>
          <w:color w:val="auto"/>
          <w:highlight w:val="none"/>
        </w:rPr>
        <w:instrText xml:space="preserve"> PAGEREF _Toc32125 \h </w:instrText>
      </w:r>
      <w:r>
        <w:rPr>
          <w:color w:val="auto"/>
          <w:highlight w:val="none"/>
        </w:rPr>
        <w:fldChar w:fldCharType="separate"/>
      </w:r>
      <w:r>
        <w:rPr>
          <w:color w:val="auto"/>
          <w:highlight w:val="none"/>
        </w:rPr>
        <w:t>70</w:t>
      </w:r>
      <w:r>
        <w:rPr>
          <w:color w:val="auto"/>
          <w:highlight w:val="none"/>
        </w:rPr>
        <w:fldChar w:fldCharType="end"/>
      </w:r>
      <w:r>
        <w:rPr>
          <w:rFonts w:eastAsiaTheme="minorEastAsia"/>
          <w:bCs/>
          <w:color w:val="auto"/>
          <w:szCs w:val="21"/>
          <w:highlight w:val="none"/>
        </w:rPr>
        <w:fldChar w:fldCharType="end"/>
      </w:r>
    </w:p>
    <w:p w14:paraId="65B094B3">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_Toc12486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二十、风险揭示</w:t>
      </w:r>
      <w:r>
        <w:rPr>
          <w:color w:val="auto"/>
          <w:highlight w:val="none"/>
        </w:rPr>
        <w:tab/>
      </w:r>
      <w:r>
        <w:rPr>
          <w:color w:val="auto"/>
          <w:highlight w:val="none"/>
        </w:rPr>
        <w:fldChar w:fldCharType="begin"/>
      </w:r>
      <w:r>
        <w:rPr>
          <w:color w:val="auto"/>
          <w:highlight w:val="none"/>
        </w:rPr>
        <w:instrText xml:space="preserve"> PAGEREF _Toc12486 \h </w:instrText>
      </w:r>
      <w:r>
        <w:rPr>
          <w:color w:val="auto"/>
          <w:highlight w:val="none"/>
        </w:rPr>
        <w:fldChar w:fldCharType="separate"/>
      </w:r>
      <w:r>
        <w:rPr>
          <w:color w:val="auto"/>
          <w:highlight w:val="none"/>
        </w:rPr>
        <w:t>74</w:t>
      </w:r>
      <w:r>
        <w:rPr>
          <w:color w:val="auto"/>
          <w:highlight w:val="none"/>
        </w:rPr>
        <w:fldChar w:fldCharType="end"/>
      </w:r>
      <w:r>
        <w:rPr>
          <w:rFonts w:eastAsiaTheme="minorEastAsia"/>
          <w:bCs/>
          <w:color w:val="auto"/>
          <w:szCs w:val="21"/>
          <w:highlight w:val="none"/>
        </w:rPr>
        <w:fldChar w:fldCharType="end"/>
      </w:r>
    </w:p>
    <w:p w14:paraId="344006FB">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_Toc23584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二十一、基金份额的非交易过户和冻结、解冻</w:t>
      </w:r>
      <w:r>
        <w:rPr>
          <w:color w:val="auto"/>
          <w:highlight w:val="none"/>
        </w:rPr>
        <w:tab/>
      </w:r>
      <w:r>
        <w:rPr>
          <w:color w:val="auto"/>
          <w:highlight w:val="none"/>
        </w:rPr>
        <w:fldChar w:fldCharType="begin"/>
      </w:r>
      <w:r>
        <w:rPr>
          <w:color w:val="auto"/>
          <w:highlight w:val="none"/>
        </w:rPr>
        <w:instrText xml:space="preserve"> PAGEREF _Toc23584 \h </w:instrText>
      </w:r>
      <w:r>
        <w:rPr>
          <w:color w:val="auto"/>
          <w:highlight w:val="none"/>
        </w:rPr>
        <w:fldChar w:fldCharType="separate"/>
      </w:r>
      <w:r>
        <w:rPr>
          <w:color w:val="auto"/>
          <w:highlight w:val="none"/>
        </w:rPr>
        <w:t>91</w:t>
      </w:r>
      <w:r>
        <w:rPr>
          <w:color w:val="auto"/>
          <w:highlight w:val="none"/>
        </w:rPr>
        <w:fldChar w:fldCharType="end"/>
      </w:r>
      <w:r>
        <w:rPr>
          <w:rFonts w:eastAsiaTheme="minorEastAsia"/>
          <w:bCs/>
          <w:color w:val="auto"/>
          <w:szCs w:val="21"/>
          <w:highlight w:val="none"/>
        </w:rPr>
        <w:fldChar w:fldCharType="end"/>
      </w:r>
    </w:p>
    <w:p w14:paraId="42C02DC0">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_Toc18470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二十二、基金合同的成立、生效及签署</w:t>
      </w:r>
      <w:r>
        <w:rPr>
          <w:color w:val="auto"/>
          <w:highlight w:val="none"/>
        </w:rPr>
        <w:tab/>
      </w:r>
      <w:r>
        <w:rPr>
          <w:color w:val="auto"/>
          <w:highlight w:val="none"/>
        </w:rPr>
        <w:fldChar w:fldCharType="begin"/>
      </w:r>
      <w:r>
        <w:rPr>
          <w:color w:val="auto"/>
          <w:highlight w:val="none"/>
        </w:rPr>
        <w:instrText xml:space="preserve"> PAGEREF _Toc18470 \h </w:instrText>
      </w:r>
      <w:r>
        <w:rPr>
          <w:color w:val="auto"/>
          <w:highlight w:val="none"/>
        </w:rPr>
        <w:fldChar w:fldCharType="separate"/>
      </w:r>
      <w:r>
        <w:rPr>
          <w:color w:val="auto"/>
          <w:highlight w:val="none"/>
        </w:rPr>
        <w:t>91</w:t>
      </w:r>
      <w:r>
        <w:rPr>
          <w:color w:val="auto"/>
          <w:highlight w:val="none"/>
        </w:rPr>
        <w:fldChar w:fldCharType="end"/>
      </w:r>
      <w:r>
        <w:rPr>
          <w:rFonts w:eastAsiaTheme="minorEastAsia"/>
          <w:bCs/>
          <w:color w:val="auto"/>
          <w:szCs w:val="21"/>
          <w:highlight w:val="none"/>
        </w:rPr>
        <w:fldChar w:fldCharType="end"/>
      </w:r>
    </w:p>
    <w:p w14:paraId="12F69C51">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_Toc16580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二十三、基金合同的效力</w:t>
      </w:r>
      <w:r>
        <w:rPr>
          <w:color w:val="auto"/>
          <w:highlight w:val="none"/>
        </w:rPr>
        <w:tab/>
      </w:r>
      <w:r>
        <w:rPr>
          <w:color w:val="auto"/>
          <w:highlight w:val="none"/>
        </w:rPr>
        <w:fldChar w:fldCharType="begin"/>
      </w:r>
      <w:r>
        <w:rPr>
          <w:color w:val="auto"/>
          <w:highlight w:val="none"/>
        </w:rPr>
        <w:instrText xml:space="preserve"> PAGEREF _Toc16580 \h </w:instrText>
      </w:r>
      <w:r>
        <w:rPr>
          <w:color w:val="auto"/>
          <w:highlight w:val="none"/>
        </w:rPr>
        <w:fldChar w:fldCharType="separate"/>
      </w:r>
      <w:r>
        <w:rPr>
          <w:color w:val="auto"/>
          <w:highlight w:val="none"/>
        </w:rPr>
        <w:t>92</w:t>
      </w:r>
      <w:r>
        <w:rPr>
          <w:color w:val="auto"/>
          <w:highlight w:val="none"/>
        </w:rPr>
        <w:fldChar w:fldCharType="end"/>
      </w:r>
      <w:r>
        <w:rPr>
          <w:rFonts w:eastAsiaTheme="minorEastAsia"/>
          <w:bCs/>
          <w:color w:val="auto"/>
          <w:szCs w:val="21"/>
          <w:highlight w:val="none"/>
        </w:rPr>
        <w:fldChar w:fldCharType="end"/>
      </w:r>
    </w:p>
    <w:p w14:paraId="1781B39A">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_Toc19464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二十四、基金合同的变更、解除与终止</w:t>
      </w:r>
      <w:r>
        <w:rPr>
          <w:color w:val="auto"/>
          <w:highlight w:val="none"/>
        </w:rPr>
        <w:tab/>
      </w:r>
      <w:r>
        <w:rPr>
          <w:color w:val="auto"/>
          <w:highlight w:val="none"/>
        </w:rPr>
        <w:fldChar w:fldCharType="begin"/>
      </w:r>
      <w:r>
        <w:rPr>
          <w:color w:val="auto"/>
          <w:highlight w:val="none"/>
        </w:rPr>
        <w:instrText xml:space="preserve"> PAGEREF _Toc19464 \h </w:instrText>
      </w:r>
      <w:r>
        <w:rPr>
          <w:color w:val="auto"/>
          <w:highlight w:val="none"/>
        </w:rPr>
        <w:fldChar w:fldCharType="separate"/>
      </w:r>
      <w:r>
        <w:rPr>
          <w:color w:val="auto"/>
          <w:highlight w:val="none"/>
        </w:rPr>
        <w:t>93</w:t>
      </w:r>
      <w:r>
        <w:rPr>
          <w:color w:val="auto"/>
          <w:highlight w:val="none"/>
        </w:rPr>
        <w:fldChar w:fldCharType="end"/>
      </w:r>
      <w:r>
        <w:rPr>
          <w:rFonts w:eastAsiaTheme="minorEastAsia"/>
          <w:bCs/>
          <w:color w:val="auto"/>
          <w:szCs w:val="21"/>
          <w:highlight w:val="none"/>
        </w:rPr>
        <w:fldChar w:fldCharType="end"/>
      </w:r>
    </w:p>
    <w:p w14:paraId="22D7BF3A">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_Toc2389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二十五、基金的清算</w:t>
      </w:r>
      <w:r>
        <w:rPr>
          <w:color w:val="auto"/>
          <w:highlight w:val="none"/>
        </w:rPr>
        <w:tab/>
      </w:r>
      <w:r>
        <w:rPr>
          <w:color w:val="auto"/>
          <w:highlight w:val="none"/>
        </w:rPr>
        <w:fldChar w:fldCharType="begin"/>
      </w:r>
      <w:r>
        <w:rPr>
          <w:color w:val="auto"/>
          <w:highlight w:val="none"/>
        </w:rPr>
        <w:instrText xml:space="preserve"> PAGEREF _Toc2389 \h </w:instrText>
      </w:r>
      <w:r>
        <w:rPr>
          <w:color w:val="auto"/>
          <w:highlight w:val="none"/>
        </w:rPr>
        <w:fldChar w:fldCharType="separate"/>
      </w:r>
      <w:r>
        <w:rPr>
          <w:color w:val="auto"/>
          <w:highlight w:val="none"/>
        </w:rPr>
        <w:t>95</w:t>
      </w:r>
      <w:r>
        <w:rPr>
          <w:color w:val="auto"/>
          <w:highlight w:val="none"/>
        </w:rPr>
        <w:fldChar w:fldCharType="end"/>
      </w:r>
      <w:r>
        <w:rPr>
          <w:rFonts w:eastAsiaTheme="minorEastAsia"/>
          <w:bCs/>
          <w:color w:val="auto"/>
          <w:szCs w:val="21"/>
          <w:highlight w:val="none"/>
        </w:rPr>
        <w:fldChar w:fldCharType="end"/>
      </w:r>
    </w:p>
    <w:p w14:paraId="5C3E5F45">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_Toc14546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二十六、违约责任</w:t>
      </w:r>
      <w:r>
        <w:rPr>
          <w:color w:val="auto"/>
          <w:highlight w:val="none"/>
        </w:rPr>
        <w:tab/>
      </w:r>
      <w:r>
        <w:rPr>
          <w:color w:val="auto"/>
          <w:highlight w:val="none"/>
        </w:rPr>
        <w:fldChar w:fldCharType="begin"/>
      </w:r>
      <w:r>
        <w:rPr>
          <w:color w:val="auto"/>
          <w:highlight w:val="none"/>
        </w:rPr>
        <w:instrText xml:space="preserve"> PAGEREF _Toc14546 \h </w:instrText>
      </w:r>
      <w:r>
        <w:rPr>
          <w:color w:val="auto"/>
          <w:highlight w:val="none"/>
        </w:rPr>
        <w:fldChar w:fldCharType="separate"/>
      </w:r>
      <w:r>
        <w:rPr>
          <w:color w:val="auto"/>
          <w:highlight w:val="none"/>
        </w:rPr>
        <w:t>97</w:t>
      </w:r>
      <w:r>
        <w:rPr>
          <w:color w:val="auto"/>
          <w:highlight w:val="none"/>
        </w:rPr>
        <w:fldChar w:fldCharType="end"/>
      </w:r>
      <w:r>
        <w:rPr>
          <w:rFonts w:eastAsiaTheme="minorEastAsia"/>
          <w:bCs/>
          <w:color w:val="auto"/>
          <w:szCs w:val="21"/>
          <w:highlight w:val="none"/>
        </w:rPr>
        <w:fldChar w:fldCharType="end"/>
      </w:r>
    </w:p>
    <w:p w14:paraId="46FAB464">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_Toc9758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二十七、通知与送达</w:t>
      </w:r>
      <w:r>
        <w:rPr>
          <w:color w:val="auto"/>
          <w:highlight w:val="none"/>
        </w:rPr>
        <w:tab/>
      </w:r>
      <w:r>
        <w:rPr>
          <w:color w:val="auto"/>
          <w:highlight w:val="none"/>
        </w:rPr>
        <w:fldChar w:fldCharType="begin"/>
      </w:r>
      <w:r>
        <w:rPr>
          <w:color w:val="auto"/>
          <w:highlight w:val="none"/>
        </w:rPr>
        <w:instrText xml:space="preserve"> PAGEREF _Toc9758 \h </w:instrText>
      </w:r>
      <w:r>
        <w:rPr>
          <w:color w:val="auto"/>
          <w:highlight w:val="none"/>
        </w:rPr>
        <w:fldChar w:fldCharType="separate"/>
      </w:r>
      <w:r>
        <w:rPr>
          <w:color w:val="auto"/>
          <w:highlight w:val="none"/>
        </w:rPr>
        <w:t>97</w:t>
      </w:r>
      <w:r>
        <w:rPr>
          <w:color w:val="auto"/>
          <w:highlight w:val="none"/>
        </w:rPr>
        <w:fldChar w:fldCharType="end"/>
      </w:r>
      <w:r>
        <w:rPr>
          <w:rFonts w:eastAsiaTheme="minorEastAsia"/>
          <w:bCs/>
          <w:color w:val="auto"/>
          <w:szCs w:val="21"/>
          <w:highlight w:val="none"/>
        </w:rPr>
        <w:fldChar w:fldCharType="end"/>
      </w:r>
    </w:p>
    <w:p w14:paraId="330D5585">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_Toc5405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二十八、法律适用和争议的处理</w:t>
      </w:r>
      <w:r>
        <w:rPr>
          <w:color w:val="auto"/>
          <w:highlight w:val="none"/>
        </w:rPr>
        <w:tab/>
      </w:r>
      <w:r>
        <w:rPr>
          <w:color w:val="auto"/>
          <w:highlight w:val="none"/>
        </w:rPr>
        <w:fldChar w:fldCharType="begin"/>
      </w:r>
      <w:r>
        <w:rPr>
          <w:color w:val="auto"/>
          <w:highlight w:val="none"/>
        </w:rPr>
        <w:instrText xml:space="preserve"> PAGEREF _Toc5405 \h </w:instrText>
      </w:r>
      <w:r>
        <w:rPr>
          <w:color w:val="auto"/>
          <w:highlight w:val="none"/>
        </w:rPr>
        <w:fldChar w:fldCharType="separate"/>
      </w:r>
      <w:r>
        <w:rPr>
          <w:color w:val="auto"/>
          <w:highlight w:val="none"/>
        </w:rPr>
        <w:t>98</w:t>
      </w:r>
      <w:r>
        <w:rPr>
          <w:color w:val="auto"/>
          <w:highlight w:val="none"/>
        </w:rPr>
        <w:fldChar w:fldCharType="end"/>
      </w:r>
      <w:r>
        <w:rPr>
          <w:rFonts w:eastAsiaTheme="minorEastAsia"/>
          <w:bCs/>
          <w:color w:val="auto"/>
          <w:szCs w:val="21"/>
          <w:highlight w:val="none"/>
        </w:rPr>
        <w:fldChar w:fldCharType="end"/>
      </w:r>
    </w:p>
    <w:p w14:paraId="7752B569">
      <w:pPr>
        <w:pStyle w:val="6"/>
        <w:tabs>
          <w:tab w:val="right" w:leader="dot" w:pos="8306"/>
          <w:tab w:val="clear" w:pos="8296"/>
        </w:tabs>
        <w:rPr>
          <w:color w:val="auto"/>
          <w:highlight w:val="none"/>
        </w:rPr>
      </w:pPr>
      <w:r>
        <w:rPr>
          <w:rFonts w:eastAsiaTheme="minorEastAsia"/>
          <w:bCs/>
          <w:color w:val="auto"/>
          <w:szCs w:val="21"/>
          <w:highlight w:val="none"/>
        </w:rPr>
        <w:fldChar w:fldCharType="begin"/>
      </w:r>
      <w:r>
        <w:rPr>
          <w:rFonts w:eastAsiaTheme="minorEastAsia"/>
          <w:bCs/>
          <w:color w:val="auto"/>
          <w:szCs w:val="21"/>
          <w:highlight w:val="none"/>
        </w:rPr>
        <w:instrText xml:space="preserve"> HYPERLINK \l _Toc25836 </w:instrText>
      </w:r>
      <w:r>
        <w:rPr>
          <w:rFonts w:eastAsiaTheme="minorEastAsia"/>
          <w:bCs/>
          <w:color w:val="auto"/>
          <w:szCs w:val="21"/>
          <w:highlight w:val="none"/>
        </w:rPr>
        <w:fldChar w:fldCharType="separate"/>
      </w:r>
      <w:r>
        <w:rPr>
          <w:rFonts w:hint="eastAsia" w:asciiTheme="minorEastAsia" w:hAnsiTheme="minorEastAsia" w:eastAsiaTheme="minorEastAsia"/>
          <w:color w:val="auto"/>
          <w:szCs w:val="28"/>
          <w:highlight w:val="none"/>
        </w:rPr>
        <w:t>二十九、其他事项</w:t>
      </w:r>
      <w:r>
        <w:rPr>
          <w:color w:val="auto"/>
          <w:highlight w:val="none"/>
        </w:rPr>
        <w:tab/>
      </w:r>
      <w:r>
        <w:rPr>
          <w:color w:val="auto"/>
          <w:highlight w:val="none"/>
        </w:rPr>
        <w:fldChar w:fldCharType="begin"/>
      </w:r>
      <w:r>
        <w:rPr>
          <w:color w:val="auto"/>
          <w:highlight w:val="none"/>
        </w:rPr>
        <w:instrText xml:space="preserve"> PAGEREF _Toc25836 \h </w:instrText>
      </w:r>
      <w:r>
        <w:rPr>
          <w:color w:val="auto"/>
          <w:highlight w:val="none"/>
        </w:rPr>
        <w:fldChar w:fldCharType="separate"/>
      </w:r>
      <w:r>
        <w:rPr>
          <w:color w:val="auto"/>
          <w:highlight w:val="none"/>
        </w:rPr>
        <w:t>98</w:t>
      </w:r>
      <w:r>
        <w:rPr>
          <w:color w:val="auto"/>
          <w:highlight w:val="none"/>
        </w:rPr>
        <w:fldChar w:fldCharType="end"/>
      </w:r>
      <w:r>
        <w:rPr>
          <w:rFonts w:eastAsiaTheme="minorEastAsia"/>
          <w:bCs/>
          <w:color w:val="auto"/>
          <w:szCs w:val="21"/>
          <w:highlight w:val="none"/>
        </w:rPr>
        <w:fldChar w:fldCharType="end"/>
      </w:r>
    </w:p>
    <w:p w14:paraId="282E66CC">
      <w:pPr>
        <w:adjustRightInd w:val="0"/>
        <w:snapToGrid w:val="0"/>
        <w:spacing w:before="31" w:beforeLines="10" w:after="31" w:afterLines="10" w:line="336" w:lineRule="auto"/>
        <w:rPr>
          <w:rFonts w:asciiTheme="minorEastAsia" w:hAnsiTheme="minorEastAsia" w:eastAsiaTheme="minorEastAsia"/>
          <w:color w:val="auto"/>
          <w:szCs w:val="21"/>
          <w:highlight w:val="none"/>
        </w:rPr>
      </w:pPr>
      <w:r>
        <w:rPr>
          <w:rFonts w:eastAsiaTheme="minorEastAsia"/>
          <w:bCs/>
          <w:color w:val="auto"/>
          <w:szCs w:val="21"/>
          <w:highlight w:val="none"/>
        </w:rPr>
        <w:fldChar w:fldCharType="end"/>
      </w:r>
      <w:r>
        <w:rPr>
          <w:rFonts w:asciiTheme="minorEastAsia" w:hAnsiTheme="minorEastAsia" w:eastAsiaTheme="minorEastAsia"/>
          <w:bCs/>
          <w:color w:val="auto"/>
          <w:szCs w:val="21"/>
          <w:highlight w:val="none"/>
        </w:rPr>
        <w:br w:type="page"/>
      </w:r>
    </w:p>
    <w:p w14:paraId="029D43BF">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5" w:name="_Toc110605402"/>
      <w:bookmarkStart w:id="6" w:name="_Toc25769"/>
      <w:r>
        <w:rPr>
          <w:rFonts w:hint="eastAsia" w:asciiTheme="minorEastAsia" w:hAnsiTheme="minorEastAsia" w:eastAsiaTheme="minorEastAsia"/>
          <w:b/>
          <w:color w:val="auto"/>
          <w:sz w:val="28"/>
          <w:szCs w:val="28"/>
          <w:highlight w:val="none"/>
        </w:rPr>
        <w:t>一、前言</w:t>
      </w:r>
      <w:bookmarkEnd w:id="3"/>
      <w:bookmarkEnd w:id="4"/>
      <w:bookmarkEnd w:id="5"/>
      <w:bookmarkEnd w:id="6"/>
    </w:p>
    <w:p w14:paraId="1E0B35F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订立本合同的目的、依据和原则：</w:t>
      </w:r>
    </w:p>
    <w:p w14:paraId="5826A47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1、订立本合同的目的是明确本合同当事人的权利义务、规范本基金的运作、保护基金份额持有人的合法权益。</w:t>
      </w:r>
    </w:p>
    <w:p w14:paraId="1F89BA6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2、订立本合同的依据是《中华人民共和国民法典》《中华人民共和国证券投资基金法》（以下简称《基金法》）</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私募投资基金监督管理条例</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《私募投资基金监督管理暂行办法》（以下简称《私募办法》）《私募投资基金登记备案办法》《私募投资基金募集行为管理办法》《私募投资基金信息披露管理办法》</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私募投资基金备案指引第1号——私募证券投资基金</w:t>
      </w:r>
      <w:r>
        <w:rPr>
          <w:rFonts w:hint="eastAsia" w:asciiTheme="minorEastAsia" w:hAnsiTheme="minorEastAsia" w:eastAsiaTheme="minorEastAsia"/>
          <w:color w:val="auto"/>
          <w:szCs w:val="21"/>
          <w:highlight w:val="none"/>
          <w:lang w:eastAsia="zh-CN"/>
        </w:rPr>
        <w:t>》《私募证券投资基金运作指引》</w:t>
      </w:r>
      <w:r>
        <w:rPr>
          <w:rFonts w:hint="eastAsia" w:asciiTheme="minorEastAsia" w:hAnsiTheme="minorEastAsia" w:eastAsiaTheme="minorEastAsia"/>
          <w:color w:val="auto"/>
          <w:szCs w:val="21"/>
          <w:highlight w:val="none"/>
        </w:rPr>
        <w:t>和《私募投资基金合同指引1号》（契约型私募基金合同内容与格式指引）</w:t>
      </w:r>
      <w:r>
        <w:rPr>
          <w:rFonts w:hint="eastAsia" w:asciiTheme="minorEastAsia" w:hAnsiTheme="minorEastAsia" w:eastAsiaTheme="minorEastAsia"/>
          <w:color w:val="auto"/>
          <w:szCs w:val="21"/>
          <w:highlight w:val="none"/>
          <w:lang w:val="en-US" w:eastAsia="zh-CN"/>
        </w:rPr>
        <w:t>等</w:t>
      </w:r>
      <w:r>
        <w:rPr>
          <w:rFonts w:hint="eastAsia" w:asciiTheme="minorEastAsia" w:hAnsiTheme="minorEastAsia" w:eastAsiaTheme="minorEastAsia"/>
          <w:color w:val="auto"/>
          <w:szCs w:val="21"/>
          <w:highlight w:val="none"/>
        </w:rPr>
        <w:t>。若因前述规范性文件制定或修改导致本合同的内容与届时有效的法律法规的规定存在冲突的，应当以届时有效的规范性文件的规定为准，各方当事人应及时对本合同进行相应变更和调整。</w:t>
      </w:r>
    </w:p>
    <w:p w14:paraId="7B26C72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3、订立本合同的原则是平等自愿、诚实信用、充分保护基金份额持有人的合法权益。</w:t>
      </w:r>
    </w:p>
    <w:p w14:paraId="74FE3DC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是约定本合同当事人之间基本权利义务的法律文件，其他与本基金相关的涉及本合同当事人之间权利义务关系的任何文件或表述，均以本合同为准。本合同的当事人包括基金管理人、基金托管人和基金份额持有人。基金合同的当事人按照《基金法》、本合同及其他有关法律法规规定享有权利、承担义务。</w:t>
      </w:r>
    </w:p>
    <w:p w14:paraId="6B44F55C">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7" w:name="_Toc7742"/>
      <w:bookmarkStart w:id="8" w:name="_Toc110605403"/>
      <w:bookmarkStart w:id="9" w:name="_Toc194741905"/>
      <w:bookmarkStart w:id="10" w:name="_Toc459392404"/>
      <w:r>
        <w:rPr>
          <w:rFonts w:hint="eastAsia" w:asciiTheme="minorEastAsia" w:hAnsiTheme="minorEastAsia" w:eastAsiaTheme="minorEastAsia"/>
          <w:b/>
          <w:color w:val="auto"/>
          <w:sz w:val="28"/>
          <w:szCs w:val="28"/>
          <w:highlight w:val="none"/>
        </w:rPr>
        <w:t>二、释义</w:t>
      </w:r>
      <w:bookmarkEnd w:id="7"/>
      <w:bookmarkEnd w:id="8"/>
      <w:bookmarkEnd w:id="9"/>
      <w:bookmarkEnd w:id="10"/>
    </w:p>
    <w:p w14:paraId="2D0BD52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在本合同中，除上下文另有规定外，下列用语应当具有如下含义：</w:t>
      </w:r>
    </w:p>
    <w:p w14:paraId="4305087F">
      <w:pPr>
        <w:numPr>
          <w:ilvl w:val="255"/>
          <w:numId w:val="0"/>
        </w:numPr>
        <w:adjustRightInd w:val="0"/>
        <w:snapToGrid w:val="0"/>
        <w:spacing w:before="93" w:beforeLines="30" w:after="93" w:afterLines="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szCs w:val="21"/>
          <w:highlight w:val="none"/>
        </w:rPr>
        <w:t>1、本合同：</w:t>
      </w:r>
      <w:r>
        <w:rPr>
          <w:rFonts w:hint="eastAsia" w:asciiTheme="minorEastAsia" w:hAnsiTheme="minorEastAsia" w:eastAsiaTheme="minorEastAsia"/>
          <w:color w:val="auto"/>
          <w:kern w:val="0"/>
          <w:szCs w:val="21"/>
          <w:highlight w:val="none"/>
        </w:rPr>
        <w:t>《</w:t>
      </w:r>
      <w:r>
        <w:rPr>
          <w:rFonts w:hint="eastAsia" w:asciiTheme="minorEastAsia" w:hAnsiTheme="minorEastAsia" w:eastAsiaTheme="minorEastAsia"/>
          <w:color w:val="auto"/>
          <w:szCs w:val="21"/>
          <w:highlight w:val="none"/>
          <w:lang w:eastAsia="zh-CN"/>
        </w:rPr>
        <w:t>石云福禄1000指数增强一号私募证券投资基金</w:t>
      </w:r>
      <w:r>
        <w:rPr>
          <w:rFonts w:hint="eastAsia" w:asciiTheme="minorEastAsia" w:hAnsiTheme="minorEastAsia" w:eastAsiaTheme="minorEastAsia"/>
          <w:color w:val="auto"/>
          <w:szCs w:val="21"/>
          <w:highlight w:val="none"/>
        </w:rPr>
        <w:t>基金合同</w:t>
      </w:r>
      <w:r>
        <w:rPr>
          <w:rFonts w:hint="eastAsia" w:asciiTheme="minorEastAsia" w:hAnsiTheme="minorEastAsia" w:eastAsiaTheme="minorEastAsia"/>
          <w:color w:val="auto"/>
          <w:kern w:val="0"/>
          <w:szCs w:val="21"/>
          <w:highlight w:val="none"/>
        </w:rPr>
        <w:t>》及对本合同的任何有效修订和补充。</w:t>
      </w:r>
    </w:p>
    <w:p w14:paraId="7EADCCF2">
      <w:pPr>
        <w:numPr>
          <w:ilvl w:val="255"/>
          <w:numId w:val="0"/>
        </w:num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招募说明书（如有）：</w:t>
      </w:r>
      <w:r>
        <w:rPr>
          <w:rFonts w:hint="eastAsia" w:asciiTheme="minorEastAsia" w:hAnsiTheme="minorEastAsia" w:eastAsiaTheme="minorEastAsia"/>
          <w:color w:val="auto"/>
          <w:szCs w:val="21"/>
          <w:highlight w:val="none"/>
        </w:rPr>
        <w:t>指基金管理人按照国家有关法律、法规制定的并向基金投资者发售基金时，为其提供的、对基金情况进行说明的文件。</w:t>
      </w:r>
    </w:p>
    <w:p w14:paraId="774DFF9B">
      <w:pPr>
        <w:numPr>
          <w:ilvl w:val="255"/>
          <w:numId w:val="0"/>
        </w:numPr>
        <w:adjustRightInd w:val="0"/>
        <w:snapToGrid w:val="0"/>
        <w:spacing w:before="93" w:beforeLines="30" w:after="93" w:afterLines="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3、法律法规：指中国现行有效并公布实施的法律、行政法规、规范性文件、司法解释、行政规章以及其他对基金合同当事人有约束力的决定、决议、通知等。</w:t>
      </w:r>
    </w:p>
    <w:p w14:paraId="7B90ACB1">
      <w:pPr>
        <w:numPr>
          <w:ilvl w:val="255"/>
          <w:numId w:val="0"/>
        </w:num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4、本基金：</w:t>
      </w:r>
      <w:r>
        <w:rPr>
          <w:rFonts w:hint="eastAsia" w:asciiTheme="minorEastAsia" w:hAnsiTheme="minorEastAsia" w:eastAsiaTheme="minorEastAsia"/>
          <w:color w:val="auto"/>
          <w:szCs w:val="21"/>
          <w:highlight w:val="none"/>
          <w:lang w:eastAsia="zh-CN"/>
        </w:rPr>
        <w:t>石云福禄1000指数增强一号私募证券投资基金</w:t>
      </w:r>
      <w:r>
        <w:rPr>
          <w:rFonts w:hint="eastAsia" w:asciiTheme="minorEastAsia" w:hAnsiTheme="minorEastAsia" w:eastAsiaTheme="minorEastAsia"/>
          <w:color w:val="auto"/>
          <w:szCs w:val="21"/>
          <w:highlight w:val="none"/>
        </w:rPr>
        <w:t>。</w:t>
      </w:r>
    </w:p>
    <w:p w14:paraId="5388133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5、私募基金（简称“基金”）：指在中华人民共和国境内，以非公开方式向合格投资者募集资金设立的投资基金。</w:t>
      </w:r>
    </w:p>
    <w:p w14:paraId="0CCB6C1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6、私募基金投资者（简称“基金投资者”）：依法可以投资于私募基金的个人投资者、机构投资者以及法律法规或中国证监会允许购买私募基金的其他投资者的合称。</w:t>
      </w:r>
    </w:p>
    <w:p w14:paraId="2E2DDE0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7、私募基金管理人（简称“基金管理人”、“管理人”）：</w:t>
      </w:r>
      <w:r>
        <w:rPr>
          <w:rFonts w:hint="eastAsia" w:asciiTheme="minorEastAsia" w:hAnsiTheme="minorEastAsia" w:eastAsiaTheme="minorEastAsia"/>
          <w:color w:val="auto"/>
          <w:szCs w:val="21"/>
          <w:highlight w:val="none"/>
          <w:lang w:eastAsia="zh-CN"/>
        </w:rPr>
        <w:t>石云科技股份有限公司</w:t>
      </w:r>
      <w:r>
        <w:rPr>
          <w:rFonts w:hint="eastAsia" w:asciiTheme="minorEastAsia" w:hAnsiTheme="minorEastAsia" w:eastAsiaTheme="minorEastAsia"/>
          <w:color w:val="auto"/>
          <w:szCs w:val="21"/>
          <w:highlight w:val="none"/>
        </w:rPr>
        <w:t>。</w:t>
      </w:r>
    </w:p>
    <w:p w14:paraId="1BE6C548">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8、私募基金托管人（简称“基金托管人”、“托管人”）：</w:t>
      </w:r>
      <w:r>
        <w:rPr>
          <w:rFonts w:hint="eastAsia" w:asciiTheme="minorEastAsia" w:hAnsiTheme="minorEastAsia" w:eastAsiaTheme="minorEastAsia"/>
          <w:color w:val="auto"/>
          <w:szCs w:val="21"/>
          <w:highlight w:val="none"/>
          <w:lang w:eastAsia="zh-CN"/>
        </w:rPr>
        <w:t>招商证券股份有限公司</w:t>
      </w:r>
      <w:r>
        <w:rPr>
          <w:rFonts w:hint="eastAsia" w:asciiTheme="minorEastAsia" w:hAnsiTheme="minorEastAsia" w:eastAsiaTheme="minorEastAsia"/>
          <w:color w:val="auto"/>
          <w:szCs w:val="21"/>
          <w:highlight w:val="none"/>
        </w:rPr>
        <w:t>。</w:t>
      </w:r>
    </w:p>
    <w:p w14:paraId="5F9766B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9、私募</w:t>
      </w:r>
      <w:r>
        <w:rPr>
          <w:rFonts w:hint="eastAsia" w:asciiTheme="minorEastAsia" w:hAnsiTheme="minorEastAsia" w:eastAsiaTheme="minorEastAsia"/>
          <w:color w:val="auto"/>
          <w:kern w:val="0"/>
          <w:szCs w:val="21"/>
          <w:highlight w:val="none"/>
        </w:rPr>
        <w:t>基金份额持有人</w:t>
      </w:r>
      <w:r>
        <w:rPr>
          <w:rFonts w:hint="eastAsia" w:asciiTheme="minorEastAsia" w:hAnsiTheme="minorEastAsia" w:eastAsiaTheme="minorEastAsia"/>
          <w:color w:val="auto"/>
          <w:szCs w:val="21"/>
          <w:highlight w:val="none"/>
        </w:rPr>
        <w:t>（简称“基金份额持有人”）</w:t>
      </w:r>
      <w:r>
        <w:rPr>
          <w:rFonts w:hint="eastAsia" w:asciiTheme="minorEastAsia" w:hAnsiTheme="minorEastAsia" w:eastAsiaTheme="minorEastAsia"/>
          <w:color w:val="auto"/>
          <w:kern w:val="0"/>
          <w:szCs w:val="21"/>
          <w:highlight w:val="none"/>
        </w:rPr>
        <w:t>：</w:t>
      </w:r>
      <w:r>
        <w:rPr>
          <w:rFonts w:hint="eastAsia" w:asciiTheme="minorEastAsia" w:hAnsiTheme="minorEastAsia" w:eastAsiaTheme="minorEastAsia"/>
          <w:color w:val="auto"/>
          <w:szCs w:val="21"/>
          <w:highlight w:val="none"/>
        </w:rPr>
        <w:t>签署本合同，履行出资义务取得基金份额的基金投资者。</w:t>
      </w:r>
    </w:p>
    <w:p w14:paraId="1EB8D73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10、私募基金服务机构：接受私募基金管理人委托，根据与其签订的运营外包服务及募集账户监督服务协议及补充协议（如有）中约定的服务范围，为本基金提供份额登记、估值核算等服务的机构。</w:t>
      </w:r>
      <w:r>
        <w:rPr>
          <w:rFonts w:hint="eastAsia" w:ascii="宋体" w:hAnsi="宋体"/>
          <w:color w:val="auto"/>
          <w:szCs w:val="21"/>
          <w:highlight w:val="none"/>
        </w:rPr>
        <w:t>为免歧义，本合同所称私募基金服务机构不包括代销机构、投资顾问。</w:t>
      </w:r>
      <w:r>
        <w:rPr>
          <w:rFonts w:hint="eastAsia" w:asciiTheme="minorEastAsia" w:hAnsiTheme="minorEastAsia" w:eastAsiaTheme="minorEastAsia"/>
          <w:color w:val="auto"/>
          <w:szCs w:val="21"/>
          <w:highlight w:val="none"/>
        </w:rPr>
        <w:t>本基金的私募基金服务机构为兴业证券股份有限公司。</w:t>
      </w:r>
    </w:p>
    <w:p w14:paraId="16937DF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11、募集账户监督机构：接受基金管理人委托，根据与其签订的募集账户监督协议及补充协议（如有）中约定的服务范围，为本基金提供募集账户监督服务。本基金的募集账户监督机构为兴业证券股份有限公司。</w:t>
      </w:r>
      <w:r>
        <w:rPr>
          <w:rFonts w:hint="eastAsia" w:ascii="宋体" w:hAnsi="宋体"/>
          <w:color w:val="auto"/>
          <w:szCs w:val="21"/>
          <w:highlight w:val="none"/>
        </w:rPr>
        <w:t>为避免歧义，对于私募基金管理人采取直销、代销两种募集方式或仅采取代销募集方式的基金，本基金管理人直销模式下直销募集账户监督机构监督业务范围不包括代销机构行为的监督，代销机构涉及的募集资金划转安全保障职责按照代销相关法律法规及协议约定由相应主体承担责任。</w:t>
      </w:r>
    </w:p>
    <w:p w14:paraId="5676C10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12、中国证券投资基金业协会（简称“中国基金业协会”）：</w:t>
      </w:r>
      <w:r>
        <w:rPr>
          <w:rFonts w:cs="Arial" w:asciiTheme="minorEastAsia" w:hAnsiTheme="minorEastAsia" w:eastAsiaTheme="minorEastAsia"/>
          <w:color w:val="auto"/>
          <w:szCs w:val="21"/>
          <w:highlight w:val="none"/>
        </w:rPr>
        <w:t>基金行业相关机构自愿结成的全国性、行业性、非营利性社会组织</w:t>
      </w:r>
      <w:r>
        <w:rPr>
          <w:rFonts w:hint="eastAsia" w:cs="Arial" w:asciiTheme="minorEastAsia" w:hAnsiTheme="minorEastAsia" w:eastAsiaTheme="minorEastAsia"/>
          <w:color w:val="auto"/>
          <w:szCs w:val="21"/>
          <w:highlight w:val="none"/>
        </w:rPr>
        <w:t>。</w:t>
      </w:r>
    </w:p>
    <w:p w14:paraId="7BAD5EBF">
      <w:pPr>
        <w:adjustRightInd w:val="0"/>
        <w:snapToGrid w:val="0"/>
        <w:spacing w:before="93" w:beforeLines="30" w:after="93" w:afterLines="30" w:line="360" w:lineRule="auto"/>
        <w:ind w:firstLine="420"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color w:val="auto"/>
          <w:szCs w:val="21"/>
          <w:highlight w:val="none"/>
        </w:rPr>
        <w:t>13、工作日/交易日：上海证券交易所、深圳证券交易所、</w:t>
      </w:r>
      <w:r>
        <w:rPr>
          <w:rFonts w:hint="eastAsia" w:ascii="宋体" w:hAnsi="宋体"/>
          <w:color w:val="auto"/>
          <w:szCs w:val="21"/>
          <w:highlight w:val="none"/>
        </w:rPr>
        <w:t>北京证券交易所、</w:t>
      </w:r>
      <w:r>
        <w:rPr>
          <w:rFonts w:hint="eastAsia" w:asciiTheme="minorEastAsia" w:hAnsiTheme="minorEastAsia" w:eastAsiaTheme="minorEastAsia"/>
          <w:color w:val="auto"/>
          <w:szCs w:val="21"/>
          <w:highlight w:val="none"/>
        </w:rPr>
        <w:t>上海期货交易所、大连商品交易所、郑州商品交易所、中国金融期货交易所</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广州期货交易所</w:t>
      </w:r>
      <w:r>
        <w:rPr>
          <w:rFonts w:hint="eastAsia" w:asciiTheme="minorEastAsia" w:hAnsiTheme="minorEastAsia" w:eastAsiaTheme="minorEastAsia"/>
          <w:color w:val="auto"/>
          <w:szCs w:val="21"/>
          <w:highlight w:val="none"/>
        </w:rPr>
        <w:t>的共同正常交易日。</w:t>
      </w:r>
    </w:p>
    <w:p w14:paraId="176CE91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14、</w:t>
      </w:r>
      <w:r>
        <w:rPr>
          <w:rFonts w:hint="eastAsia" w:asciiTheme="minorEastAsia" w:hAnsiTheme="minorEastAsia" w:eastAsiaTheme="minorEastAsia"/>
          <w:color w:val="auto"/>
          <w:szCs w:val="21"/>
          <w:highlight w:val="none"/>
        </w:rPr>
        <w:t>开放日：基金管理人办理基金申购和/或赎回业务的工作日。</w:t>
      </w:r>
    </w:p>
    <w:p w14:paraId="2170C2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15、T日：本基金的开放日，包括临时开放日</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如有</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w:t>
      </w:r>
    </w:p>
    <w:p w14:paraId="156AC10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16、T+n日：T日后的第n个工作日，当n为负数时表示T日前的第n个工作日。</w:t>
      </w:r>
    </w:p>
    <w:p w14:paraId="203C056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17、基金财产：基金份额持有人拥有合法处分权、基金管理人管理并由基金托管人托管的作为本合同标的的财产。</w:t>
      </w:r>
    </w:p>
    <w:p w14:paraId="2D147F6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18、</w:t>
      </w:r>
      <w:r>
        <w:rPr>
          <w:rFonts w:hint="eastAsia" w:asciiTheme="minorEastAsia" w:hAnsiTheme="minorEastAsia" w:eastAsiaTheme="minorEastAsia"/>
          <w:color w:val="auto"/>
          <w:szCs w:val="21"/>
          <w:highlight w:val="none"/>
        </w:rPr>
        <w:t>募集结算资金专用账户（简称“募集账户”）：募集账户监督机构代基金管理人开立，用于归集本基金募集期间和存续期间的认购、申购和赎回资金等往来资金的专用账户。</w:t>
      </w:r>
    </w:p>
    <w:p w14:paraId="69E2299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19</w:t>
      </w:r>
      <w:r>
        <w:rPr>
          <w:rFonts w:hint="eastAsia" w:asciiTheme="minorEastAsia" w:hAnsiTheme="minorEastAsia" w:eastAsiaTheme="minorEastAsia"/>
          <w:color w:val="auto"/>
          <w:szCs w:val="21"/>
          <w:highlight w:val="none"/>
        </w:rPr>
        <w:t>、托管资金专门账户（简称“托管资金账户”）：基金托管人为基金财产在具有基金托管资格的商业银行开立的银行结算账户，用于基金财产中现金资产的归集、存放与支付，该账户不得存放其他性质资金。</w:t>
      </w:r>
    </w:p>
    <w:p w14:paraId="2B1C211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0</w:t>
      </w:r>
      <w:r>
        <w:rPr>
          <w:rFonts w:hint="eastAsia" w:asciiTheme="minorEastAsia" w:hAnsiTheme="minorEastAsia" w:eastAsiaTheme="minorEastAsia"/>
          <w:color w:val="auto"/>
          <w:szCs w:val="21"/>
          <w:highlight w:val="none"/>
        </w:rPr>
        <w:t>、证券账户：根据中国证监会有关规定和</w:t>
      </w:r>
      <w:bookmarkStart w:id="11" w:name="OLE_LINK2"/>
      <w:r>
        <w:rPr>
          <w:rFonts w:hint="eastAsia" w:asciiTheme="minorEastAsia" w:hAnsiTheme="minorEastAsia" w:eastAsiaTheme="minorEastAsia"/>
          <w:color w:val="auto"/>
          <w:szCs w:val="21"/>
          <w:highlight w:val="none"/>
        </w:rPr>
        <w:t>中国证券登记结算有限责任公司</w:t>
      </w:r>
      <w:bookmarkEnd w:id="11"/>
      <w:r>
        <w:rPr>
          <w:rFonts w:hint="eastAsia" w:asciiTheme="minorEastAsia" w:hAnsiTheme="minorEastAsia" w:eastAsiaTheme="minorEastAsia"/>
          <w:color w:val="auto"/>
          <w:szCs w:val="21"/>
          <w:highlight w:val="none"/>
        </w:rPr>
        <w:t>（下称“中登公司”）等相关机构的有关业务规则，由基金托管人（或基金管理人）为基金财产在中登公司上海分公司、深圳分公司开设的证券账户。</w:t>
      </w:r>
    </w:p>
    <w:p w14:paraId="4FA10F2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snapToGrid w:val="0"/>
          <w:color w:val="auto"/>
          <w:kern w:val="0"/>
          <w:szCs w:val="21"/>
          <w:highlight w:val="none"/>
        </w:rPr>
        <w:t>2</w:t>
      </w:r>
      <w:r>
        <w:rPr>
          <w:rFonts w:asciiTheme="minorEastAsia" w:hAnsiTheme="minorEastAsia" w:eastAsiaTheme="minorEastAsia"/>
          <w:snapToGrid w:val="0"/>
          <w:color w:val="auto"/>
          <w:kern w:val="0"/>
          <w:szCs w:val="21"/>
          <w:highlight w:val="none"/>
        </w:rPr>
        <w:t>1</w:t>
      </w:r>
      <w:r>
        <w:rPr>
          <w:rFonts w:hint="eastAsia" w:asciiTheme="minorEastAsia" w:hAnsiTheme="minorEastAsia" w:eastAsiaTheme="minorEastAsia"/>
          <w:snapToGrid w:val="0"/>
          <w:color w:val="auto"/>
          <w:kern w:val="0"/>
          <w:szCs w:val="21"/>
          <w:highlight w:val="none"/>
        </w:rPr>
        <w:t>、证券交易资金账户：</w:t>
      </w:r>
      <w:r>
        <w:rPr>
          <w:rFonts w:hint="eastAsia" w:asciiTheme="minorEastAsia" w:hAnsiTheme="minorEastAsia" w:eastAsiaTheme="minorEastAsia"/>
          <w:color w:val="auto"/>
          <w:szCs w:val="21"/>
          <w:highlight w:val="none"/>
        </w:rPr>
        <w:t>基金管理人为基金财产在证券经纪机构下属的证券营业部开立的</w:t>
      </w:r>
      <w:r>
        <w:rPr>
          <w:rFonts w:hint="eastAsia" w:asciiTheme="minorEastAsia" w:hAnsiTheme="minorEastAsia" w:eastAsiaTheme="minorEastAsia"/>
          <w:snapToGrid w:val="0"/>
          <w:color w:val="auto"/>
          <w:kern w:val="0"/>
          <w:szCs w:val="21"/>
          <w:highlight w:val="none"/>
        </w:rPr>
        <w:t>证券资金账户</w:t>
      </w:r>
      <w:r>
        <w:rPr>
          <w:rFonts w:hint="eastAsia" w:asciiTheme="minorEastAsia" w:hAnsiTheme="minorEastAsia" w:eastAsiaTheme="minorEastAsia"/>
          <w:color w:val="auto"/>
          <w:szCs w:val="21"/>
          <w:highlight w:val="none"/>
        </w:rPr>
        <w:t>，用于基金财产</w:t>
      </w:r>
      <w:r>
        <w:rPr>
          <w:rFonts w:hint="eastAsia" w:asciiTheme="minorEastAsia" w:hAnsiTheme="minorEastAsia" w:eastAsiaTheme="minorEastAsia"/>
          <w:snapToGrid w:val="0"/>
          <w:color w:val="auto"/>
          <w:kern w:val="0"/>
          <w:szCs w:val="21"/>
          <w:highlight w:val="none"/>
        </w:rPr>
        <w:t>证券交易结算资金的存管、记载交易结算资金的变动明细</w:t>
      </w:r>
      <w:r>
        <w:rPr>
          <w:rFonts w:hint="eastAsia" w:asciiTheme="minorEastAsia" w:hAnsiTheme="minorEastAsia" w:eastAsiaTheme="minorEastAsia"/>
          <w:color w:val="auto"/>
          <w:szCs w:val="21"/>
          <w:highlight w:val="none"/>
        </w:rPr>
        <w:t>以及场内证券交易清算。证券交易资金账户按照“第三方存管</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模式与托管资金账户建立一一对应关系，由基金托管人通过银证转账的方式完成资金划付。</w:t>
      </w:r>
    </w:p>
    <w:p w14:paraId="0D1A6A8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、期货账户：基金管理人为基金财产在期货经纪机构开立的期货保证金账户，用于基金财产期货交易结算资金的存管、记载交易结算资金的变动明细以及期货交易清算。</w:t>
      </w:r>
      <w:r>
        <w:rPr>
          <w:rFonts w:hint="eastAsia" w:asciiTheme="minorEastAsia" w:hAnsiTheme="minorEastAsia" w:eastAsiaTheme="minorEastAsia"/>
          <w:snapToGrid w:val="0"/>
          <w:color w:val="auto"/>
          <w:kern w:val="0"/>
          <w:szCs w:val="21"/>
          <w:highlight w:val="none"/>
        </w:rPr>
        <w:t>期货保证金账户应与</w:t>
      </w:r>
      <w:r>
        <w:rPr>
          <w:rFonts w:hint="eastAsia" w:asciiTheme="minorEastAsia" w:hAnsiTheme="minorEastAsia" w:eastAsiaTheme="minorEastAsia"/>
          <w:color w:val="auto"/>
          <w:szCs w:val="21"/>
          <w:highlight w:val="none"/>
        </w:rPr>
        <w:t>托管资金账户</w:t>
      </w:r>
      <w:r>
        <w:rPr>
          <w:rFonts w:hint="eastAsia" w:asciiTheme="minorEastAsia" w:hAnsiTheme="minorEastAsia" w:eastAsiaTheme="minorEastAsia"/>
          <w:snapToGrid w:val="0"/>
          <w:color w:val="auto"/>
          <w:kern w:val="0"/>
          <w:szCs w:val="21"/>
          <w:highlight w:val="none"/>
        </w:rPr>
        <w:t>建立一一对应关系，基金托管人可通过银期转账或手工出入金的方式办理期货交易的出入金。</w:t>
      </w:r>
    </w:p>
    <w:p w14:paraId="04AAD6B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基金资产总值：本基金拥有的各类有价证券、银行存款本息及其他资产的价值总和</w:t>
      </w:r>
      <w:r>
        <w:rPr>
          <w:rFonts w:hint="eastAsia" w:asciiTheme="minorEastAsia" w:hAnsiTheme="minorEastAsia" w:eastAsiaTheme="minorEastAsia"/>
          <w:color w:val="auto"/>
          <w:szCs w:val="21"/>
          <w:highlight w:val="none"/>
        </w:rPr>
        <w:t>。</w:t>
      </w:r>
    </w:p>
    <w:p w14:paraId="6B7192D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基金资产净值：本基金资产总值减去负债后的价值</w:t>
      </w:r>
      <w:r>
        <w:rPr>
          <w:rFonts w:hint="eastAsia" w:asciiTheme="minorEastAsia" w:hAnsiTheme="minorEastAsia" w:eastAsiaTheme="minorEastAsia"/>
          <w:color w:val="auto"/>
          <w:szCs w:val="21"/>
          <w:highlight w:val="none"/>
        </w:rPr>
        <w:t>。</w:t>
      </w:r>
    </w:p>
    <w:p w14:paraId="278EE5F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、基金份额净值、整体基金份额净值：计算日基金资产净值除以计算日基金份额总数所得的数值，其不代表某个特定类别份额的基金份额净值。</w:t>
      </w:r>
    </w:p>
    <w:p w14:paraId="7F53C44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lang w:val="en-US" w:eastAsia="zh-CN"/>
        </w:rPr>
        <w:t>6</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基金资产估值：计算</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评估基金资产和负债的价值，以确定本</w:t>
      </w:r>
      <w:r>
        <w:rPr>
          <w:rFonts w:hint="eastAsia" w:asciiTheme="minorEastAsia" w:hAnsiTheme="minorEastAsia" w:eastAsiaTheme="minorEastAsia"/>
          <w:color w:val="auto"/>
          <w:szCs w:val="21"/>
          <w:highlight w:val="none"/>
        </w:rPr>
        <w:t>基金的</w:t>
      </w:r>
      <w:r>
        <w:rPr>
          <w:rFonts w:asciiTheme="minorEastAsia" w:hAnsiTheme="minorEastAsia" w:eastAsiaTheme="minorEastAsia"/>
          <w:color w:val="auto"/>
          <w:szCs w:val="21"/>
          <w:highlight w:val="none"/>
        </w:rPr>
        <w:t>基金资产净值</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基金份额净值、各类别基金份额</w:t>
      </w:r>
      <w:r>
        <w:rPr>
          <w:rFonts w:asciiTheme="minorEastAsia" w:hAnsiTheme="minorEastAsia" w:eastAsiaTheme="minorEastAsia"/>
          <w:color w:val="auto"/>
          <w:szCs w:val="21"/>
          <w:highlight w:val="none"/>
        </w:rPr>
        <w:t>净值的过程</w:t>
      </w:r>
      <w:r>
        <w:rPr>
          <w:rFonts w:hint="eastAsia" w:asciiTheme="minorEastAsia" w:hAnsiTheme="minorEastAsia" w:eastAsiaTheme="minorEastAsia"/>
          <w:color w:val="auto"/>
          <w:szCs w:val="21"/>
          <w:highlight w:val="none"/>
        </w:rPr>
        <w:t>。</w:t>
      </w:r>
    </w:p>
    <w:p w14:paraId="788A15C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lang w:val="en-US" w:eastAsia="zh-CN"/>
        </w:rPr>
        <w:t>7</w:t>
      </w:r>
      <w:r>
        <w:rPr>
          <w:rFonts w:hint="eastAsia" w:asciiTheme="minorEastAsia" w:hAnsiTheme="minorEastAsia" w:eastAsiaTheme="minorEastAsia"/>
          <w:color w:val="auto"/>
          <w:szCs w:val="21"/>
          <w:highlight w:val="none"/>
        </w:rPr>
        <w:t>、募集期：指本基金的初始销售期限。</w:t>
      </w:r>
    </w:p>
    <w:p w14:paraId="3850191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lang w:val="en-US" w:eastAsia="zh-CN"/>
        </w:rPr>
        <w:t>8</w:t>
      </w:r>
      <w:r>
        <w:rPr>
          <w:rFonts w:hint="eastAsia" w:asciiTheme="minorEastAsia" w:hAnsiTheme="minorEastAsia" w:eastAsiaTheme="minorEastAsia"/>
          <w:color w:val="auto"/>
          <w:szCs w:val="21"/>
          <w:highlight w:val="none"/>
        </w:rPr>
        <w:t>、存续期：指本基金成立至终止之间的期限。</w:t>
      </w:r>
    </w:p>
    <w:p w14:paraId="072DDAC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9</w:t>
      </w:r>
      <w:r>
        <w:rPr>
          <w:rFonts w:hint="eastAsia" w:asciiTheme="minorEastAsia" w:hAnsiTheme="minorEastAsia" w:eastAsiaTheme="minorEastAsia"/>
          <w:color w:val="auto"/>
          <w:szCs w:val="21"/>
          <w:highlight w:val="none"/>
        </w:rPr>
        <w:t>、认购：指在募集期间，基金投资者按照本合同的约定购买本基金份额的行为。</w:t>
      </w:r>
    </w:p>
    <w:p w14:paraId="7461B852">
      <w:pPr>
        <w:adjustRightInd w:val="0"/>
        <w:snapToGrid w:val="0"/>
        <w:spacing w:before="93" w:beforeLines="30" w:after="93" w:afterLines="30" w:line="360" w:lineRule="auto"/>
        <w:ind w:firstLine="420" w:firstLineChars="200"/>
        <w:jc w:val="left"/>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0</w:t>
      </w:r>
      <w:r>
        <w:rPr>
          <w:rFonts w:hint="eastAsia" w:asciiTheme="minorEastAsia" w:hAnsiTheme="minorEastAsia" w:eastAsiaTheme="minorEastAsia"/>
          <w:color w:val="auto"/>
          <w:szCs w:val="21"/>
          <w:highlight w:val="none"/>
        </w:rPr>
        <w:t>、申购：指在基金开放日，基金投资者按照本合同的规定购买本基金份额的行为。</w:t>
      </w:r>
    </w:p>
    <w:p w14:paraId="1A6B35F8">
      <w:pPr>
        <w:adjustRightInd w:val="0"/>
        <w:snapToGrid w:val="0"/>
        <w:spacing w:before="93" w:beforeLines="30" w:after="93" w:afterLines="30" w:line="360" w:lineRule="auto"/>
        <w:ind w:firstLine="420" w:firstLineChars="200"/>
        <w:jc w:val="left"/>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1</w:t>
      </w:r>
      <w:r>
        <w:rPr>
          <w:rFonts w:hint="eastAsia" w:asciiTheme="minorEastAsia" w:hAnsiTheme="minorEastAsia" w:eastAsiaTheme="minorEastAsia"/>
          <w:color w:val="auto"/>
          <w:szCs w:val="21"/>
          <w:highlight w:val="none"/>
        </w:rPr>
        <w:t>、赎回：指在基金开放日，基金投资者按照本合同的规定将本基金份额兑换为现金的行为。</w:t>
      </w:r>
    </w:p>
    <w:p w14:paraId="54DB8138">
      <w:pPr>
        <w:adjustRightInd w:val="0"/>
        <w:snapToGrid w:val="0"/>
        <w:spacing w:before="93" w:beforeLines="30" w:after="93" w:afterLines="30" w:line="360" w:lineRule="auto"/>
        <w:ind w:firstLine="420" w:firstLineChars="200"/>
        <w:jc w:val="left"/>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2</w:t>
      </w:r>
      <w:r>
        <w:rPr>
          <w:rFonts w:hint="eastAsia" w:asciiTheme="minorEastAsia" w:hAnsiTheme="minorEastAsia" w:eastAsiaTheme="minorEastAsia"/>
          <w:color w:val="auto"/>
          <w:szCs w:val="21"/>
          <w:highlight w:val="none"/>
        </w:rPr>
        <w:t>、扣除该笔或有业绩报酬后的份额净值：指所投资私募性质金融产品，在本基金估值时点，假设已符合所投资私募性质金融产品计提业绩报酬的条件和频率，在所投资私募性质金融产品的份额净值中扣除该笔业绩报酬后获得的份额净值。</w:t>
      </w:r>
      <w:r>
        <w:rPr>
          <w:rFonts w:asciiTheme="minorEastAsia" w:hAnsiTheme="minorEastAsia" w:eastAsiaTheme="minorEastAsia"/>
          <w:color w:val="auto"/>
          <w:szCs w:val="21"/>
          <w:highlight w:val="none"/>
        </w:rPr>
        <w:t xml:space="preserve"> </w:t>
      </w:r>
    </w:p>
    <w:p w14:paraId="0D42C535">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3</w:t>
      </w:r>
      <w:r>
        <w:rPr>
          <w:rFonts w:hint="eastAsia" w:asciiTheme="minorEastAsia" w:hAnsiTheme="minorEastAsia" w:eastAsiaTheme="minorEastAsia"/>
          <w:color w:val="auto"/>
          <w:szCs w:val="21"/>
          <w:highlight w:val="none"/>
        </w:rPr>
        <w:t>、不可抗力：指本合同当事人不能预见、不能避免、不能克服的客观情况。</w:t>
      </w:r>
    </w:p>
    <w:p w14:paraId="31C466F6">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4</w:t>
      </w:r>
      <w:r>
        <w:rPr>
          <w:rFonts w:hint="eastAsia" w:asciiTheme="minorEastAsia" w:hAnsiTheme="minorEastAsia" w:eastAsiaTheme="minorEastAsia"/>
          <w:color w:val="auto"/>
          <w:szCs w:val="21"/>
          <w:highlight w:val="none"/>
        </w:rPr>
        <w:t>、各类别基金份额净值：计算日各类别基金资产净值除以计算日对应各类别基金份额总数所得的数值。</w:t>
      </w:r>
    </w:p>
    <w:p w14:paraId="0899989B">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5</w:t>
      </w:r>
      <w:r>
        <w:rPr>
          <w:rFonts w:hint="eastAsia" w:asciiTheme="minorEastAsia" w:hAnsiTheme="minorEastAsia" w:eastAsiaTheme="minorEastAsia"/>
          <w:color w:val="auto"/>
          <w:szCs w:val="21"/>
          <w:highlight w:val="none"/>
        </w:rPr>
        <w:t>、各类别基金份额累计净值：各类别基金份额净值加上该类份额历史上累计单位派息金额。</w:t>
      </w:r>
    </w:p>
    <w:p w14:paraId="7D6395D8">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6</w:t>
      </w:r>
      <w:r>
        <w:rPr>
          <w:rFonts w:hint="eastAsia" w:asciiTheme="minorEastAsia" w:hAnsiTheme="minorEastAsia" w:eastAsiaTheme="minorEastAsia"/>
          <w:color w:val="auto"/>
          <w:szCs w:val="21"/>
          <w:highlight w:val="none"/>
        </w:rPr>
        <w:t>、基金份额分类：本基金以【不同的特定募集对象】为依据将基金份额分成【</w:t>
      </w:r>
      <w:r>
        <w:rPr>
          <w:rFonts w:hint="eastAsia" w:asciiTheme="minorEastAsia" w:hAnsiTheme="minorEastAsia" w:eastAsiaTheme="minorEastAsia"/>
          <w:color w:val="auto"/>
          <w:szCs w:val="21"/>
          <w:highlight w:val="none"/>
          <w:lang w:val="en-US" w:eastAsia="zh-CN"/>
        </w:rPr>
        <w:t>四</w:t>
      </w:r>
      <w:r>
        <w:rPr>
          <w:rFonts w:hint="eastAsia" w:asciiTheme="minorEastAsia" w:hAnsiTheme="minorEastAsia" w:eastAsiaTheme="minorEastAsia"/>
          <w:color w:val="auto"/>
          <w:szCs w:val="21"/>
          <w:highlight w:val="none"/>
        </w:rPr>
        <w:t>】个类别，即A类份额</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B类份额</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C类份额和D类份额</w:t>
      </w:r>
      <w:r>
        <w:rPr>
          <w:rFonts w:hint="eastAsia" w:asciiTheme="minorEastAsia" w:hAnsiTheme="minorEastAsia" w:eastAsiaTheme="minorEastAsia"/>
          <w:color w:val="auto"/>
          <w:szCs w:val="21"/>
          <w:highlight w:val="none"/>
        </w:rPr>
        <w:t>，各类份额类别之间的具体区别详见“基金的基本情况”章节之“基金的份额分类”以及本合同中的其他相关约定。</w:t>
      </w:r>
    </w:p>
    <w:p w14:paraId="3ADAA95B">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7</w:t>
      </w:r>
      <w:r>
        <w:rPr>
          <w:rFonts w:hint="eastAsia" w:asciiTheme="minorEastAsia" w:hAnsiTheme="minorEastAsia" w:eastAsiaTheme="minorEastAsia"/>
          <w:color w:val="auto"/>
          <w:szCs w:val="21"/>
          <w:highlight w:val="none"/>
        </w:rPr>
        <w:t>、A类份额、A类基金份额：指由基金管理人委托的代销机构向自然人合格投资者进行代销募集的基金份额。私募基金管理人应当在基金募集过程中对A类基金份额持有人是否符合资质要求承担审核义务，托管人和份额登记机构对此不承担任何审核或监督义务。</w:t>
      </w:r>
    </w:p>
    <w:p w14:paraId="5FA4F244">
      <w:pPr>
        <w:adjustRightInd w:val="0"/>
        <w:snapToGrid w:val="0"/>
        <w:spacing w:before="93" w:beforeLines="30" w:after="93" w:afterLines="30" w:line="372" w:lineRule="auto"/>
        <w:ind w:firstLine="420" w:firstLineChars="200"/>
        <w:rPr>
          <w:rFonts w:hint="eastAsia"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8</w:t>
      </w:r>
      <w:r>
        <w:rPr>
          <w:rFonts w:hint="eastAsia" w:asciiTheme="minorEastAsia" w:hAnsiTheme="minorEastAsia" w:eastAsiaTheme="minorEastAsia"/>
          <w:color w:val="auto"/>
          <w:szCs w:val="21"/>
          <w:highlight w:val="none"/>
        </w:rPr>
        <w:t>、B类份额、B类基金份额：指由基金管理人委托的代销机构向除自然人合格投资者以外的其他合格投资者进行代销募集的基金份额。私募基金管理人应当在基金募集过程中对B类基金份额持有人是否符合资质要求承担审核义务，托管人和份额登记机构对此不承担任何审核或监督义务。</w:t>
      </w:r>
    </w:p>
    <w:p w14:paraId="24EC14C9">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9</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C</w:t>
      </w:r>
      <w:r>
        <w:rPr>
          <w:rFonts w:hint="eastAsia" w:asciiTheme="minorEastAsia" w:hAnsiTheme="minorEastAsia" w:eastAsiaTheme="minorEastAsia"/>
          <w:color w:val="auto"/>
          <w:szCs w:val="21"/>
          <w:highlight w:val="none"/>
        </w:rPr>
        <w:t>类份额、</w:t>
      </w:r>
      <w:r>
        <w:rPr>
          <w:rFonts w:hint="eastAsia" w:asciiTheme="minorEastAsia" w:hAnsiTheme="minorEastAsia" w:eastAsiaTheme="minorEastAsia"/>
          <w:color w:val="auto"/>
          <w:szCs w:val="21"/>
          <w:highlight w:val="none"/>
          <w:lang w:val="en-US" w:eastAsia="zh-CN"/>
        </w:rPr>
        <w:t>C</w:t>
      </w:r>
      <w:r>
        <w:rPr>
          <w:rFonts w:hint="eastAsia" w:asciiTheme="minorEastAsia" w:hAnsiTheme="minorEastAsia" w:eastAsiaTheme="minorEastAsia"/>
          <w:color w:val="auto"/>
          <w:szCs w:val="21"/>
          <w:highlight w:val="none"/>
        </w:rPr>
        <w:t>类基金份额：指向除A、B、D类份额投资者以外的其他合格投资者募集的基金份额。私募基金管理人应当在基金募集过程中对</w:t>
      </w:r>
      <w:r>
        <w:rPr>
          <w:rFonts w:hint="eastAsia" w:asciiTheme="minorEastAsia" w:hAnsiTheme="minorEastAsia" w:eastAsiaTheme="minorEastAsia"/>
          <w:color w:val="auto"/>
          <w:szCs w:val="21"/>
          <w:highlight w:val="none"/>
          <w:lang w:val="en-US" w:eastAsia="zh-CN"/>
        </w:rPr>
        <w:t>C</w:t>
      </w:r>
      <w:r>
        <w:rPr>
          <w:rFonts w:hint="eastAsia" w:asciiTheme="minorEastAsia" w:hAnsiTheme="minorEastAsia" w:eastAsiaTheme="minorEastAsia"/>
          <w:color w:val="auto"/>
          <w:szCs w:val="21"/>
          <w:highlight w:val="none"/>
        </w:rPr>
        <w:t>类基金份额持有人是否符合资质要求承担审核义务，托管人和份额登记机构对此不承担任何审核或监督义务。</w:t>
      </w:r>
    </w:p>
    <w:p w14:paraId="7E056904">
      <w:pPr>
        <w:adjustRightInd w:val="0"/>
        <w:snapToGrid w:val="0"/>
        <w:spacing w:before="93" w:beforeLines="30" w:after="93" w:afterLines="30" w:line="372"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40</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D</w:t>
      </w:r>
      <w:r>
        <w:rPr>
          <w:rFonts w:hint="eastAsia" w:asciiTheme="minorEastAsia" w:hAnsiTheme="minorEastAsia" w:eastAsiaTheme="minorEastAsia"/>
          <w:color w:val="auto"/>
          <w:szCs w:val="21"/>
          <w:highlight w:val="none"/>
        </w:rPr>
        <w:t>类份额、</w:t>
      </w:r>
      <w:r>
        <w:rPr>
          <w:rFonts w:hint="eastAsia" w:asciiTheme="minorEastAsia" w:hAnsiTheme="minorEastAsia" w:eastAsiaTheme="minorEastAsia"/>
          <w:color w:val="auto"/>
          <w:szCs w:val="21"/>
          <w:highlight w:val="none"/>
          <w:lang w:val="en-US" w:eastAsia="zh-CN"/>
        </w:rPr>
        <w:t>D</w:t>
      </w:r>
      <w:r>
        <w:rPr>
          <w:rFonts w:hint="eastAsia" w:asciiTheme="minorEastAsia" w:hAnsiTheme="minorEastAsia" w:eastAsiaTheme="minorEastAsia"/>
          <w:color w:val="auto"/>
          <w:szCs w:val="21"/>
          <w:highlight w:val="none"/>
        </w:rPr>
        <w:t>类基金份额：指通过管理人直销渠道向本基金管理人管理的其他私募基金、本基金管理人、本基金管理人员工以及本基金管理人担任投资顾问的资管产品募集的基金份额。私募基金管理人应当在基金募集过程中对</w:t>
      </w:r>
      <w:r>
        <w:rPr>
          <w:rFonts w:hint="eastAsia" w:asciiTheme="minorEastAsia" w:hAnsiTheme="minorEastAsia" w:eastAsiaTheme="minorEastAsia"/>
          <w:color w:val="auto"/>
          <w:szCs w:val="21"/>
          <w:highlight w:val="none"/>
          <w:lang w:val="en-US" w:eastAsia="zh-CN"/>
        </w:rPr>
        <w:t>D</w:t>
      </w:r>
      <w:r>
        <w:rPr>
          <w:rFonts w:hint="eastAsia" w:asciiTheme="minorEastAsia" w:hAnsiTheme="minorEastAsia" w:eastAsiaTheme="minorEastAsia"/>
          <w:color w:val="auto"/>
          <w:szCs w:val="21"/>
          <w:highlight w:val="none"/>
        </w:rPr>
        <w:t>类基金份额持有人是否符合资质要求承担审核义务，托管人和份额登记机构对此不承担任何审核或监督义务。</w:t>
      </w:r>
    </w:p>
    <w:p w14:paraId="79705DFB">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41</w:t>
      </w:r>
      <w:r>
        <w:rPr>
          <w:rFonts w:hint="eastAsia" w:asciiTheme="minorEastAsia" w:hAnsiTheme="minorEastAsia" w:eastAsiaTheme="minorEastAsia"/>
          <w:color w:val="auto"/>
          <w:szCs w:val="21"/>
          <w:highlight w:val="none"/>
        </w:rPr>
        <w:t>、A类基金份额净值：指计算日A类份额基金资产净值除以计算日A类份额基金份额总数所得的数值。</w:t>
      </w:r>
    </w:p>
    <w:p w14:paraId="10D87F2D">
      <w:pPr>
        <w:adjustRightInd w:val="0"/>
        <w:snapToGrid w:val="0"/>
        <w:spacing w:before="93" w:beforeLines="30" w:after="93" w:afterLines="30" w:line="372"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42</w:t>
      </w:r>
      <w:r>
        <w:rPr>
          <w:rFonts w:hint="eastAsia" w:asciiTheme="minorEastAsia" w:hAnsiTheme="minorEastAsia" w:eastAsiaTheme="minorEastAsia"/>
          <w:color w:val="auto"/>
          <w:szCs w:val="21"/>
          <w:highlight w:val="none"/>
        </w:rPr>
        <w:t>、B类基金份额净值：指计算日B类份额基金资产净值除以计算日B类份额基金份额总数所得的数值。</w:t>
      </w:r>
    </w:p>
    <w:p w14:paraId="699DDF3A">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43</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C</w:t>
      </w:r>
      <w:r>
        <w:rPr>
          <w:rFonts w:hint="eastAsia" w:asciiTheme="minorEastAsia" w:hAnsiTheme="minorEastAsia" w:eastAsiaTheme="minorEastAsia"/>
          <w:color w:val="auto"/>
          <w:szCs w:val="21"/>
          <w:highlight w:val="none"/>
        </w:rPr>
        <w:t>类基金份额净值：指计算日</w:t>
      </w:r>
      <w:r>
        <w:rPr>
          <w:rFonts w:hint="eastAsia" w:asciiTheme="minorEastAsia" w:hAnsiTheme="minorEastAsia" w:eastAsiaTheme="minorEastAsia"/>
          <w:color w:val="auto"/>
          <w:szCs w:val="21"/>
          <w:highlight w:val="none"/>
          <w:lang w:val="en-US" w:eastAsia="zh-CN"/>
        </w:rPr>
        <w:t>C</w:t>
      </w:r>
      <w:r>
        <w:rPr>
          <w:rFonts w:hint="eastAsia" w:asciiTheme="minorEastAsia" w:hAnsiTheme="minorEastAsia" w:eastAsiaTheme="minorEastAsia"/>
          <w:color w:val="auto"/>
          <w:szCs w:val="21"/>
          <w:highlight w:val="none"/>
        </w:rPr>
        <w:t>类份额基金资产净值除以计算日</w:t>
      </w:r>
      <w:r>
        <w:rPr>
          <w:rFonts w:hint="eastAsia" w:asciiTheme="minorEastAsia" w:hAnsiTheme="minorEastAsia" w:eastAsiaTheme="minorEastAsia"/>
          <w:color w:val="auto"/>
          <w:szCs w:val="21"/>
          <w:highlight w:val="none"/>
          <w:lang w:val="en-US" w:eastAsia="zh-CN"/>
        </w:rPr>
        <w:t>C</w:t>
      </w:r>
      <w:r>
        <w:rPr>
          <w:rFonts w:hint="eastAsia" w:asciiTheme="minorEastAsia" w:hAnsiTheme="minorEastAsia" w:eastAsiaTheme="minorEastAsia"/>
          <w:color w:val="auto"/>
          <w:szCs w:val="21"/>
          <w:highlight w:val="none"/>
        </w:rPr>
        <w:t>类份额基金份额总数所得的数值。</w:t>
      </w:r>
    </w:p>
    <w:p w14:paraId="56DB2D27">
      <w:pPr>
        <w:adjustRightInd w:val="0"/>
        <w:snapToGrid w:val="0"/>
        <w:spacing w:before="93" w:beforeLines="30" w:after="93" w:afterLines="30" w:line="372"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44</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D</w:t>
      </w:r>
      <w:r>
        <w:rPr>
          <w:rFonts w:hint="eastAsia" w:asciiTheme="minorEastAsia" w:hAnsiTheme="minorEastAsia" w:eastAsiaTheme="minorEastAsia"/>
          <w:color w:val="auto"/>
          <w:szCs w:val="21"/>
          <w:highlight w:val="none"/>
        </w:rPr>
        <w:t>类基金份额净值：指计算日</w:t>
      </w:r>
      <w:r>
        <w:rPr>
          <w:rFonts w:hint="eastAsia" w:asciiTheme="minorEastAsia" w:hAnsiTheme="minorEastAsia" w:eastAsiaTheme="minorEastAsia"/>
          <w:color w:val="auto"/>
          <w:szCs w:val="21"/>
          <w:highlight w:val="none"/>
          <w:lang w:val="en-US" w:eastAsia="zh-CN"/>
        </w:rPr>
        <w:t>D</w:t>
      </w:r>
      <w:r>
        <w:rPr>
          <w:rFonts w:hint="eastAsia" w:asciiTheme="minorEastAsia" w:hAnsiTheme="minorEastAsia" w:eastAsiaTheme="minorEastAsia"/>
          <w:color w:val="auto"/>
          <w:szCs w:val="21"/>
          <w:highlight w:val="none"/>
        </w:rPr>
        <w:t>类份额基金资产净值除以计算日</w:t>
      </w:r>
      <w:r>
        <w:rPr>
          <w:rFonts w:hint="eastAsia" w:asciiTheme="minorEastAsia" w:hAnsiTheme="minorEastAsia" w:eastAsiaTheme="minorEastAsia"/>
          <w:color w:val="auto"/>
          <w:szCs w:val="21"/>
          <w:highlight w:val="none"/>
          <w:lang w:val="en-US" w:eastAsia="zh-CN"/>
        </w:rPr>
        <w:t>D</w:t>
      </w:r>
      <w:r>
        <w:rPr>
          <w:rFonts w:hint="eastAsia" w:asciiTheme="minorEastAsia" w:hAnsiTheme="minorEastAsia" w:eastAsiaTheme="minorEastAsia"/>
          <w:color w:val="auto"/>
          <w:szCs w:val="21"/>
          <w:highlight w:val="none"/>
        </w:rPr>
        <w:t>类份额基金份额总数所得的数值。</w:t>
      </w:r>
    </w:p>
    <w:p w14:paraId="676F0B1C">
      <w:pPr>
        <w:adjustRightInd w:val="0"/>
        <w:snapToGrid w:val="0"/>
        <w:spacing w:before="93" w:beforeLines="30" w:after="93" w:afterLines="30" w:line="360" w:lineRule="auto"/>
        <w:ind w:left="0" w:firstLine="420" w:firstLineChars="200"/>
        <w:rPr>
          <w:rFonts w:asciiTheme="minorEastAsia" w:hAnsiTheme="minorEastAsia" w:eastAsiaTheme="minorEastAsia"/>
          <w:color w:val="auto"/>
          <w:szCs w:val="21"/>
          <w:highlight w:val="none"/>
        </w:rPr>
      </w:pPr>
      <w:r>
        <w:rPr>
          <w:rFonts w:hint="eastAsia" w:cs="Times New Roman" w:asciiTheme="minorEastAsia" w:hAnsiTheme="minorEastAsia" w:eastAsiaTheme="minorEastAsia"/>
          <w:b w:val="0"/>
          <w:color w:val="auto"/>
          <w:spacing w:val="0"/>
          <w:sz w:val="21"/>
          <w:szCs w:val="21"/>
          <w:highlight w:val="none"/>
          <w:lang w:val="en-US" w:eastAsia="zh-CN"/>
        </w:rPr>
        <w:t>45、</w:t>
      </w:r>
      <w:r>
        <w:rPr>
          <w:rFonts w:hint="eastAsia" w:cs="Times New Roman" w:asciiTheme="minorEastAsia" w:hAnsiTheme="minorEastAsia" w:eastAsiaTheme="minorEastAsia"/>
          <w:b w:val="0"/>
          <w:color w:val="auto"/>
          <w:spacing w:val="0"/>
          <w:sz w:val="21"/>
          <w:szCs w:val="21"/>
          <w:highlight w:val="none"/>
        </w:rPr>
        <w:t>现金管理工具</w:t>
      </w:r>
      <w:r>
        <w:rPr>
          <w:rFonts w:hint="eastAsia" w:asciiTheme="minorEastAsia" w:hAnsiTheme="minorEastAsia" w:eastAsiaTheme="minorEastAsia"/>
          <w:b w:val="0"/>
          <w:color w:val="auto"/>
          <w:szCs w:val="21"/>
          <w:highlight w:val="none"/>
        </w:rPr>
        <w:t>：</w:t>
      </w:r>
      <w:r>
        <w:rPr>
          <w:rFonts w:asciiTheme="minorEastAsia" w:hAnsiTheme="minorEastAsia" w:eastAsiaTheme="minorEastAsia"/>
          <w:color w:val="auto"/>
          <w:szCs w:val="21"/>
          <w:highlight w:val="none"/>
        </w:rPr>
        <w:t>是指银行活期存款、国债、中央银行票据、政策性金融债、地方政府债券、货币市场基金等中国证监会认可的现金管理工具。</w:t>
      </w:r>
    </w:p>
    <w:p w14:paraId="062CE2EA">
      <w:pPr>
        <w:adjustRightInd w:val="0"/>
        <w:snapToGrid w:val="0"/>
        <w:spacing w:before="93" w:beforeLines="30" w:after="93" w:afterLines="30" w:line="360" w:lineRule="auto"/>
        <w:ind w:left="0" w:firstLine="420" w:firstLineChars="200"/>
        <w:rPr>
          <w:rFonts w:hint="eastAsia" w:asciiTheme="minorEastAsia" w:hAnsiTheme="minorEastAsia" w:eastAsiaTheme="minorEastAsia"/>
          <w:b w:val="0"/>
          <w:color w:val="auto"/>
          <w:szCs w:val="21"/>
          <w:highlight w:val="none"/>
        </w:rPr>
      </w:pPr>
      <w:r>
        <w:rPr>
          <w:rFonts w:hint="eastAsia" w:cs="Times New Roman" w:asciiTheme="minorEastAsia" w:hAnsiTheme="minorEastAsia" w:eastAsiaTheme="minorEastAsia"/>
          <w:b w:val="0"/>
          <w:color w:val="auto"/>
          <w:spacing w:val="0"/>
          <w:sz w:val="21"/>
          <w:szCs w:val="21"/>
          <w:highlight w:val="none"/>
          <w:lang w:val="en-US" w:eastAsia="zh-CN"/>
        </w:rPr>
        <w:t>46、</w:t>
      </w:r>
      <w:r>
        <w:rPr>
          <w:rFonts w:hint="eastAsia" w:cs="Times New Roman" w:asciiTheme="minorEastAsia" w:hAnsiTheme="minorEastAsia" w:eastAsiaTheme="minorEastAsia"/>
          <w:b w:val="0"/>
          <w:color w:val="auto"/>
          <w:spacing w:val="0"/>
          <w:sz w:val="21"/>
          <w:szCs w:val="21"/>
          <w:highlight w:val="none"/>
        </w:rPr>
        <w:t>同一资产：</w:t>
      </w:r>
      <w:r>
        <w:rPr>
          <w:rFonts w:hint="eastAsia" w:cs="Times New Roman" w:asciiTheme="minorEastAsia" w:hAnsiTheme="minorEastAsia" w:eastAsiaTheme="minorEastAsia"/>
          <w:color w:val="auto"/>
          <w:spacing w:val="0"/>
          <w:sz w:val="21"/>
          <w:szCs w:val="21"/>
          <w:highlight w:val="none"/>
        </w:rPr>
        <w:t>1.标准化股权类资产按照单一上市公</w:t>
      </w:r>
      <w:r>
        <w:rPr>
          <w:rFonts w:asciiTheme="minorEastAsia" w:hAnsiTheme="minorEastAsia" w:eastAsiaTheme="minorEastAsia"/>
          <w:color w:val="auto"/>
          <w:szCs w:val="21"/>
          <w:highlight w:val="none"/>
        </w:rPr>
        <w:t>司公开发行的股票、存托凭证，视为同一资产；2.标准化债权类资产按照单只债券、中央银行票据、资产支持证券、非金融企业债务融资工具，视为同一资产；3.非标准化债权类资产（如证券公司发行的保本型收益凭证、质押式报价回购、质押式协议回购、标准化票据）按照同一“融资主体”及其关联方视为同一资产；4.基金类资产按照单只证券投资基金或者资产管理产品视为同一资产；5.标准化期货和衍生品类资产按照单只期货或者期权合约视为同一资产；6.场外衍生品类资产：（1）场外期权及证券公司发行的非保本型收益凭证按照同一“交易对手方”视为同一资产；（2）收益互换按照合约挂钩具体标的视为同一资产。</w:t>
      </w:r>
    </w:p>
    <w:p w14:paraId="263933FF">
      <w:pPr>
        <w:adjustRightInd w:val="0"/>
        <w:snapToGrid w:val="0"/>
        <w:spacing w:before="93" w:beforeLines="30" w:after="93" w:afterLines="30" w:line="360" w:lineRule="auto"/>
        <w:ind w:left="0" w:firstLine="420" w:firstLineChars="200"/>
        <w:rPr>
          <w:rFonts w:hint="eastAsia" w:asciiTheme="minorEastAsia" w:hAnsiTheme="minorEastAsia" w:eastAsiaTheme="minorEastAsia"/>
          <w:b w:val="0"/>
          <w:color w:val="auto"/>
          <w:szCs w:val="21"/>
          <w:highlight w:val="none"/>
        </w:rPr>
      </w:pPr>
      <w:r>
        <w:rPr>
          <w:rFonts w:hint="eastAsia" w:asciiTheme="minorEastAsia" w:hAnsiTheme="minorEastAsia" w:eastAsiaTheme="minorEastAsia"/>
          <w:b w:val="0"/>
          <w:color w:val="auto"/>
          <w:szCs w:val="21"/>
          <w:highlight w:val="none"/>
          <w:lang w:val="en-US" w:eastAsia="zh-CN"/>
        </w:rPr>
        <w:t>47、</w:t>
      </w:r>
      <w:r>
        <w:rPr>
          <w:rFonts w:hint="eastAsia" w:asciiTheme="minorEastAsia" w:hAnsiTheme="minorEastAsia" w:eastAsiaTheme="minorEastAsia"/>
          <w:b w:val="0"/>
          <w:color w:val="auto"/>
          <w:szCs w:val="21"/>
          <w:highlight w:val="none"/>
        </w:rPr>
        <w:t>流动性受限资产：</w:t>
      </w:r>
      <w:r>
        <w:rPr>
          <w:rFonts w:asciiTheme="minorEastAsia" w:hAnsiTheme="minorEastAsia" w:eastAsiaTheme="minorEastAsia"/>
          <w:b w:val="0"/>
          <w:color w:val="auto"/>
          <w:szCs w:val="21"/>
          <w:highlight w:val="none"/>
        </w:rPr>
        <w:t>是指由于法律法规、监管、合同或操作障碍等原因无法以合理价格予以变现的资产，包括到期日在10个交易日以上的逆回购与银行定期存款（含协议约定有条件提前支取的银行存款）、资产支持证券（票据）、流动受限的新股以及非公开发行股票、停牌股票、因发行人债务违约无法进行转让或交易的债券和非金融企业债务融资工具</w:t>
      </w:r>
      <w:r>
        <w:rPr>
          <w:rFonts w:hint="eastAsia" w:asciiTheme="minorEastAsia" w:hAnsiTheme="minorEastAsia" w:eastAsiaTheme="minorEastAsia"/>
          <w:b w:val="0"/>
          <w:bCs w:val="0"/>
          <w:color w:val="auto"/>
          <w:szCs w:val="21"/>
          <w:highlight w:val="none"/>
        </w:rPr>
        <w:t>、场外衍生品、私募证券投资基金、资管产品</w:t>
      </w:r>
      <w:r>
        <w:rPr>
          <w:rFonts w:asciiTheme="minorEastAsia" w:hAnsiTheme="minorEastAsia" w:eastAsiaTheme="minorEastAsia"/>
          <w:b w:val="0"/>
          <w:color w:val="auto"/>
          <w:szCs w:val="21"/>
          <w:highlight w:val="none"/>
        </w:rPr>
        <w:t>等资产。</w:t>
      </w:r>
    </w:p>
    <w:p w14:paraId="74FE8205">
      <w:pPr>
        <w:adjustRightInd w:val="0"/>
        <w:snapToGrid w:val="0"/>
        <w:spacing w:before="93" w:beforeLines="30" w:after="93" w:afterLines="30" w:line="360" w:lineRule="auto"/>
        <w:ind w:firstLine="420" w:firstLineChars="200"/>
        <w:rPr>
          <w:rFonts w:hint="eastAsia" w:cs="Times New Roman" w:asciiTheme="minorEastAsia" w:hAnsiTheme="minorEastAsia" w:eastAsiaTheme="minorEastAsia"/>
          <w:color w:val="auto"/>
          <w:spacing w:val="0"/>
          <w:sz w:val="21"/>
          <w:szCs w:val="21"/>
          <w:highlight w:val="none"/>
        </w:rPr>
      </w:pPr>
      <w:r>
        <w:rPr>
          <w:rFonts w:hint="eastAsia" w:cs="Times New Roman" w:asciiTheme="minorEastAsia" w:hAnsiTheme="minorEastAsia" w:eastAsiaTheme="minorEastAsia"/>
          <w:b w:val="0"/>
          <w:color w:val="auto"/>
          <w:spacing w:val="0"/>
          <w:sz w:val="21"/>
          <w:szCs w:val="21"/>
          <w:highlight w:val="none"/>
          <w:lang w:val="en-US" w:eastAsia="zh-CN"/>
        </w:rPr>
        <w:t>48、</w:t>
      </w:r>
      <w:r>
        <w:rPr>
          <w:rFonts w:hint="eastAsia" w:cs="Times New Roman" w:asciiTheme="minorEastAsia" w:hAnsiTheme="minorEastAsia" w:eastAsiaTheme="minorEastAsia"/>
          <w:b w:val="0"/>
          <w:color w:val="auto"/>
          <w:spacing w:val="0"/>
          <w:sz w:val="21"/>
          <w:szCs w:val="21"/>
          <w:highlight w:val="none"/>
        </w:rPr>
        <w:t>场外衍生品交易文件：</w:t>
      </w:r>
      <w:r>
        <w:rPr>
          <w:rFonts w:hint="eastAsia" w:cs="Times New Roman" w:asciiTheme="minorEastAsia" w:hAnsiTheme="minorEastAsia" w:eastAsiaTheme="minorEastAsia"/>
          <w:color w:val="auto"/>
          <w:spacing w:val="0"/>
          <w:sz w:val="21"/>
          <w:szCs w:val="21"/>
          <w:highlight w:val="none"/>
        </w:rPr>
        <w:t>是指基金参与场外衍生品交易时，与交易对手方签署的衍生品交易主协议、补充协议、交易确认书以及履约保障协议等文件。</w:t>
      </w:r>
    </w:p>
    <w:p w14:paraId="5F28CD1D">
      <w:pPr>
        <w:adjustRightInd w:val="0"/>
        <w:snapToGrid w:val="0"/>
        <w:spacing w:before="93" w:beforeLines="30" w:after="93" w:afterLines="30" w:line="360" w:lineRule="auto"/>
        <w:ind w:firstLine="420" w:firstLineChars="200"/>
        <w:rPr>
          <w:rFonts w:hint="eastAsia" w:cs="Times New Roman" w:asciiTheme="minorEastAsia" w:hAnsiTheme="minorEastAsia" w:eastAsiaTheme="minorEastAsia"/>
          <w:color w:val="auto"/>
          <w:spacing w:val="0"/>
          <w:sz w:val="21"/>
          <w:szCs w:val="21"/>
          <w:highlight w:val="none"/>
        </w:rPr>
      </w:pPr>
      <w:r>
        <w:rPr>
          <w:rFonts w:hint="eastAsia" w:cs="Times New Roman" w:asciiTheme="minorEastAsia" w:hAnsiTheme="minorEastAsia" w:eastAsiaTheme="minorEastAsia"/>
          <w:color w:val="auto"/>
          <w:spacing w:val="0"/>
          <w:sz w:val="21"/>
          <w:szCs w:val="21"/>
          <w:highlight w:val="none"/>
        </w:rPr>
        <w:t>4</w:t>
      </w:r>
      <w:r>
        <w:rPr>
          <w:rFonts w:hint="eastAsia" w:cs="Times New Roman" w:asciiTheme="minorEastAsia" w:hAnsiTheme="minorEastAsia" w:eastAsiaTheme="minorEastAsia"/>
          <w:color w:val="auto"/>
          <w:spacing w:val="0"/>
          <w:sz w:val="21"/>
          <w:szCs w:val="21"/>
          <w:highlight w:val="none"/>
          <w:lang w:val="en-US" w:eastAsia="zh-CN"/>
        </w:rPr>
        <w:t>9</w:t>
      </w:r>
      <w:r>
        <w:rPr>
          <w:rFonts w:hint="eastAsia" w:cs="Times New Roman" w:asciiTheme="minorEastAsia" w:hAnsiTheme="minorEastAsia" w:eastAsiaTheme="minorEastAsia"/>
          <w:color w:val="auto"/>
          <w:spacing w:val="0"/>
          <w:sz w:val="21"/>
          <w:szCs w:val="21"/>
          <w:highlight w:val="none"/>
        </w:rPr>
        <w:t>、启用日：本基金启用指数增强业绩报酬之日，启用日由基金管理人确定，并由基金管理人通知托管人及私募基金服务机构，托管人及私募基金服务机构不负责审核启用日是否符合合同约定，且不因此承担任何责任。</w:t>
      </w:r>
    </w:p>
    <w:p w14:paraId="68359D40">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12" w:name="_Toc342036187"/>
      <w:bookmarkStart w:id="13" w:name="_Toc14883"/>
      <w:bookmarkStart w:id="14" w:name="_Toc459392405"/>
      <w:bookmarkStart w:id="15" w:name="_Toc110605404"/>
      <w:r>
        <w:rPr>
          <w:rFonts w:hint="eastAsia" w:asciiTheme="minorEastAsia" w:hAnsiTheme="minorEastAsia" w:eastAsiaTheme="minorEastAsia"/>
          <w:b/>
          <w:color w:val="auto"/>
          <w:sz w:val="28"/>
          <w:szCs w:val="28"/>
          <w:highlight w:val="none"/>
        </w:rPr>
        <w:t>三、声明与承诺</w:t>
      </w:r>
      <w:bookmarkEnd w:id="12"/>
      <w:bookmarkEnd w:id="13"/>
      <w:bookmarkEnd w:id="14"/>
      <w:bookmarkEnd w:id="15"/>
    </w:p>
    <w:p w14:paraId="3E6C37A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（一）私募基金管理人的声明与承诺</w:t>
      </w:r>
    </w:p>
    <w:p w14:paraId="4878CEB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1、私募基金管理人保证在募集资金前已在中国基金业协会登记为私募基金管理人【管理人登记编码：P1061585】。</w:t>
      </w:r>
    </w:p>
    <w:p w14:paraId="233906D7">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2、私募基金管理人声明，中国基金业协会为私募基金管理人和私募基金办理登记备案不构成对私募基金管理人投资能力、持续合规情况的认可；不作为对基金财产安全的保证。</w:t>
      </w:r>
    </w:p>
    <w:p w14:paraId="324FAF8A">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3、私募基金管理人保证已在签订本合同前揭示了相关风险；已经了解私募基金投资者的风险偏好、风险认知能力和承受能力。</w:t>
      </w:r>
    </w:p>
    <w:p w14:paraId="5D0D2EE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4、私募基金管理人承诺按照恪尽职守、诚实信用、谨慎勤勉的原则管理运用基金财产，不对基金活动的盈利性和最低收益作出承诺。</w:t>
      </w:r>
    </w:p>
    <w:p w14:paraId="057EF54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5、私募基金管理人承诺已向私募基金投资者明确介绍私募基金托管人所承担的职责与义务，未对私募基金托管人所承担的责任进行虚假宣传，私募基金管理人亦承诺不以私募基金托管人名义或利用私募基金托管人的商誉进行非法募集资金、承诺投资收益等违法违规活动。</w:t>
      </w:r>
    </w:p>
    <w:p w14:paraId="4D8458A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6、私募基金管理人同意并承诺</w:t>
      </w:r>
      <w:r>
        <w:rPr>
          <w:rFonts w:asciiTheme="minorEastAsia" w:hAnsiTheme="minorEastAsia" w:eastAsiaTheme="minorEastAsia"/>
          <w:b/>
          <w:color w:val="auto"/>
          <w:szCs w:val="21"/>
          <w:highlight w:val="none"/>
        </w:rPr>
        <w:t>，一经</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基金托管人要求，</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基金管理人立即向</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基金托管人提供</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基金管理人所持有的以反洗钱为目的的</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基金投资者的客户资料。如因</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基金管理人未履行</w:t>
      </w:r>
      <w:r>
        <w:rPr>
          <w:rFonts w:hint="eastAsia" w:asciiTheme="minorEastAsia" w:hAnsiTheme="minorEastAsia" w:eastAsiaTheme="minorEastAsia"/>
          <w:b/>
          <w:color w:val="auto"/>
          <w:szCs w:val="21"/>
          <w:highlight w:val="none"/>
        </w:rPr>
        <w:t>相关法律法规规定的</w:t>
      </w:r>
      <w:r>
        <w:rPr>
          <w:rFonts w:asciiTheme="minorEastAsia" w:hAnsiTheme="minorEastAsia" w:eastAsiaTheme="minorEastAsia"/>
          <w:b/>
          <w:color w:val="auto"/>
          <w:szCs w:val="21"/>
          <w:highlight w:val="none"/>
        </w:rPr>
        <w:t>反洗钱义务而导致</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基金托管人遭受包括监管处罚在内的任何损失，</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基金管理人应向</w:t>
      </w:r>
      <w:r>
        <w:rPr>
          <w:rFonts w:hint="eastAsia" w:asciiTheme="minorEastAsia" w:hAnsiTheme="minorEastAsia" w:eastAsiaTheme="minorEastAsia"/>
          <w:b/>
          <w:color w:val="auto"/>
          <w:szCs w:val="21"/>
          <w:highlight w:val="none"/>
        </w:rPr>
        <w:t>私募</w:t>
      </w:r>
      <w:r>
        <w:rPr>
          <w:rFonts w:asciiTheme="minorEastAsia" w:hAnsiTheme="minorEastAsia" w:eastAsiaTheme="minorEastAsia"/>
          <w:b/>
          <w:color w:val="auto"/>
          <w:szCs w:val="21"/>
          <w:highlight w:val="none"/>
        </w:rPr>
        <w:t>基金托管人承担赔偿责任。</w:t>
      </w:r>
    </w:p>
    <w:p w14:paraId="6F7B0512">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（二）私募基金托管人的声明与承诺</w:t>
      </w:r>
    </w:p>
    <w:p w14:paraId="69746087">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私募基金托管人承诺按照恪尽职守、诚实信用、谨慎勤勉的原则安全保管基金财产，并履行合同约定的其他义务。</w:t>
      </w:r>
    </w:p>
    <w:p w14:paraId="660EFDB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（三）私募基金投资者的声明与承诺</w:t>
      </w:r>
    </w:p>
    <w:p w14:paraId="7FA03B82">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1、</w:t>
      </w:r>
      <w:r>
        <w:rPr>
          <w:rFonts w:hint="eastAsia" w:asciiTheme="minorEastAsia" w:hAnsiTheme="minorEastAsia" w:eastAsiaTheme="minorEastAsia"/>
          <w:b/>
          <w:color w:val="auto"/>
          <w:szCs w:val="21"/>
          <w:highlight w:val="none"/>
        </w:rPr>
        <w:t>私募基金投资者声明其为符合《私募办法》规定的合格投资者，保证财产的来源及用途符合国家有关规定，并已充分理解本合同条款，了解相关权利义务，了解有关法律法规及所投资基金的风险收益特征，愿意承担相应的投资风险。</w:t>
      </w:r>
    </w:p>
    <w:p w14:paraId="52784608">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2、</w:t>
      </w:r>
      <w:r>
        <w:rPr>
          <w:rFonts w:hint="eastAsia" w:asciiTheme="minorEastAsia" w:hAnsiTheme="minorEastAsia" w:eastAsiaTheme="minorEastAsia"/>
          <w:b/>
          <w:color w:val="auto"/>
          <w:szCs w:val="21"/>
          <w:highlight w:val="none"/>
        </w:rPr>
        <w:t>私募基金投资者承诺其向私募基金管理人提供的有关投资目的、投资偏好、投资限制、财产收入情况和风险承受能力等基本情况真实、完整、准确、合法，不存在任何重大遗漏或误导。</w:t>
      </w:r>
    </w:p>
    <w:p w14:paraId="071FAFB7">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3、</w:t>
      </w:r>
      <w:r>
        <w:rPr>
          <w:rFonts w:hint="eastAsia" w:asciiTheme="minorEastAsia" w:hAnsiTheme="minorEastAsia" w:eastAsiaTheme="minorEastAsia"/>
          <w:b/>
          <w:color w:val="auto"/>
          <w:szCs w:val="21"/>
          <w:highlight w:val="none"/>
        </w:rPr>
        <w:t>前述信息资料如发生任何实质性变更，应当及时告知私募基金管理人或代销机构；</w:t>
      </w:r>
    </w:p>
    <w:p w14:paraId="6DEA25BF">
      <w:pPr>
        <w:adjustRightInd w:val="0"/>
        <w:snapToGrid w:val="0"/>
        <w:spacing w:before="93" w:beforeLines="30" w:after="93" w:afterLines="30" w:line="360" w:lineRule="auto"/>
        <w:ind w:firstLine="422" w:firstLineChars="200"/>
        <w:rPr>
          <w:rFonts w:hint="eastAsia"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4、</w:t>
      </w:r>
      <w:r>
        <w:rPr>
          <w:rFonts w:hint="eastAsia" w:asciiTheme="minorEastAsia" w:hAnsiTheme="minorEastAsia" w:eastAsiaTheme="minorEastAsia"/>
          <w:b/>
          <w:color w:val="auto"/>
          <w:szCs w:val="21"/>
          <w:highlight w:val="none"/>
        </w:rPr>
        <w:t>私募基金投资者知晓，私募基金管理人、私募基金托管人及相关机构不应对基金财产的收益状况做出任何承诺或担保。</w:t>
      </w:r>
    </w:p>
    <w:p w14:paraId="6FED7EDE">
      <w:pPr>
        <w:adjustRightInd w:val="0"/>
        <w:snapToGrid w:val="0"/>
        <w:spacing w:before="93" w:beforeLines="30" w:after="93" w:afterLines="30" w:line="360" w:lineRule="auto"/>
        <w:ind w:firstLine="422" w:firstLineChars="200"/>
        <w:rPr>
          <w:rFonts w:hint="eastAsia" w:asciiTheme="minorEastAsia" w:hAnsiTheme="minorEastAsia" w:eastAsiaTheme="minorEastAsia"/>
          <w:b/>
          <w:color w:val="auto"/>
          <w:szCs w:val="21"/>
          <w:highlight w:val="none"/>
          <w:lang w:val="en-US" w:eastAsia="zh-CN"/>
        </w:rPr>
      </w:pPr>
      <w:r>
        <w:rPr>
          <w:rFonts w:hint="eastAsia" w:asciiTheme="minorEastAsia" w:hAnsiTheme="minorEastAsia" w:eastAsiaTheme="minorEastAsia"/>
          <w:b/>
          <w:color w:val="auto"/>
          <w:szCs w:val="21"/>
          <w:highlight w:val="none"/>
          <w:lang w:val="en-US" w:eastAsia="zh-CN"/>
        </w:rPr>
        <w:t>5、为实现本合同目的，私募基金投资者理解并同意私募基金管理人收集、使用、留存、及处理本合同涉及到的必要个人信息，包括但不限于私募基金投资者的姓名、身份证号、出生日期、住址、电话号码、电子邮箱等。私募基金投资者知晓，根据法律法规的规定，私募基金管理人需处理投资者信息中的与法定代表人、受益所有人、经办人有关的个人信息，私募基金投资者承诺其提供的前述个人信息真实、准确、完整，且已履行《个人信息保护法》下个人信息处理者应履行的程序。</w:t>
      </w:r>
    </w:p>
    <w:p w14:paraId="22C71C32">
      <w:pPr>
        <w:adjustRightInd/>
        <w:snapToGrid/>
        <w:spacing w:before="0" w:beforeLines="-2147483648" w:after="0" w:afterLines="-2147483648" w:line="360" w:lineRule="auto"/>
        <w:ind w:firstLine="422" w:firstLineChars="200"/>
        <w:rPr>
          <w:rFonts w:hint="eastAsia"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lang w:val="en-US" w:eastAsia="zh-CN"/>
        </w:rPr>
        <w:t>6、</w:t>
      </w:r>
      <w:r>
        <w:rPr>
          <w:rFonts w:hint="eastAsia" w:ascii="宋体" w:hAnsi="宋体"/>
          <w:b/>
          <w:color w:val="auto"/>
          <w:szCs w:val="21"/>
          <w:highlight w:val="none"/>
        </w:rPr>
        <w:t>私募基金投资者知晓，中国基金业协会为私募投资基金办理备案不构成对私募基金管理人投资能力的认可，亦不构成对管理人和私募投资基金合规情况的认可，不作为对私募投资基金财产安全的保证。投资者承诺自行识别私募投资基金投资风险并承担投资行为可能出现的损失。</w:t>
      </w:r>
    </w:p>
    <w:p w14:paraId="053FD315">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16" w:name="_Toc110605405"/>
      <w:bookmarkStart w:id="17" w:name="_Toc459392406"/>
      <w:bookmarkStart w:id="18" w:name="_Toc3260"/>
      <w:bookmarkStart w:id="19" w:name="_Toc194741907"/>
      <w:r>
        <w:rPr>
          <w:rFonts w:hint="eastAsia" w:asciiTheme="minorEastAsia" w:hAnsiTheme="minorEastAsia" w:eastAsiaTheme="minorEastAsia"/>
          <w:b/>
          <w:color w:val="auto"/>
          <w:sz w:val="28"/>
          <w:szCs w:val="28"/>
          <w:highlight w:val="none"/>
        </w:rPr>
        <w:t>四、基金的基本情况</w:t>
      </w:r>
      <w:bookmarkEnd w:id="16"/>
      <w:bookmarkEnd w:id="17"/>
      <w:bookmarkEnd w:id="18"/>
    </w:p>
    <w:p w14:paraId="51E735E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（一）基金的名称：</w:t>
      </w:r>
      <w:r>
        <w:rPr>
          <w:rFonts w:hint="eastAsia" w:asciiTheme="minorEastAsia" w:hAnsiTheme="minorEastAsia" w:eastAsiaTheme="minorEastAsia"/>
          <w:color w:val="auto"/>
          <w:szCs w:val="21"/>
          <w:highlight w:val="none"/>
          <w:lang w:eastAsia="zh-CN"/>
        </w:rPr>
        <w:t>石云福禄1000指数增强一号私募证券投资基金</w:t>
      </w:r>
      <w:r>
        <w:rPr>
          <w:rFonts w:hint="eastAsia" w:asciiTheme="minorEastAsia" w:hAnsiTheme="minorEastAsia" w:eastAsiaTheme="minorEastAsia"/>
          <w:color w:val="auto"/>
          <w:szCs w:val="21"/>
          <w:highlight w:val="none"/>
        </w:rPr>
        <w:t>。</w:t>
      </w:r>
    </w:p>
    <w:p w14:paraId="0E0D77D1">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（二）</w:t>
      </w:r>
      <w:r>
        <w:rPr>
          <w:rFonts w:hint="eastAsia" w:asciiTheme="minorEastAsia" w:hAnsiTheme="minorEastAsia" w:eastAsiaTheme="minorEastAsia"/>
          <w:color w:val="auto"/>
          <w:szCs w:val="21"/>
          <w:highlight w:val="none"/>
          <w:lang w:val="en-US" w:eastAsia="zh-CN"/>
        </w:rPr>
        <w:t>基金的类型：</w:t>
      </w:r>
      <w:r>
        <w:rPr>
          <w:rFonts w:hint="eastAsia" w:asciiTheme="minorEastAsia" w:hAnsiTheme="minorEastAsia" w:eastAsiaTheme="minorEastAsia"/>
          <w:color w:val="auto"/>
          <w:szCs w:val="21"/>
          <w:highlight w:val="none"/>
        </w:rPr>
        <w:t>权益类</w:t>
      </w:r>
      <w:r>
        <w:rPr>
          <w:rFonts w:hint="eastAsia" w:asciiTheme="minorEastAsia" w:hAnsiTheme="minorEastAsia" w:eastAsiaTheme="minorEastAsia"/>
          <w:color w:val="auto"/>
          <w:szCs w:val="21"/>
          <w:highlight w:val="none"/>
          <w:lang w:eastAsia="zh-CN"/>
        </w:rPr>
        <w:t>。</w:t>
      </w:r>
    </w:p>
    <w:p w14:paraId="265B6A3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三</w:t>
      </w:r>
      <w:r>
        <w:rPr>
          <w:rFonts w:hint="eastAsia" w:asciiTheme="minorEastAsia" w:hAnsiTheme="minorEastAsia" w:eastAsiaTheme="minorEastAsia"/>
          <w:color w:val="auto"/>
          <w:szCs w:val="21"/>
          <w:highlight w:val="none"/>
        </w:rPr>
        <w:t>）基金的运作方式：开放式。</w:t>
      </w:r>
    </w:p>
    <w:p w14:paraId="5D8B1EB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四</w:t>
      </w:r>
      <w:r>
        <w:rPr>
          <w:rFonts w:hint="eastAsia" w:asciiTheme="minorEastAsia" w:hAnsiTheme="minorEastAsia" w:eastAsiaTheme="minorEastAsia"/>
          <w:color w:val="auto"/>
          <w:szCs w:val="21"/>
          <w:highlight w:val="none"/>
        </w:rPr>
        <w:t>）基金的投资目标和投资范围：</w:t>
      </w:r>
    </w:p>
    <w:p w14:paraId="7A7D9CA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投资目标和投资范围请参见合同第十一章“基金的投资”。</w:t>
      </w:r>
    </w:p>
    <w:p w14:paraId="30A96EC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五</w:t>
      </w:r>
      <w:r>
        <w:rPr>
          <w:rFonts w:hint="eastAsia" w:asciiTheme="minorEastAsia" w:hAnsiTheme="minorEastAsia" w:eastAsiaTheme="minorEastAsia"/>
          <w:color w:val="auto"/>
          <w:szCs w:val="21"/>
          <w:highlight w:val="none"/>
        </w:rPr>
        <w:t>）基金的存续期限：</w:t>
      </w:r>
    </w:p>
    <w:p w14:paraId="412997F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本基金自成立之日起计算的</w:t>
      </w:r>
      <w:r>
        <w:rPr>
          <w:rFonts w:hint="eastAsia" w:asciiTheme="minorEastAsia" w:hAnsiTheme="minorEastAsia" w:eastAsiaTheme="minorEastAsia"/>
          <w:color w:val="auto"/>
          <w:szCs w:val="21"/>
          <w:highlight w:val="none"/>
          <w:lang w:val="en-US" w:eastAsia="zh-CN"/>
        </w:rPr>
        <w:t>20</w:t>
      </w:r>
      <w:r>
        <w:rPr>
          <w:rFonts w:asciiTheme="minorEastAsia" w:hAnsiTheme="minorEastAsia" w:eastAsiaTheme="minorEastAsia"/>
          <w:color w:val="auto"/>
          <w:szCs w:val="21"/>
          <w:highlight w:val="none"/>
        </w:rPr>
        <w:t>年为固定存续期限，</w:t>
      </w:r>
      <w:r>
        <w:rPr>
          <w:rFonts w:hint="eastAsia" w:asciiTheme="minorEastAsia" w:hAnsiTheme="minorEastAsia" w:eastAsiaTheme="minorEastAsia"/>
          <w:color w:val="auto"/>
          <w:szCs w:val="21"/>
          <w:highlight w:val="none"/>
          <w:lang w:val="en-US" w:eastAsia="zh-CN"/>
        </w:rPr>
        <w:t>20</w:t>
      </w:r>
      <w:r>
        <w:rPr>
          <w:rFonts w:asciiTheme="minorEastAsia" w:hAnsiTheme="minorEastAsia" w:eastAsiaTheme="minorEastAsia"/>
          <w:color w:val="auto"/>
          <w:szCs w:val="21"/>
          <w:highlight w:val="none"/>
        </w:rPr>
        <w:t>年后的对应月对应日的前一天即为到期日，如到期日为非工作日的，非工作日后的第1个工作日视为到期日。</w:t>
      </w:r>
    </w:p>
    <w:p w14:paraId="0B8BC824">
      <w:pPr>
        <w:numPr>
          <w:ilvl w:val="-1"/>
          <w:numId w:val="0"/>
        </w:num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六</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基金份额的初始募集面值：人民币1.00</w:t>
      </w:r>
      <w:r>
        <w:rPr>
          <w:rFonts w:asciiTheme="minorEastAsia" w:hAnsiTheme="minorEastAsia" w:eastAsiaTheme="minorEastAsia"/>
          <w:color w:val="auto"/>
          <w:szCs w:val="21"/>
          <w:highlight w:val="none"/>
        </w:rPr>
        <w:t>00</w:t>
      </w:r>
      <w:r>
        <w:rPr>
          <w:rFonts w:hint="eastAsia" w:asciiTheme="minorEastAsia" w:hAnsiTheme="minorEastAsia" w:eastAsiaTheme="minorEastAsia"/>
          <w:color w:val="auto"/>
          <w:szCs w:val="21"/>
          <w:highlight w:val="none"/>
        </w:rPr>
        <w:t>元。</w:t>
      </w:r>
    </w:p>
    <w:p w14:paraId="6BF561CD">
      <w:pPr>
        <w:pStyle w:val="10"/>
        <w:adjustRightInd w:val="0"/>
        <w:snapToGrid w:val="0"/>
        <w:spacing w:before="93" w:beforeLines="30" w:after="93" w:afterLines="30" w:line="360" w:lineRule="auto"/>
        <w:ind w:firstLine="420" w:firstLineChars="200"/>
        <w:rPr>
          <w:rFonts w:hint="default" w:asciiTheme="minorEastAsia" w:hAnsiTheme="minorEastAsia" w:eastAsiaTheme="minorEastAsia"/>
          <w:color w:val="auto"/>
          <w:szCs w:val="21"/>
          <w:highlight w:val="none"/>
          <w:lang w:val="en-US" w:eastAsia="zh-CN"/>
        </w:rPr>
      </w:pPr>
      <w:r>
        <w:rPr>
          <w:rFonts w:hint="eastAsia" w:ascii="宋体" w:hAnsi="宋体"/>
          <w:color w:val="auto"/>
          <w:szCs w:val="21"/>
          <w:highlight w:val="none"/>
        </w:rPr>
        <w:t>本基金存在不同类别份额，除本合同另有约定外，同类别的每份基金份额具有同等的合法权益。</w:t>
      </w:r>
    </w:p>
    <w:p w14:paraId="417B210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七</w:t>
      </w:r>
      <w:r>
        <w:rPr>
          <w:rFonts w:hint="eastAsia" w:asciiTheme="minorEastAsia" w:hAnsiTheme="minorEastAsia" w:eastAsiaTheme="minorEastAsia"/>
          <w:color w:val="auto"/>
          <w:szCs w:val="21"/>
          <w:highlight w:val="none"/>
        </w:rPr>
        <w:t>）基金的托管事项：本基金财产由基金托管人进行托管。本基金托管人为</w:t>
      </w:r>
      <w:r>
        <w:rPr>
          <w:rFonts w:hint="eastAsia" w:asciiTheme="minorEastAsia" w:hAnsiTheme="minorEastAsia" w:eastAsiaTheme="minorEastAsia"/>
          <w:color w:val="auto"/>
          <w:szCs w:val="21"/>
          <w:highlight w:val="none"/>
          <w:lang w:eastAsia="zh-CN"/>
        </w:rPr>
        <w:t>招商证券股份有限公司</w:t>
      </w:r>
      <w:r>
        <w:rPr>
          <w:rFonts w:hint="eastAsia" w:asciiTheme="minorEastAsia" w:hAnsiTheme="minorEastAsia" w:eastAsiaTheme="minorEastAsia"/>
          <w:color w:val="auto"/>
          <w:szCs w:val="21"/>
          <w:highlight w:val="none"/>
        </w:rPr>
        <w:t>。</w:t>
      </w:r>
    </w:p>
    <w:p w14:paraId="64330CE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八</w:t>
      </w:r>
      <w:r>
        <w:rPr>
          <w:rFonts w:hint="eastAsia" w:asciiTheme="minorEastAsia" w:hAnsiTheme="minorEastAsia" w:eastAsiaTheme="minorEastAsia"/>
          <w:color w:val="auto"/>
          <w:szCs w:val="21"/>
          <w:highlight w:val="none"/>
        </w:rPr>
        <w:t>）基金的服务事项：本基金的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服务机构为本基金提供份额登记、估值核算等外包事项服务。</w:t>
      </w:r>
    </w:p>
    <w:p w14:paraId="13C2CC7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Cs/>
          <w:color w:val="auto"/>
          <w:szCs w:val="21"/>
          <w:highlight w:val="none"/>
        </w:rPr>
        <w:t>本基金的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服务机构为兴业证券股份有限公司。本基金的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服务机构已完成在基金业协会的备案，编号为</w:t>
      </w:r>
      <w:r>
        <w:rPr>
          <w:rFonts w:asciiTheme="minorEastAsia" w:hAnsiTheme="minorEastAsia" w:eastAsiaTheme="minorEastAsia"/>
          <w:color w:val="auto"/>
          <w:szCs w:val="21"/>
          <w:highlight w:val="none"/>
        </w:rPr>
        <w:t>A00019</w:t>
      </w:r>
      <w:r>
        <w:rPr>
          <w:rFonts w:hint="eastAsia" w:asciiTheme="minorEastAsia" w:hAnsiTheme="minorEastAsia" w:eastAsiaTheme="minorEastAsia"/>
          <w:color w:val="auto"/>
          <w:szCs w:val="21"/>
          <w:highlight w:val="none"/>
        </w:rPr>
        <w:t>。</w:t>
      </w:r>
    </w:p>
    <w:p w14:paraId="540FE17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Cs/>
          <w:color w:val="auto"/>
          <w:szCs w:val="21"/>
          <w:highlight w:val="none"/>
        </w:rPr>
        <w:t>本基金的管理人直销募集账户监督机构为【</w:t>
      </w:r>
      <w:r>
        <w:rPr>
          <w:rFonts w:hint="eastAsia" w:asciiTheme="minorEastAsia" w:hAnsiTheme="minorEastAsia" w:eastAsiaTheme="minorEastAsia"/>
          <w:b/>
          <w:color w:val="auto"/>
          <w:szCs w:val="21"/>
          <w:highlight w:val="none"/>
        </w:rPr>
        <w:t>兴业证券股份有限</w:t>
      </w:r>
      <w:r>
        <w:rPr>
          <w:rFonts w:hint="eastAsia" w:asciiTheme="minorEastAsia" w:hAnsiTheme="minorEastAsia" w:eastAsiaTheme="minorEastAsia"/>
          <w:b/>
          <w:bCs/>
          <w:color w:val="auto"/>
          <w:szCs w:val="21"/>
          <w:highlight w:val="none"/>
        </w:rPr>
        <w:t>公司</w:t>
      </w:r>
      <w:r>
        <w:rPr>
          <w:rFonts w:hint="eastAsia" w:asciiTheme="minorEastAsia" w:hAnsiTheme="minorEastAsia" w:eastAsiaTheme="minorEastAsia"/>
          <w:bCs/>
          <w:color w:val="auto"/>
          <w:szCs w:val="21"/>
          <w:highlight w:val="none"/>
        </w:rPr>
        <w:t>】。</w:t>
      </w:r>
    </w:p>
    <w:p w14:paraId="62B8152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九</w:t>
      </w:r>
      <w:r>
        <w:rPr>
          <w:rFonts w:hint="eastAsia" w:asciiTheme="minorEastAsia" w:hAnsiTheme="minorEastAsia" w:eastAsiaTheme="minorEastAsia"/>
          <w:color w:val="auto"/>
          <w:szCs w:val="21"/>
          <w:highlight w:val="none"/>
        </w:rPr>
        <w:t>）基金的预警与止损（如有）：</w:t>
      </w:r>
    </w:p>
    <w:p w14:paraId="19C6CA8C">
      <w:pPr>
        <w:adjustRightInd w:val="0"/>
        <w:snapToGrid w:val="0"/>
        <w:spacing w:before="93" w:beforeLines="30" w:after="93" w:afterLines="30" w:line="372" w:lineRule="auto"/>
        <w:ind w:firstLine="420" w:firstLineChars="200"/>
        <w:rPr>
          <w:rFonts w:hint="eastAsia" w:asciiTheme="minorEastAsia" w:hAnsiTheme="minorEastAsia" w:eastAsiaTheme="minorEastAsia"/>
          <w:color w:val="auto"/>
          <w:szCs w:val="21"/>
          <w:highlight w:val="none"/>
        </w:rPr>
      </w:pPr>
      <w:bookmarkStart w:id="20" w:name="_Toc381953524"/>
      <w:bookmarkStart w:id="21" w:name="_Toc459392407"/>
      <w:r>
        <w:rPr>
          <w:rFonts w:hint="eastAsia" w:asciiTheme="minorEastAsia" w:hAnsiTheme="minorEastAsia" w:eastAsiaTheme="minorEastAsia"/>
          <w:color w:val="auto"/>
          <w:szCs w:val="21"/>
          <w:highlight w:val="none"/>
          <w:lang w:val="en-US" w:eastAsia="zh-CN"/>
        </w:rPr>
        <w:t>本基金不设置预警线、止损线</w:t>
      </w:r>
      <w:r>
        <w:rPr>
          <w:rFonts w:hint="eastAsia" w:asciiTheme="minorEastAsia" w:hAnsiTheme="minorEastAsia" w:eastAsiaTheme="minorEastAsia"/>
          <w:color w:val="auto"/>
          <w:szCs w:val="21"/>
          <w:highlight w:val="none"/>
        </w:rPr>
        <w:t>。</w:t>
      </w:r>
    </w:p>
    <w:p w14:paraId="338A058B">
      <w:pPr>
        <w:spacing w:line="360" w:lineRule="auto"/>
        <w:ind w:firstLine="420" w:firstLineChars="200"/>
        <w:rPr>
          <w:rFonts w:ascii="宋体" w:hAnsi="宋体"/>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十</w:t>
      </w:r>
      <w:r>
        <w:rPr>
          <w:rFonts w:hint="eastAsia" w:asciiTheme="minorEastAsia" w:hAnsiTheme="minorEastAsia" w:eastAsiaTheme="minorEastAsia"/>
          <w:color w:val="auto"/>
          <w:szCs w:val="21"/>
          <w:highlight w:val="none"/>
        </w:rPr>
        <w:t>）</w:t>
      </w:r>
      <w:r>
        <w:rPr>
          <w:rFonts w:hint="eastAsia" w:ascii="宋体" w:hAnsi="宋体"/>
          <w:color w:val="auto"/>
          <w:szCs w:val="21"/>
          <w:highlight w:val="none"/>
        </w:rPr>
        <w:t>基金的份额分类：</w:t>
      </w:r>
    </w:p>
    <w:p w14:paraId="6EA22167">
      <w:pP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1、基金份额的不同类别</w:t>
      </w:r>
    </w:p>
    <w:p w14:paraId="4FC2C2A4">
      <w:pP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私募基金管理人【以不同的特定募集对象】为依据，将份额分为【</w:t>
      </w:r>
      <w:r>
        <w:rPr>
          <w:rFonts w:ascii="宋体" w:hAnsi="宋体"/>
          <w:color w:val="auto"/>
          <w:szCs w:val="21"/>
          <w:highlight w:val="none"/>
        </w:rPr>
        <w:t>A</w:t>
      </w:r>
      <w:r>
        <w:rPr>
          <w:rFonts w:hint="eastAsia" w:ascii="宋体" w:hAnsi="宋体"/>
          <w:color w:val="auto"/>
          <w:szCs w:val="21"/>
          <w:highlight w:val="none"/>
        </w:rPr>
        <w:t>类份额</w:t>
      </w:r>
      <w:r>
        <w:rPr>
          <w:rFonts w:hint="eastAsia" w:ascii="宋体" w:hAnsi="宋体"/>
          <w:color w:val="auto"/>
          <w:szCs w:val="21"/>
          <w:highlight w:val="none"/>
          <w:lang w:eastAsia="zh-CN"/>
        </w:rPr>
        <w:t>、</w:t>
      </w:r>
      <w:r>
        <w:rPr>
          <w:rFonts w:hint="eastAsia" w:ascii="宋体" w:hAnsi="宋体"/>
          <w:color w:val="auto"/>
          <w:szCs w:val="21"/>
          <w:highlight w:val="none"/>
          <w:lang w:val="en-US" w:eastAsia="zh-CN"/>
        </w:rPr>
        <w:t>B类份额、C类份额</w:t>
      </w:r>
      <w:r>
        <w:rPr>
          <w:rFonts w:hint="eastAsia" w:ascii="宋体" w:hAnsi="宋体"/>
          <w:color w:val="auto"/>
          <w:szCs w:val="21"/>
          <w:highlight w:val="none"/>
        </w:rPr>
        <w:t>和</w:t>
      </w:r>
      <w:r>
        <w:rPr>
          <w:rFonts w:hint="eastAsia" w:ascii="宋体" w:hAnsi="宋体"/>
          <w:color w:val="auto"/>
          <w:szCs w:val="21"/>
          <w:highlight w:val="none"/>
          <w:lang w:val="en-US" w:eastAsia="zh-CN"/>
        </w:rPr>
        <w:t>D</w:t>
      </w:r>
      <w:r>
        <w:rPr>
          <w:rFonts w:hint="eastAsia" w:ascii="宋体" w:hAnsi="宋体"/>
          <w:color w:val="auto"/>
          <w:szCs w:val="21"/>
          <w:highlight w:val="none"/>
        </w:rPr>
        <w:t>类份额】。本基金的份额分类安排并非结构化或分级安排，不存在一类份额为其他份额提供风险补偿的情形。任意一类份额的申购和赎回均不影响本基金的存续，但所有类别份额全部被赎回的情况除外。除在以下具体列示方面以及合同约定的其他方面存在差异外，各类份额持有人享有相同的权利和义务。</w:t>
      </w:r>
    </w:p>
    <w:p w14:paraId="412D3E32">
      <w:pP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私募基金管理人应对投资者是否符合其拟认</w:t>
      </w:r>
      <w:r>
        <w:rPr>
          <w:rFonts w:ascii="宋体" w:hAnsi="宋体"/>
          <w:color w:val="auto"/>
          <w:szCs w:val="21"/>
          <w:highlight w:val="none"/>
        </w:rPr>
        <w:t>/</w:t>
      </w:r>
      <w:r>
        <w:rPr>
          <w:rFonts w:hint="eastAsia" w:ascii="宋体" w:hAnsi="宋体"/>
          <w:color w:val="auto"/>
          <w:szCs w:val="21"/>
          <w:highlight w:val="none"/>
        </w:rPr>
        <w:t>申购的特定基金份额的资质要求进行妥善审核，托管人和份额登记机构对此不承担任何审核、复核职责，份额登记操作仅以管理人提交的申请为准。如因管理人允许不符合【</w:t>
      </w:r>
      <w:r>
        <w:rPr>
          <w:rFonts w:ascii="宋体" w:hAnsi="宋体"/>
          <w:color w:val="auto"/>
          <w:szCs w:val="21"/>
          <w:highlight w:val="none"/>
        </w:rPr>
        <w:t>A</w:t>
      </w:r>
      <w:r>
        <w:rPr>
          <w:rFonts w:hint="eastAsia" w:ascii="宋体" w:hAnsi="宋体"/>
          <w:color w:val="auto"/>
          <w:szCs w:val="21"/>
          <w:highlight w:val="none"/>
        </w:rPr>
        <w:t>类或</w:t>
      </w:r>
      <w:r>
        <w:rPr>
          <w:rFonts w:ascii="宋体" w:hAnsi="宋体"/>
          <w:color w:val="auto"/>
          <w:szCs w:val="21"/>
          <w:highlight w:val="none"/>
        </w:rPr>
        <w:t>B</w:t>
      </w:r>
      <w:r>
        <w:rPr>
          <w:rFonts w:hint="eastAsia" w:ascii="宋体" w:hAnsi="宋体"/>
          <w:color w:val="auto"/>
          <w:szCs w:val="21"/>
          <w:highlight w:val="none"/>
        </w:rPr>
        <w:t>类</w:t>
      </w:r>
      <w:r>
        <w:rPr>
          <w:rFonts w:hint="eastAsia" w:ascii="宋体" w:hAnsi="宋体"/>
          <w:color w:val="auto"/>
          <w:szCs w:val="21"/>
          <w:highlight w:val="none"/>
          <w:lang w:val="en-US" w:eastAsia="zh-CN"/>
        </w:rPr>
        <w:t>或C类或D类</w:t>
      </w:r>
      <w:r>
        <w:rPr>
          <w:rFonts w:hint="eastAsia" w:ascii="宋体" w:hAnsi="宋体"/>
          <w:color w:val="auto"/>
          <w:szCs w:val="21"/>
          <w:highlight w:val="none"/>
        </w:rPr>
        <w:t>份额】要求的投资者认购、申购该等份额，对任何一方造成损失的，份额登记机构以及私募基金托管人不承担任何赔偿责任。</w:t>
      </w:r>
    </w:p>
    <w:p w14:paraId="08E56983">
      <w:pPr>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本基金对【A类份额</w:t>
      </w:r>
      <w:r>
        <w:rPr>
          <w:rFonts w:hint="eastAsia" w:ascii="宋体" w:hAnsi="宋体"/>
          <w:color w:val="auto"/>
          <w:szCs w:val="21"/>
          <w:highlight w:val="none"/>
          <w:lang w:eastAsia="zh-CN"/>
        </w:rPr>
        <w:t>、</w:t>
      </w:r>
      <w:r>
        <w:rPr>
          <w:rFonts w:hint="eastAsia" w:ascii="宋体" w:hAnsi="宋体"/>
          <w:color w:val="auto"/>
          <w:szCs w:val="21"/>
          <w:highlight w:val="none"/>
          <w:lang w:val="en-US" w:eastAsia="zh-CN"/>
        </w:rPr>
        <w:t>B类份额、C类份额</w:t>
      </w:r>
      <w:r>
        <w:rPr>
          <w:rFonts w:hint="eastAsia" w:ascii="宋体" w:hAnsi="宋体"/>
          <w:color w:val="auto"/>
          <w:szCs w:val="21"/>
          <w:highlight w:val="none"/>
        </w:rPr>
        <w:t>和</w:t>
      </w:r>
      <w:r>
        <w:rPr>
          <w:rFonts w:hint="eastAsia" w:ascii="宋体" w:hAnsi="宋体"/>
          <w:color w:val="auto"/>
          <w:szCs w:val="21"/>
          <w:highlight w:val="none"/>
          <w:lang w:val="en-US" w:eastAsia="zh-CN"/>
        </w:rPr>
        <w:t>D</w:t>
      </w:r>
      <w:r>
        <w:rPr>
          <w:rFonts w:hint="eastAsia" w:ascii="宋体" w:hAnsi="宋体"/>
          <w:color w:val="auto"/>
          <w:szCs w:val="21"/>
          <w:highlight w:val="none"/>
        </w:rPr>
        <w:t>类份额】的部分分类约定如下：</w:t>
      </w:r>
    </w:p>
    <w:tbl>
      <w:tblPr>
        <w:tblStyle w:val="7"/>
        <w:tblW w:w="743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33"/>
        <w:gridCol w:w="1488"/>
        <w:gridCol w:w="1463"/>
        <w:gridCol w:w="1364"/>
        <w:gridCol w:w="1586"/>
      </w:tblGrid>
      <w:tr w14:paraId="52134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Pr>
          <w:p w14:paraId="2BADB5A3">
            <w:pPr>
              <w:spacing w:line="360" w:lineRule="auto"/>
              <w:jc w:val="left"/>
              <w:rPr>
                <w:rFonts w:ascii="宋体" w:hAnsi="宋体"/>
                <w:color w:val="auto"/>
                <w:szCs w:val="21"/>
                <w:highlight w:val="none"/>
              </w:rPr>
            </w:pPr>
          </w:p>
        </w:tc>
        <w:tc>
          <w:tcPr>
            <w:tcW w:w="1488" w:type="dxa"/>
          </w:tcPr>
          <w:p w14:paraId="0813A5FB">
            <w:pPr>
              <w:spacing w:line="360" w:lineRule="auto"/>
              <w:jc w:val="left"/>
              <w:rPr>
                <w:rFonts w:ascii="宋体" w:hAnsi="宋体"/>
                <w:color w:val="auto"/>
                <w:szCs w:val="21"/>
                <w:highlight w:val="none"/>
              </w:rPr>
            </w:pPr>
            <w:r>
              <w:rPr>
                <w:rFonts w:hint="eastAsia" w:ascii="宋体" w:hAnsi="宋体"/>
                <w:color w:val="auto"/>
                <w:szCs w:val="21"/>
                <w:highlight w:val="none"/>
              </w:rPr>
              <w:t>A类份额</w:t>
            </w:r>
          </w:p>
        </w:tc>
        <w:tc>
          <w:tcPr>
            <w:tcW w:w="1463" w:type="dxa"/>
          </w:tcPr>
          <w:p w14:paraId="15A63496">
            <w:pPr>
              <w:spacing w:line="360" w:lineRule="auto"/>
              <w:jc w:val="left"/>
              <w:rPr>
                <w:rFonts w:ascii="宋体" w:hAnsi="宋体"/>
                <w:color w:val="auto"/>
                <w:szCs w:val="21"/>
                <w:highlight w:val="none"/>
              </w:rPr>
            </w:pPr>
            <w:r>
              <w:rPr>
                <w:rFonts w:hint="eastAsia" w:ascii="宋体" w:hAnsi="宋体"/>
                <w:color w:val="auto"/>
                <w:szCs w:val="21"/>
                <w:highlight w:val="none"/>
              </w:rPr>
              <w:t>B类份额</w:t>
            </w:r>
          </w:p>
        </w:tc>
        <w:tc>
          <w:tcPr>
            <w:tcW w:w="1364" w:type="dxa"/>
          </w:tcPr>
          <w:p w14:paraId="0C22FF34">
            <w:pPr>
              <w:spacing w:line="360" w:lineRule="auto"/>
              <w:jc w:val="left"/>
              <w:rPr>
                <w:rFonts w:hint="eastAsia" w:ascii="宋体" w:hAnsi="宋体"/>
                <w:color w:val="auto"/>
                <w:szCs w:val="21"/>
                <w:highlight w:val="none"/>
              </w:rPr>
            </w:pPr>
            <w:r>
              <w:rPr>
                <w:rFonts w:hint="eastAsia" w:ascii="宋体" w:hAnsi="宋体"/>
                <w:color w:val="auto"/>
                <w:szCs w:val="21"/>
                <w:highlight w:val="none"/>
                <w:lang w:val="en-US" w:eastAsia="zh-CN"/>
              </w:rPr>
              <w:t>C</w:t>
            </w:r>
            <w:r>
              <w:rPr>
                <w:rFonts w:hint="eastAsia" w:ascii="宋体" w:hAnsi="宋体"/>
                <w:color w:val="auto"/>
                <w:szCs w:val="21"/>
                <w:highlight w:val="none"/>
              </w:rPr>
              <w:t>类份额</w:t>
            </w:r>
          </w:p>
        </w:tc>
        <w:tc>
          <w:tcPr>
            <w:tcW w:w="1586" w:type="dxa"/>
          </w:tcPr>
          <w:p w14:paraId="34E875B0">
            <w:pPr>
              <w:spacing w:line="360" w:lineRule="auto"/>
              <w:jc w:val="left"/>
              <w:rPr>
                <w:rFonts w:hint="eastAsia" w:ascii="宋体" w:hAnsi="宋体"/>
                <w:color w:val="auto"/>
                <w:szCs w:val="21"/>
                <w:highlight w:val="none"/>
              </w:rPr>
            </w:pPr>
            <w:r>
              <w:rPr>
                <w:rFonts w:hint="eastAsia" w:ascii="宋体" w:hAnsi="宋体"/>
                <w:color w:val="auto"/>
                <w:szCs w:val="21"/>
                <w:highlight w:val="none"/>
                <w:lang w:val="en-US" w:eastAsia="zh-CN"/>
              </w:rPr>
              <w:t>D</w:t>
            </w:r>
            <w:r>
              <w:rPr>
                <w:rFonts w:hint="eastAsia" w:ascii="宋体" w:hAnsi="宋体"/>
                <w:color w:val="auto"/>
                <w:szCs w:val="21"/>
                <w:highlight w:val="none"/>
              </w:rPr>
              <w:t>类份额</w:t>
            </w:r>
          </w:p>
        </w:tc>
      </w:tr>
      <w:tr w14:paraId="090E3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Pr>
          <w:p w14:paraId="3CD14BB6">
            <w:pPr>
              <w:spacing w:line="360" w:lineRule="auto"/>
              <w:jc w:val="left"/>
              <w:rPr>
                <w:rFonts w:ascii="宋体" w:hAnsi="宋体"/>
                <w:color w:val="auto"/>
                <w:szCs w:val="21"/>
                <w:highlight w:val="none"/>
              </w:rPr>
            </w:pPr>
            <w:r>
              <w:rPr>
                <w:rFonts w:hint="eastAsia" w:ascii="宋体" w:hAnsi="宋体"/>
                <w:color w:val="auto"/>
                <w:szCs w:val="21"/>
                <w:highlight w:val="none"/>
              </w:rPr>
              <w:t>分类标准</w:t>
            </w:r>
          </w:p>
        </w:tc>
        <w:tc>
          <w:tcPr>
            <w:tcW w:w="1488" w:type="dxa"/>
          </w:tcPr>
          <w:p w14:paraId="5E0ADF2E">
            <w:pPr>
              <w:spacing w:line="360" w:lineRule="auto"/>
              <w:jc w:val="left"/>
              <w:rPr>
                <w:rFonts w:ascii="宋体" w:hAnsi="宋体"/>
                <w:color w:val="auto"/>
                <w:szCs w:val="21"/>
                <w:highlight w:val="none"/>
              </w:rPr>
            </w:pPr>
            <w:r>
              <w:rPr>
                <w:rFonts w:hint="eastAsia" w:ascii="宋体" w:hAnsi="宋体"/>
                <w:color w:val="auto"/>
                <w:szCs w:val="21"/>
                <w:highlight w:val="none"/>
              </w:rPr>
              <w:t>向【由基金管理人委托的代销机构向自然人合格投资者】代销募集的基金份额。</w:t>
            </w:r>
          </w:p>
        </w:tc>
        <w:tc>
          <w:tcPr>
            <w:tcW w:w="1463" w:type="dxa"/>
          </w:tcPr>
          <w:p w14:paraId="2FC51DB3">
            <w:pPr>
              <w:spacing w:line="360" w:lineRule="auto"/>
              <w:jc w:val="left"/>
              <w:rPr>
                <w:rFonts w:ascii="宋体" w:hAnsi="宋体"/>
                <w:color w:val="auto"/>
                <w:szCs w:val="21"/>
                <w:highlight w:val="none"/>
              </w:rPr>
            </w:pPr>
            <w:r>
              <w:rPr>
                <w:rFonts w:hint="eastAsia" w:ascii="宋体" w:hAnsi="宋体"/>
                <w:color w:val="auto"/>
                <w:szCs w:val="21"/>
                <w:highlight w:val="none"/>
              </w:rPr>
              <w:t>向【由基金管理人委托的代销机构向除自然人合格投资者以外的其他合格投资者】代销募集的基金份额。</w:t>
            </w:r>
          </w:p>
        </w:tc>
        <w:tc>
          <w:tcPr>
            <w:tcW w:w="1364" w:type="dxa"/>
          </w:tcPr>
          <w:p w14:paraId="062A269B">
            <w:pPr>
              <w:spacing w:line="360" w:lineRule="auto"/>
              <w:jc w:val="left"/>
              <w:rPr>
                <w:rFonts w:hint="eastAsia" w:ascii="宋体" w:hAnsi="宋体"/>
                <w:color w:val="auto"/>
                <w:szCs w:val="21"/>
                <w:highlight w:val="none"/>
              </w:rPr>
            </w:pPr>
            <w:r>
              <w:rPr>
                <w:rFonts w:hint="eastAsia" w:ascii="宋体" w:hAnsi="宋体"/>
                <w:color w:val="auto"/>
                <w:szCs w:val="21"/>
                <w:highlight w:val="none"/>
              </w:rPr>
              <w:t>向除【A、B、D类份额投资者以外的其他合格投资者】募集的基金份额。</w:t>
            </w:r>
          </w:p>
        </w:tc>
        <w:tc>
          <w:tcPr>
            <w:tcW w:w="1586" w:type="dxa"/>
          </w:tcPr>
          <w:p w14:paraId="0883B4D6">
            <w:pPr>
              <w:spacing w:line="360" w:lineRule="auto"/>
              <w:jc w:val="left"/>
              <w:rPr>
                <w:rFonts w:hint="eastAsia" w:ascii="宋体" w:hAnsi="宋体"/>
                <w:color w:val="auto"/>
                <w:szCs w:val="21"/>
                <w:highlight w:val="none"/>
              </w:rPr>
            </w:pPr>
            <w:r>
              <w:rPr>
                <w:rFonts w:hint="eastAsia" w:ascii="宋体" w:hAnsi="宋体"/>
                <w:color w:val="auto"/>
                <w:szCs w:val="21"/>
                <w:highlight w:val="none"/>
              </w:rPr>
              <w:t>向【通过管理人直销渠道向本基金管理人管理的其他私募基金、本基金管理人、本基金管理人员工以及本基金管理人担任投资顾问的资管产品】募集的基金份额。</w:t>
            </w:r>
          </w:p>
        </w:tc>
      </w:tr>
      <w:tr w14:paraId="2E422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Pr>
          <w:p w14:paraId="535DE1EF">
            <w:pPr>
              <w:spacing w:line="360" w:lineRule="auto"/>
              <w:jc w:val="left"/>
              <w:rPr>
                <w:rFonts w:ascii="宋体" w:hAnsi="宋体"/>
                <w:color w:val="auto"/>
                <w:szCs w:val="21"/>
                <w:highlight w:val="none"/>
              </w:rPr>
            </w:pPr>
            <w:r>
              <w:rPr>
                <w:rFonts w:hint="eastAsia" w:ascii="宋体" w:hAnsi="宋体"/>
                <w:color w:val="auto"/>
                <w:szCs w:val="21"/>
                <w:highlight w:val="none"/>
              </w:rPr>
              <w:t>认购费率</w:t>
            </w:r>
          </w:p>
        </w:tc>
        <w:tc>
          <w:tcPr>
            <w:tcW w:w="1488" w:type="dxa"/>
          </w:tcPr>
          <w:p w14:paraId="571E5089">
            <w:pPr>
              <w:spacing w:line="360" w:lineRule="auto"/>
              <w:jc w:val="left"/>
              <w:rPr>
                <w:rFonts w:ascii="宋体" w:hAnsi="宋体"/>
                <w:color w:val="auto"/>
                <w:szCs w:val="21"/>
                <w:highlight w:val="none"/>
              </w:rPr>
            </w:pPr>
            <w:r>
              <w:rPr>
                <w:rFonts w:hint="eastAsia" w:ascii="宋体" w:hAnsi="宋体"/>
                <w:color w:val="auto"/>
                <w:szCs w:val="21"/>
                <w:highlight w:val="none"/>
              </w:rPr>
              <w:t>【0.</w:t>
            </w:r>
            <w:r>
              <w:rPr>
                <w:rFonts w:hint="eastAsia" w:ascii="宋体" w:hAnsi="宋体"/>
                <w:color w:val="auto"/>
                <w:szCs w:val="21"/>
                <w:highlight w:val="none"/>
                <w:lang w:val="en-US" w:eastAsia="zh-CN"/>
              </w:rPr>
              <w:t>5</w:t>
            </w:r>
            <w:r>
              <w:rPr>
                <w:rFonts w:hint="eastAsia" w:ascii="宋体" w:hAnsi="宋体"/>
                <w:color w:val="auto"/>
                <w:szCs w:val="21"/>
                <w:highlight w:val="none"/>
              </w:rPr>
              <w:t xml:space="preserve">%】 </w:t>
            </w:r>
          </w:p>
        </w:tc>
        <w:tc>
          <w:tcPr>
            <w:tcW w:w="1463" w:type="dxa"/>
          </w:tcPr>
          <w:p w14:paraId="490581EB">
            <w:pPr>
              <w:spacing w:line="360" w:lineRule="auto"/>
              <w:jc w:val="left"/>
              <w:rPr>
                <w:rFonts w:ascii="宋体" w:hAnsi="宋体"/>
                <w:color w:val="auto"/>
                <w:szCs w:val="21"/>
                <w:highlight w:val="none"/>
              </w:rPr>
            </w:pPr>
            <w:r>
              <w:rPr>
                <w:rFonts w:hint="eastAsia" w:ascii="宋体" w:hAnsi="宋体"/>
                <w:color w:val="auto"/>
                <w:szCs w:val="21"/>
                <w:highlight w:val="none"/>
              </w:rPr>
              <w:t>【0%】</w:t>
            </w:r>
          </w:p>
        </w:tc>
        <w:tc>
          <w:tcPr>
            <w:tcW w:w="1364" w:type="dxa"/>
          </w:tcPr>
          <w:p w14:paraId="0488AEC3">
            <w:pPr>
              <w:spacing w:line="360" w:lineRule="auto"/>
              <w:jc w:val="left"/>
              <w:rPr>
                <w:rFonts w:hint="eastAsia" w:ascii="宋体" w:hAnsi="宋体"/>
                <w:color w:val="auto"/>
                <w:szCs w:val="21"/>
                <w:highlight w:val="none"/>
              </w:rPr>
            </w:pPr>
            <w:r>
              <w:rPr>
                <w:rFonts w:hint="eastAsia" w:ascii="宋体" w:hAnsi="宋体"/>
                <w:color w:val="auto"/>
                <w:szCs w:val="21"/>
                <w:highlight w:val="none"/>
              </w:rPr>
              <w:t>【0%】</w:t>
            </w:r>
          </w:p>
        </w:tc>
        <w:tc>
          <w:tcPr>
            <w:tcW w:w="1586" w:type="dxa"/>
          </w:tcPr>
          <w:p w14:paraId="21CA9792">
            <w:pPr>
              <w:spacing w:line="360" w:lineRule="auto"/>
              <w:jc w:val="left"/>
              <w:rPr>
                <w:rFonts w:hint="eastAsia" w:ascii="宋体" w:hAnsi="宋体"/>
                <w:color w:val="auto"/>
                <w:szCs w:val="21"/>
                <w:highlight w:val="none"/>
              </w:rPr>
            </w:pPr>
            <w:r>
              <w:rPr>
                <w:rFonts w:hint="eastAsia" w:ascii="宋体" w:hAnsi="宋体"/>
                <w:color w:val="auto"/>
                <w:szCs w:val="21"/>
                <w:highlight w:val="none"/>
              </w:rPr>
              <w:t>【0%】</w:t>
            </w:r>
          </w:p>
        </w:tc>
      </w:tr>
      <w:tr w14:paraId="5538D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Pr>
          <w:p w14:paraId="278552B3">
            <w:pPr>
              <w:spacing w:line="360" w:lineRule="auto"/>
              <w:jc w:val="left"/>
              <w:rPr>
                <w:rFonts w:ascii="宋体" w:hAnsi="宋体"/>
                <w:color w:val="auto"/>
                <w:szCs w:val="21"/>
                <w:highlight w:val="none"/>
              </w:rPr>
            </w:pPr>
            <w:r>
              <w:rPr>
                <w:rFonts w:hint="eastAsia" w:ascii="宋体" w:hAnsi="宋体"/>
                <w:color w:val="auto"/>
                <w:szCs w:val="21"/>
                <w:highlight w:val="none"/>
              </w:rPr>
              <w:t>申购费率</w:t>
            </w:r>
          </w:p>
        </w:tc>
        <w:tc>
          <w:tcPr>
            <w:tcW w:w="1488" w:type="dxa"/>
          </w:tcPr>
          <w:p w14:paraId="69B76891">
            <w:pPr>
              <w:spacing w:line="360" w:lineRule="auto"/>
              <w:jc w:val="left"/>
              <w:rPr>
                <w:rFonts w:ascii="宋体" w:hAnsi="宋体"/>
                <w:color w:val="auto"/>
                <w:szCs w:val="21"/>
                <w:highlight w:val="none"/>
              </w:rPr>
            </w:pPr>
            <w:r>
              <w:rPr>
                <w:rFonts w:hint="eastAsia" w:ascii="宋体" w:hAnsi="宋体"/>
                <w:color w:val="auto"/>
                <w:szCs w:val="21"/>
                <w:highlight w:val="none"/>
              </w:rPr>
              <w:t xml:space="preserve">【0.5%】 </w:t>
            </w:r>
          </w:p>
        </w:tc>
        <w:tc>
          <w:tcPr>
            <w:tcW w:w="1463" w:type="dxa"/>
          </w:tcPr>
          <w:p w14:paraId="01C1A1F9">
            <w:pPr>
              <w:spacing w:line="360" w:lineRule="auto"/>
              <w:jc w:val="left"/>
              <w:rPr>
                <w:rFonts w:ascii="宋体" w:hAnsi="宋体"/>
                <w:color w:val="auto"/>
                <w:szCs w:val="21"/>
                <w:highlight w:val="none"/>
              </w:rPr>
            </w:pPr>
            <w:r>
              <w:rPr>
                <w:rFonts w:hint="eastAsia" w:ascii="宋体" w:hAnsi="宋体"/>
                <w:color w:val="auto"/>
                <w:szCs w:val="21"/>
                <w:highlight w:val="none"/>
              </w:rPr>
              <w:t>【0%】</w:t>
            </w:r>
          </w:p>
        </w:tc>
        <w:tc>
          <w:tcPr>
            <w:tcW w:w="1364" w:type="dxa"/>
          </w:tcPr>
          <w:p w14:paraId="6941C341">
            <w:pPr>
              <w:spacing w:line="360" w:lineRule="auto"/>
              <w:jc w:val="left"/>
              <w:rPr>
                <w:rFonts w:hint="eastAsia" w:ascii="宋体" w:hAnsi="宋体"/>
                <w:color w:val="auto"/>
                <w:szCs w:val="21"/>
                <w:highlight w:val="none"/>
              </w:rPr>
            </w:pPr>
            <w:r>
              <w:rPr>
                <w:rFonts w:hint="eastAsia" w:ascii="宋体" w:hAnsi="宋体"/>
                <w:color w:val="auto"/>
                <w:szCs w:val="21"/>
                <w:highlight w:val="none"/>
              </w:rPr>
              <w:t>【0%】</w:t>
            </w:r>
          </w:p>
        </w:tc>
        <w:tc>
          <w:tcPr>
            <w:tcW w:w="1586" w:type="dxa"/>
          </w:tcPr>
          <w:p w14:paraId="636A54AE">
            <w:pPr>
              <w:spacing w:line="360" w:lineRule="auto"/>
              <w:jc w:val="left"/>
              <w:rPr>
                <w:rFonts w:hint="eastAsia" w:ascii="宋体" w:hAnsi="宋体"/>
                <w:color w:val="auto"/>
                <w:szCs w:val="21"/>
                <w:highlight w:val="none"/>
              </w:rPr>
            </w:pPr>
            <w:r>
              <w:rPr>
                <w:rFonts w:hint="eastAsia" w:ascii="宋体" w:hAnsi="宋体"/>
                <w:color w:val="auto"/>
                <w:szCs w:val="21"/>
                <w:highlight w:val="none"/>
              </w:rPr>
              <w:t>【0%】</w:t>
            </w:r>
          </w:p>
        </w:tc>
      </w:tr>
      <w:tr w14:paraId="4AEDD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vAlign w:val="top"/>
          </w:tcPr>
          <w:p w14:paraId="26AB34F9">
            <w:pPr>
              <w:spacing w:line="360" w:lineRule="auto"/>
              <w:jc w:val="left"/>
              <w:rPr>
                <w:rFonts w:ascii="宋体" w:hAnsi="宋体"/>
                <w:color w:val="auto"/>
                <w:szCs w:val="21"/>
                <w:highlight w:val="none"/>
              </w:rPr>
            </w:pPr>
            <w:r>
              <w:rPr>
                <w:rFonts w:hint="eastAsia" w:ascii="宋体" w:hAnsi="宋体"/>
                <w:color w:val="auto"/>
                <w:szCs w:val="21"/>
                <w:highlight w:val="none"/>
              </w:rPr>
              <w:t>销售服务费率</w:t>
            </w:r>
          </w:p>
        </w:tc>
        <w:tc>
          <w:tcPr>
            <w:tcW w:w="1488" w:type="dxa"/>
            <w:vAlign w:val="top"/>
          </w:tcPr>
          <w:p w14:paraId="74E54CB1">
            <w:pPr>
              <w:spacing w:line="360" w:lineRule="auto"/>
              <w:rPr>
                <w:rFonts w:ascii="宋体" w:hAnsi="Calibri"/>
                <w:color w:val="auto"/>
                <w:highlight w:val="none"/>
              </w:rPr>
            </w:pPr>
            <w:r>
              <w:rPr>
                <w:rFonts w:hint="eastAsia" w:ascii="宋体" w:hAnsi="宋体"/>
                <w:color w:val="auto"/>
                <w:szCs w:val="21"/>
                <w:highlight w:val="none"/>
              </w:rPr>
              <w:t>【0.5%】</w:t>
            </w:r>
          </w:p>
        </w:tc>
        <w:tc>
          <w:tcPr>
            <w:tcW w:w="1463" w:type="dxa"/>
            <w:vAlign w:val="top"/>
          </w:tcPr>
          <w:p w14:paraId="6B341995">
            <w:pPr>
              <w:spacing w:line="360" w:lineRule="auto"/>
              <w:jc w:val="left"/>
              <w:rPr>
                <w:rFonts w:ascii="Calibri" w:hAnsi="Calibri"/>
                <w:color w:val="auto"/>
                <w:highlight w:val="none"/>
              </w:rPr>
            </w:pPr>
            <w:r>
              <w:rPr>
                <w:rFonts w:hint="eastAsia" w:ascii="宋体" w:hAnsi="宋体"/>
                <w:color w:val="auto"/>
                <w:szCs w:val="21"/>
                <w:highlight w:val="none"/>
              </w:rPr>
              <w:t>【0%】</w:t>
            </w:r>
          </w:p>
        </w:tc>
        <w:tc>
          <w:tcPr>
            <w:tcW w:w="1364" w:type="dxa"/>
            <w:vAlign w:val="top"/>
          </w:tcPr>
          <w:p w14:paraId="2865B774">
            <w:pPr>
              <w:spacing w:line="360" w:lineRule="auto"/>
              <w:jc w:val="left"/>
              <w:rPr>
                <w:rFonts w:ascii="Calibri" w:hAnsi="Calibri"/>
                <w:color w:val="auto"/>
                <w:highlight w:val="none"/>
              </w:rPr>
            </w:pPr>
            <w:r>
              <w:rPr>
                <w:rFonts w:hint="eastAsia" w:ascii="宋体" w:hAnsi="宋体"/>
                <w:color w:val="auto"/>
                <w:szCs w:val="21"/>
                <w:highlight w:val="none"/>
              </w:rPr>
              <w:t>【0%】</w:t>
            </w:r>
          </w:p>
        </w:tc>
        <w:tc>
          <w:tcPr>
            <w:tcW w:w="1586" w:type="dxa"/>
            <w:vAlign w:val="top"/>
          </w:tcPr>
          <w:p w14:paraId="68D69EA5">
            <w:pPr>
              <w:spacing w:line="360" w:lineRule="auto"/>
              <w:jc w:val="left"/>
              <w:rPr>
                <w:rFonts w:ascii="Calibri" w:hAnsi="Calibri"/>
                <w:color w:val="auto"/>
                <w:highlight w:val="none"/>
              </w:rPr>
            </w:pPr>
            <w:r>
              <w:rPr>
                <w:rFonts w:hint="eastAsia" w:ascii="宋体" w:hAnsi="宋体"/>
                <w:color w:val="auto"/>
                <w:szCs w:val="21"/>
                <w:highlight w:val="none"/>
              </w:rPr>
              <w:t>【0%】</w:t>
            </w:r>
          </w:p>
        </w:tc>
      </w:tr>
      <w:tr w14:paraId="0EB1F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Borders>
              <w:top w:val="single" w:color="000000" w:sz="4" w:space="0"/>
              <w:left w:val="single" w:color="000000" w:sz="4" w:space="0"/>
              <w:bottom w:val="single" w:color="000000" w:sz="4" w:space="0"/>
              <w:right w:val="single" w:color="000000" w:sz="4" w:space="0"/>
            </w:tcBorders>
          </w:tcPr>
          <w:p w14:paraId="14C007A7">
            <w:pPr>
              <w:spacing w:line="360" w:lineRule="auto"/>
              <w:jc w:val="left"/>
              <w:rPr>
                <w:rFonts w:ascii="宋体" w:hAnsi="宋体"/>
                <w:color w:val="auto"/>
                <w:szCs w:val="21"/>
                <w:highlight w:val="none"/>
              </w:rPr>
            </w:pPr>
            <w:r>
              <w:rPr>
                <w:rFonts w:hint="eastAsia" w:ascii="宋体" w:hAnsi="宋体"/>
                <w:color w:val="auto"/>
                <w:szCs w:val="21"/>
                <w:highlight w:val="none"/>
              </w:rPr>
              <w:t>年管理费率（计算方式详见“基金的费用与税收”章节之“基金的管理费”）</w:t>
            </w:r>
          </w:p>
        </w:tc>
        <w:tc>
          <w:tcPr>
            <w:tcW w:w="1488" w:type="dxa"/>
            <w:tcBorders>
              <w:top w:val="single" w:color="000000" w:sz="4" w:space="0"/>
              <w:left w:val="single" w:color="000000" w:sz="4" w:space="0"/>
              <w:bottom w:val="single" w:color="000000" w:sz="4" w:space="0"/>
              <w:right w:val="single" w:color="000000" w:sz="4" w:space="0"/>
            </w:tcBorders>
          </w:tcPr>
          <w:p w14:paraId="764CD431">
            <w:pPr>
              <w:spacing w:line="360" w:lineRule="auto"/>
              <w:jc w:val="left"/>
              <w:rPr>
                <w:rFonts w:ascii="宋体" w:hAnsi="宋体"/>
                <w:color w:val="auto"/>
                <w:szCs w:val="21"/>
                <w:highlight w:val="none"/>
              </w:rPr>
            </w:pPr>
            <w:r>
              <w:rPr>
                <w:rFonts w:hint="eastAsia" w:ascii="宋体" w:hAnsi="宋体"/>
                <w:color w:val="auto"/>
                <w:szCs w:val="21"/>
                <w:highlight w:val="none"/>
              </w:rPr>
              <w:t>【</w:t>
            </w:r>
            <w:r>
              <w:rPr>
                <w:rFonts w:ascii="宋体" w:hAnsi="宋体"/>
                <w:color w:val="auto"/>
                <w:szCs w:val="21"/>
                <w:highlight w:val="none"/>
              </w:rPr>
              <w:t>1</w:t>
            </w:r>
            <w:r>
              <w:rPr>
                <w:rFonts w:hint="eastAsia" w:ascii="宋体" w:hAnsi="宋体"/>
                <w:color w:val="auto"/>
                <w:szCs w:val="21"/>
                <w:highlight w:val="none"/>
              </w:rPr>
              <w:t>%】</w:t>
            </w:r>
          </w:p>
          <w:p w14:paraId="615FA833">
            <w:pPr>
              <w:spacing w:line="360" w:lineRule="auto"/>
              <w:jc w:val="left"/>
              <w:rPr>
                <w:rFonts w:ascii="宋体" w:hAnsi="宋体"/>
                <w:color w:val="auto"/>
                <w:szCs w:val="21"/>
                <w:highlight w:val="none"/>
              </w:rPr>
            </w:pPr>
          </w:p>
          <w:p w14:paraId="505C52AF">
            <w:pPr>
              <w:spacing w:line="360" w:lineRule="auto"/>
              <w:jc w:val="left"/>
              <w:rPr>
                <w:rFonts w:ascii="宋体" w:hAnsi="宋体"/>
                <w:color w:val="auto"/>
                <w:szCs w:val="21"/>
                <w:highlight w:val="none"/>
              </w:rPr>
            </w:pPr>
          </w:p>
        </w:tc>
        <w:tc>
          <w:tcPr>
            <w:tcW w:w="1463" w:type="dxa"/>
            <w:tcBorders>
              <w:top w:val="single" w:color="000000" w:sz="4" w:space="0"/>
              <w:left w:val="single" w:color="000000" w:sz="4" w:space="0"/>
              <w:bottom w:val="single" w:color="000000" w:sz="4" w:space="0"/>
              <w:right w:val="single" w:color="000000" w:sz="4" w:space="0"/>
            </w:tcBorders>
          </w:tcPr>
          <w:p w14:paraId="7098B853">
            <w:pPr>
              <w:spacing w:line="360" w:lineRule="auto"/>
              <w:jc w:val="left"/>
              <w:rPr>
                <w:rFonts w:ascii="宋体" w:hAnsi="宋体"/>
                <w:color w:val="auto"/>
                <w:szCs w:val="21"/>
                <w:highlight w:val="none"/>
              </w:rPr>
            </w:pPr>
            <w:r>
              <w:rPr>
                <w:rFonts w:hint="eastAsia" w:ascii="宋体" w:hAnsi="宋体"/>
                <w:color w:val="auto"/>
                <w:szCs w:val="21"/>
                <w:highlight w:val="none"/>
              </w:rPr>
              <w:t>【</w:t>
            </w:r>
            <w:r>
              <w:rPr>
                <w:rFonts w:hint="eastAsia" w:ascii="宋体" w:hAnsi="宋体"/>
                <w:color w:val="auto"/>
                <w:szCs w:val="21"/>
                <w:highlight w:val="none"/>
                <w:lang w:val="en-US" w:eastAsia="zh-CN"/>
              </w:rPr>
              <w:t>1</w:t>
            </w:r>
            <w:r>
              <w:rPr>
                <w:rFonts w:hint="eastAsia" w:ascii="宋体" w:hAnsi="宋体"/>
                <w:color w:val="auto"/>
                <w:szCs w:val="21"/>
                <w:highlight w:val="none"/>
              </w:rPr>
              <w:t>%】</w:t>
            </w:r>
          </w:p>
          <w:p w14:paraId="70F85D2C">
            <w:pPr>
              <w:spacing w:line="360" w:lineRule="auto"/>
              <w:jc w:val="left"/>
              <w:rPr>
                <w:rFonts w:ascii="宋体" w:hAnsi="宋体"/>
                <w:color w:val="auto"/>
                <w:szCs w:val="21"/>
                <w:highlight w:val="none"/>
              </w:rPr>
            </w:pPr>
          </w:p>
          <w:p w14:paraId="4506BBB0">
            <w:pPr>
              <w:spacing w:line="360" w:lineRule="auto"/>
              <w:jc w:val="left"/>
              <w:rPr>
                <w:rFonts w:ascii="宋体" w:hAnsi="宋体"/>
                <w:color w:val="auto"/>
                <w:szCs w:val="21"/>
                <w:highlight w:val="none"/>
              </w:rPr>
            </w:pPr>
          </w:p>
          <w:p w14:paraId="3203D890">
            <w:pPr>
              <w:spacing w:line="360" w:lineRule="auto"/>
              <w:jc w:val="left"/>
              <w:rPr>
                <w:rFonts w:ascii="宋体" w:hAnsi="宋体"/>
                <w:color w:val="auto"/>
                <w:szCs w:val="21"/>
                <w:highlight w:val="none"/>
              </w:rPr>
            </w:pPr>
          </w:p>
        </w:tc>
        <w:tc>
          <w:tcPr>
            <w:tcW w:w="1364" w:type="dxa"/>
            <w:tcBorders>
              <w:top w:val="single" w:color="000000" w:sz="4" w:space="0"/>
              <w:left w:val="single" w:color="000000" w:sz="4" w:space="0"/>
              <w:bottom w:val="single" w:color="000000" w:sz="4" w:space="0"/>
              <w:right w:val="single" w:color="000000" w:sz="4" w:space="0"/>
            </w:tcBorders>
          </w:tcPr>
          <w:p w14:paraId="16DA6075">
            <w:pPr>
              <w:spacing w:line="360" w:lineRule="auto"/>
              <w:jc w:val="left"/>
              <w:rPr>
                <w:rFonts w:ascii="宋体" w:hAnsi="宋体"/>
                <w:color w:val="auto"/>
                <w:szCs w:val="21"/>
                <w:highlight w:val="none"/>
              </w:rPr>
            </w:pPr>
            <w:r>
              <w:rPr>
                <w:rFonts w:hint="eastAsia" w:ascii="宋体" w:hAnsi="宋体"/>
                <w:color w:val="auto"/>
                <w:szCs w:val="21"/>
                <w:highlight w:val="none"/>
              </w:rPr>
              <w:t>【</w:t>
            </w:r>
            <w:r>
              <w:rPr>
                <w:rFonts w:hint="eastAsia" w:ascii="宋体" w:hAnsi="宋体"/>
                <w:color w:val="auto"/>
                <w:szCs w:val="21"/>
                <w:highlight w:val="none"/>
                <w:lang w:val="en-US" w:eastAsia="zh-CN"/>
              </w:rPr>
              <w:t>1</w:t>
            </w:r>
            <w:r>
              <w:rPr>
                <w:rFonts w:hint="eastAsia" w:ascii="宋体" w:hAnsi="宋体"/>
                <w:color w:val="auto"/>
                <w:szCs w:val="21"/>
                <w:highlight w:val="none"/>
              </w:rPr>
              <w:t>%】</w:t>
            </w:r>
          </w:p>
        </w:tc>
        <w:tc>
          <w:tcPr>
            <w:tcW w:w="1586" w:type="dxa"/>
            <w:tcBorders>
              <w:top w:val="single" w:color="000000" w:sz="4" w:space="0"/>
              <w:left w:val="single" w:color="000000" w:sz="4" w:space="0"/>
              <w:bottom w:val="single" w:color="000000" w:sz="4" w:space="0"/>
              <w:right w:val="single" w:color="000000" w:sz="4" w:space="0"/>
            </w:tcBorders>
          </w:tcPr>
          <w:p w14:paraId="4F83B5E9">
            <w:pPr>
              <w:spacing w:line="360" w:lineRule="auto"/>
              <w:jc w:val="left"/>
              <w:rPr>
                <w:rFonts w:ascii="宋体" w:hAnsi="宋体"/>
                <w:color w:val="auto"/>
                <w:szCs w:val="21"/>
                <w:highlight w:val="none"/>
              </w:rPr>
            </w:pPr>
            <w:r>
              <w:rPr>
                <w:rFonts w:hint="eastAsia" w:ascii="宋体" w:hAnsi="宋体"/>
                <w:color w:val="auto"/>
                <w:szCs w:val="21"/>
                <w:highlight w:val="none"/>
              </w:rPr>
              <w:t>【</w:t>
            </w:r>
            <w:r>
              <w:rPr>
                <w:rFonts w:ascii="宋体" w:hAnsi="宋体"/>
                <w:color w:val="auto"/>
                <w:szCs w:val="21"/>
                <w:highlight w:val="none"/>
              </w:rPr>
              <w:t>0</w:t>
            </w:r>
            <w:r>
              <w:rPr>
                <w:rFonts w:hint="eastAsia" w:ascii="宋体" w:hAnsi="宋体"/>
                <w:color w:val="auto"/>
                <w:szCs w:val="21"/>
                <w:highlight w:val="none"/>
              </w:rPr>
              <w:t>%】</w:t>
            </w:r>
          </w:p>
        </w:tc>
      </w:tr>
      <w:tr w14:paraId="1B484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533" w:type="dxa"/>
            <w:tcBorders>
              <w:top w:val="single" w:color="000000" w:sz="4" w:space="0"/>
              <w:left w:val="single" w:color="000000" w:sz="4" w:space="0"/>
              <w:bottom w:val="single" w:color="000000" w:sz="4" w:space="0"/>
              <w:right w:val="single" w:color="000000" w:sz="4" w:space="0"/>
            </w:tcBorders>
          </w:tcPr>
          <w:p w14:paraId="111E1B75">
            <w:pPr>
              <w:spacing w:line="360" w:lineRule="auto"/>
              <w:jc w:val="left"/>
              <w:rPr>
                <w:rFonts w:ascii="宋体" w:hAnsi="宋体"/>
                <w:color w:val="auto"/>
                <w:szCs w:val="21"/>
                <w:highlight w:val="none"/>
              </w:rPr>
            </w:pPr>
            <w:r>
              <w:rPr>
                <w:rFonts w:hint="eastAsia" w:ascii="宋体" w:hAnsi="宋体"/>
                <w:color w:val="auto"/>
                <w:szCs w:val="21"/>
                <w:highlight w:val="none"/>
              </w:rPr>
              <w:t>业绩报酬（计算方式详见“基金的费用与税收”章节之“基金的业绩报酬”）</w:t>
            </w:r>
          </w:p>
        </w:tc>
        <w:tc>
          <w:tcPr>
            <w:tcW w:w="1488" w:type="dxa"/>
            <w:tcBorders>
              <w:top w:val="single" w:color="000000" w:sz="4" w:space="0"/>
              <w:left w:val="single" w:color="000000" w:sz="4" w:space="0"/>
              <w:bottom w:val="single" w:color="000000" w:sz="4" w:space="0"/>
              <w:right w:val="single" w:color="000000" w:sz="4" w:space="0"/>
            </w:tcBorders>
          </w:tcPr>
          <w:p w14:paraId="08263E84">
            <w:pPr>
              <w:spacing w:line="360" w:lineRule="auto"/>
              <w:jc w:val="left"/>
              <w:rPr>
                <w:rFonts w:ascii="宋体" w:hAnsi="宋体"/>
                <w:color w:val="auto"/>
                <w:szCs w:val="21"/>
                <w:highlight w:val="none"/>
              </w:rPr>
            </w:pPr>
            <w:r>
              <w:rPr>
                <w:rFonts w:hint="eastAsia" w:ascii="宋体" w:hAnsi="宋体"/>
                <w:color w:val="auto"/>
                <w:szCs w:val="21"/>
                <w:highlight w:val="none"/>
              </w:rPr>
              <w:t xml:space="preserve">正收益基础上针对超过期间中证500以上的部分计提20% </w:t>
            </w:r>
          </w:p>
          <w:p w14:paraId="18881E9C">
            <w:pPr>
              <w:spacing w:line="360" w:lineRule="auto"/>
              <w:jc w:val="left"/>
              <w:rPr>
                <w:rFonts w:ascii="宋体" w:hAnsi="宋体"/>
                <w:color w:val="auto"/>
                <w:szCs w:val="21"/>
                <w:highlight w:val="none"/>
              </w:rPr>
            </w:pPr>
          </w:p>
          <w:p w14:paraId="4707C5DC">
            <w:pPr>
              <w:spacing w:line="360" w:lineRule="auto"/>
              <w:jc w:val="left"/>
              <w:rPr>
                <w:rFonts w:ascii="宋体" w:hAnsi="宋体"/>
                <w:color w:val="auto"/>
                <w:szCs w:val="21"/>
                <w:highlight w:val="none"/>
              </w:rPr>
            </w:pPr>
          </w:p>
          <w:p w14:paraId="1E2AEB0F">
            <w:pPr>
              <w:spacing w:line="360" w:lineRule="auto"/>
              <w:jc w:val="left"/>
              <w:rPr>
                <w:rFonts w:ascii="宋体" w:hAnsi="宋体"/>
                <w:color w:val="auto"/>
                <w:szCs w:val="21"/>
                <w:highlight w:val="none"/>
              </w:rPr>
            </w:pPr>
          </w:p>
          <w:p w14:paraId="092F3800">
            <w:pPr>
              <w:spacing w:line="360" w:lineRule="auto"/>
              <w:jc w:val="left"/>
              <w:rPr>
                <w:rFonts w:ascii="宋体" w:hAnsi="宋体"/>
                <w:color w:val="auto"/>
                <w:szCs w:val="21"/>
                <w:highlight w:val="none"/>
              </w:rPr>
            </w:pPr>
          </w:p>
        </w:tc>
        <w:tc>
          <w:tcPr>
            <w:tcW w:w="1463" w:type="dxa"/>
            <w:tcBorders>
              <w:top w:val="single" w:color="000000" w:sz="4" w:space="0"/>
              <w:left w:val="single" w:color="000000" w:sz="4" w:space="0"/>
              <w:bottom w:val="single" w:color="000000" w:sz="4" w:space="0"/>
              <w:right w:val="single" w:color="000000" w:sz="4" w:space="0"/>
            </w:tcBorders>
          </w:tcPr>
          <w:p w14:paraId="2970CFCF">
            <w:pPr>
              <w:spacing w:line="360" w:lineRule="auto"/>
              <w:jc w:val="left"/>
              <w:rPr>
                <w:rFonts w:ascii="宋体" w:hAnsi="宋体"/>
                <w:color w:val="auto"/>
                <w:szCs w:val="21"/>
                <w:highlight w:val="none"/>
              </w:rPr>
            </w:pPr>
            <w:r>
              <w:rPr>
                <w:rFonts w:hint="eastAsia" w:ascii="宋体" w:hAnsi="宋体"/>
                <w:color w:val="auto"/>
                <w:szCs w:val="21"/>
                <w:highlight w:val="none"/>
              </w:rPr>
              <w:t xml:space="preserve">正收益基础上针对超过期间中证500以上的部分计提20% </w:t>
            </w:r>
          </w:p>
          <w:p w14:paraId="5C97964E">
            <w:pPr>
              <w:spacing w:line="360" w:lineRule="auto"/>
              <w:jc w:val="left"/>
              <w:rPr>
                <w:rFonts w:ascii="宋体" w:hAnsi="宋体"/>
                <w:color w:val="auto"/>
                <w:szCs w:val="21"/>
                <w:highlight w:val="none"/>
              </w:rPr>
            </w:pPr>
          </w:p>
        </w:tc>
        <w:tc>
          <w:tcPr>
            <w:tcW w:w="1364" w:type="dxa"/>
            <w:tcBorders>
              <w:top w:val="single" w:color="000000" w:sz="4" w:space="0"/>
              <w:left w:val="single" w:color="000000" w:sz="4" w:space="0"/>
              <w:bottom w:val="single" w:color="000000" w:sz="4" w:space="0"/>
              <w:right w:val="single" w:color="000000" w:sz="4" w:space="0"/>
            </w:tcBorders>
          </w:tcPr>
          <w:p w14:paraId="2179B294">
            <w:pPr>
              <w:spacing w:line="360" w:lineRule="auto"/>
              <w:jc w:val="left"/>
              <w:rPr>
                <w:rFonts w:hint="eastAsia" w:ascii="宋体" w:hAnsi="宋体"/>
                <w:color w:val="auto"/>
                <w:szCs w:val="21"/>
                <w:highlight w:val="none"/>
              </w:rPr>
            </w:pPr>
            <w:r>
              <w:rPr>
                <w:rFonts w:hint="eastAsia" w:ascii="宋体" w:hAnsi="宋体"/>
                <w:color w:val="auto"/>
                <w:szCs w:val="21"/>
                <w:highlight w:val="none"/>
              </w:rPr>
              <w:t xml:space="preserve">正收益基础上针对超过期间中证500以上的部分计提20% </w:t>
            </w:r>
          </w:p>
        </w:tc>
        <w:tc>
          <w:tcPr>
            <w:tcW w:w="1586" w:type="dxa"/>
            <w:tcBorders>
              <w:top w:val="single" w:color="000000" w:sz="4" w:space="0"/>
              <w:left w:val="single" w:color="000000" w:sz="4" w:space="0"/>
              <w:bottom w:val="single" w:color="000000" w:sz="4" w:space="0"/>
              <w:right w:val="single" w:color="000000" w:sz="4" w:space="0"/>
            </w:tcBorders>
          </w:tcPr>
          <w:p w14:paraId="724E2D7A">
            <w:pPr>
              <w:spacing w:line="360" w:lineRule="auto"/>
              <w:jc w:val="left"/>
              <w:rPr>
                <w:rFonts w:hint="eastAsia" w:ascii="宋体" w:hAnsi="宋体"/>
                <w:color w:val="auto"/>
                <w:szCs w:val="21"/>
                <w:highlight w:val="none"/>
              </w:rPr>
            </w:pPr>
            <w:r>
              <w:rPr>
                <w:rFonts w:hint="eastAsia" w:ascii="宋体" w:hAnsi="宋体"/>
                <w:color w:val="auto"/>
                <w:szCs w:val="21"/>
                <w:highlight w:val="none"/>
              </w:rPr>
              <w:t>不计提业绩报酬</w:t>
            </w:r>
          </w:p>
        </w:tc>
      </w:tr>
    </w:tbl>
    <w:p w14:paraId="792EF4D6">
      <w:pPr>
        <w:adjustRightInd w:val="0"/>
        <w:snapToGrid w:val="0"/>
        <w:spacing w:before="93" w:beforeLines="30" w:after="93" w:afterLines="30" w:line="348" w:lineRule="auto"/>
        <w:ind w:firstLine="420" w:firstLineChars="200"/>
        <w:rPr>
          <w:rFonts w:ascii="宋体" w:hAnsi="宋体"/>
          <w:color w:val="auto"/>
          <w:szCs w:val="21"/>
          <w:highlight w:val="none"/>
        </w:rPr>
      </w:pPr>
      <w:r>
        <w:rPr>
          <w:rFonts w:hint="eastAsia" w:ascii="宋体" w:hAnsi="宋体"/>
          <w:color w:val="auto"/>
          <w:szCs w:val="21"/>
          <w:highlight w:val="none"/>
        </w:rPr>
        <w:t>对于【A类份额</w:t>
      </w:r>
      <w:r>
        <w:rPr>
          <w:rFonts w:hint="eastAsia" w:ascii="宋体" w:hAnsi="宋体"/>
          <w:color w:val="auto"/>
          <w:szCs w:val="21"/>
          <w:highlight w:val="none"/>
          <w:lang w:eastAsia="zh-CN"/>
        </w:rPr>
        <w:t>、</w:t>
      </w:r>
      <w:r>
        <w:rPr>
          <w:rFonts w:hint="eastAsia" w:ascii="宋体" w:hAnsi="宋体"/>
          <w:color w:val="auto"/>
          <w:szCs w:val="21"/>
          <w:highlight w:val="none"/>
        </w:rPr>
        <w:t>B类份额</w:t>
      </w:r>
      <w:r>
        <w:rPr>
          <w:rFonts w:hint="eastAsia" w:ascii="宋体" w:hAnsi="宋体"/>
          <w:color w:val="auto"/>
          <w:szCs w:val="21"/>
          <w:highlight w:val="none"/>
          <w:lang w:eastAsia="zh-CN"/>
        </w:rPr>
        <w:t>、</w:t>
      </w:r>
      <w:r>
        <w:rPr>
          <w:rFonts w:hint="eastAsia" w:ascii="宋体" w:hAnsi="宋体"/>
          <w:color w:val="auto"/>
          <w:szCs w:val="21"/>
          <w:highlight w:val="none"/>
          <w:lang w:val="en-US" w:eastAsia="zh-CN"/>
        </w:rPr>
        <w:t>C类份额和D类份额</w:t>
      </w:r>
      <w:r>
        <w:rPr>
          <w:rFonts w:hint="eastAsia" w:ascii="宋体" w:hAnsi="宋体"/>
          <w:color w:val="auto"/>
          <w:szCs w:val="21"/>
          <w:highlight w:val="none"/>
        </w:rPr>
        <w:t>】相关具体约定详见本合同各章节内容。</w:t>
      </w:r>
    </w:p>
    <w:p w14:paraId="0422513C">
      <w:pPr>
        <w:spacing w:line="360" w:lineRule="auto"/>
        <w:ind w:firstLine="422" w:firstLineChars="200"/>
        <w:rPr>
          <w:rFonts w:ascii="宋体" w:hAnsi="宋体"/>
          <w:b/>
          <w:color w:val="auto"/>
          <w:szCs w:val="21"/>
          <w:highlight w:val="none"/>
        </w:rPr>
      </w:pPr>
      <w:r>
        <w:rPr>
          <w:rFonts w:ascii="宋体" w:hAnsi="宋体"/>
          <w:b/>
          <w:color w:val="auto"/>
          <w:szCs w:val="21"/>
          <w:highlight w:val="none"/>
        </w:rPr>
        <w:t>2</w:t>
      </w:r>
      <w:r>
        <w:rPr>
          <w:rFonts w:hint="eastAsia" w:ascii="宋体" w:hAnsi="宋体"/>
          <w:b/>
          <w:color w:val="auto"/>
          <w:szCs w:val="21"/>
          <w:highlight w:val="none"/>
        </w:rPr>
        <w:t>、份额权益变动情况</w:t>
      </w:r>
    </w:p>
    <w:p w14:paraId="5C45C59E">
      <w:pPr>
        <w:adjustRightInd w:val="0"/>
        <w:snapToGrid w:val="0"/>
        <w:spacing w:before="93" w:beforeLines="30" w:after="93" w:afterLines="30" w:line="348" w:lineRule="auto"/>
        <w:ind w:firstLine="422" w:firstLineChars="200"/>
        <w:rPr>
          <w:rFonts w:hint="eastAsia" w:asciiTheme="minorEastAsia" w:hAnsiTheme="minorEastAsia" w:eastAsiaTheme="minorEastAsia"/>
          <w:color w:val="auto"/>
          <w:szCs w:val="21"/>
          <w:highlight w:val="none"/>
        </w:rPr>
      </w:pPr>
      <w:r>
        <w:rPr>
          <w:rFonts w:hint="eastAsia" w:ascii="宋体" w:hAnsi="宋体"/>
          <w:b/>
          <w:color w:val="auto"/>
          <w:szCs w:val="21"/>
          <w:highlight w:val="none"/>
        </w:rPr>
        <w:t>私募基金管理人兹此承诺：在存续期内，本基金各类份额不涉及除分红外的其他任何权益变动（如份额折算、份额拆分、份额合并等）。</w:t>
      </w:r>
    </w:p>
    <w:p w14:paraId="5BB51105">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22" w:name="_Toc24966"/>
      <w:bookmarkStart w:id="23" w:name="_Toc110605406"/>
      <w:r>
        <w:rPr>
          <w:rFonts w:hint="eastAsia" w:asciiTheme="minorEastAsia" w:hAnsiTheme="minorEastAsia" w:eastAsiaTheme="minorEastAsia"/>
          <w:b/>
          <w:color w:val="auto"/>
          <w:sz w:val="28"/>
          <w:szCs w:val="28"/>
          <w:highlight w:val="none"/>
        </w:rPr>
        <w:t>五、</w:t>
      </w:r>
      <w:bookmarkEnd w:id="20"/>
      <w:r>
        <w:rPr>
          <w:rFonts w:hint="eastAsia" w:asciiTheme="minorEastAsia" w:hAnsiTheme="minorEastAsia" w:eastAsiaTheme="minorEastAsia"/>
          <w:b/>
          <w:color w:val="auto"/>
          <w:sz w:val="28"/>
          <w:szCs w:val="28"/>
          <w:highlight w:val="none"/>
        </w:rPr>
        <w:t>基金的募集</w:t>
      </w:r>
      <w:bookmarkEnd w:id="21"/>
      <w:bookmarkEnd w:id="22"/>
      <w:bookmarkEnd w:id="23"/>
    </w:p>
    <w:p w14:paraId="6424E17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（一）基金的募集期限、募集机构、募集对象和募集方式</w:t>
      </w:r>
    </w:p>
    <w:p w14:paraId="5FD7FF8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1、募集期限</w:t>
      </w:r>
    </w:p>
    <w:p w14:paraId="65CC63C9">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本基金的募集期限</w:t>
      </w:r>
      <w:r>
        <w:rPr>
          <w:rFonts w:asciiTheme="minorEastAsia" w:hAnsiTheme="minorEastAsia" w:eastAsiaTheme="minorEastAsia"/>
          <w:color w:val="auto"/>
          <w:szCs w:val="21"/>
          <w:highlight w:val="none"/>
        </w:rPr>
        <w:t>由</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管理人根据相关法律法规以及本合同的规定确定。</w:t>
      </w:r>
      <w:r>
        <w:rPr>
          <w:rFonts w:hint="eastAsia" w:asciiTheme="minorEastAsia" w:hAnsiTheme="minorEastAsia" w:eastAsiaTheme="minorEastAsia"/>
          <w:color w:val="auto"/>
          <w:szCs w:val="21"/>
          <w:highlight w:val="none"/>
        </w:rPr>
        <w:t>基金管理人有权根据本基金销售的实际情况按照相关程序延长或缩短初始销售期，此类变更适用于所有募集机构。延长或缩短募集期的相关信息将及时发布通知，即视为履行完毕延长或缩短募集期的程序。</w:t>
      </w:r>
    </w:p>
    <w:p w14:paraId="14920058">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2、募集机构</w:t>
      </w:r>
    </w:p>
    <w:p w14:paraId="3E874C1F">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本基金募集机构包括私募基金管理人（直销机构）、基金管理人委托的在中国证监会注册取得基金销售业务资格并已成为中国证券投资基金业协会会员的机构（代销机构）。</w:t>
      </w:r>
    </w:p>
    <w:p w14:paraId="051071C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3、募集方式</w:t>
      </w:r>
    </w:p>
    <w:p w14:paraId="63D1D90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本基金通过直销机构（基金管理人）和/或基金管理人委托的代销机构进行募集。本基金募集机构及其从业人员以非公开方式向投资者募集资金。</w:t>
      </w:r>
    </w:p>
    <w:p w14:paraId="4BB9E6ED">
      <w:pPr>
        <w:tabs>
          <w:tab w:val="left" w:pos="851"/>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4、募集对象</w:t>
      </w:r>
    </w:p>
    <w:p w14:paraId="222CB97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本基金仅向符合《私募办法》规定的合格投资者发售。合格投资者包括“普通合格投资者”和“特殊合格投资者”。</w:t>
      </w:r>
    </w:p>
    <w:p w14:paraId="7064C57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普通合格投资者”包括具备相应风险识别能力和风险承担能力，投资于单只私募基金的金额不低于100万元且符合下列相关标准的单位和个人：（1）净资产不低于1000万元的单位；（2）金融资产不低于300万元或者最近三年个人年均收入不低于50万元的个人。前款所称金融资产包括银行存款、股票、债券、基金份额、资产管理计划、银行理财产品、信托计划、保险产品、期货权益等。</w:t>
      </w:r>
    </w:p>
    <w:p w14:paraId="18F1D1EA">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“特殊合格投资者”包括下列投资者：（1）社会保障基金、企业年金等养老基金，慈善基金等社会公益基金；（2）投资于所管理私募</w:t>
      </w:r>
      <w:r>
        <w:rPr>
          <w:rFonts w:hint="eastAsia" w:asciiTheme="minorEastAsia" w:hAnsiTheme="minorEastAsia" w:eastAsiaTheme="minorEastAsia"/>
          <w:color w:val="auto"/>
          <w:szCs w:val="21"/>
          <w:highlight w:val="none"/>
          <w:lang w:val="en-US" w:eastAsia="zh-CN"/>
        </w:rPr>
        <w:t>证券</w:t>
      </w:r>
      <w:r>
        <w:rPr>
          <w:rFonts w:hint="eastAsia" w:asciiTheme="minorEastAsia" w:hAnsiTheme="minorEastAsia" w:eastAsiaTheme="minorEastAsia"/>
          <w:color w:val="auto"/>
          <w:szCs w:val="21"/>
          <w:highlight w:val="none"/>
        </w:rPr>
        <w:t>基金的私募基金管理人及其</w:t>
      </w:r>
      <w:r>
        <w:rPr>
          <w:rFonts w:hint="eastAsia" w:asciiTheme="minorEastAsia" w:hAnsiTheme="minorEastAsia" w:eastAsiaTheme="minorEastAsia"/>
          <w:color w:val="auto"/>
          <w:szCs w:val="21"/>
          <w:highlight w:val="none"/>
          <w:lang w:val="en-US" w:eastAsia="zh-CN"/>
        </w:rPr>
        <w:t>员工</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3</w:t>
      </w:r>
      <w:r>
        <w:rPr>
          <w:rFonts w:hint="eastAsia" w:asciiTheme="minorEastAsia" w:hAnsiTheme="minorEastAsia" w:eastAsiaTheme="minorEastAsia"/>
          <w:color w:val="auto"/>
          <w:szCs w:val="21"/>
          <w:highlight w:val="none"/>
        </w:rPr>
        <w:t>）中国证监会</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协会</w:t>
      </w:r>
      <w:r>
        <w:rPr>
          <w:rFonts w:hint="eastAsia" w:asciiTheme="minorEastAsia" w:hAnsiTheme="minorEastAsia" w:eastAsiaTheme="minorEastAsia"/>
          <w:color w:val="auto"/>
          <w:szCs w:val="21"/>
          <w:highlight w:val="none"/>
        </w:rPr>
        <w:t>规定的其他投资者。</w:t>
      </w:r>
    </w:p>
    <w:p w14:paraId="0F928535">
      <w:pPr>
        <w:adjustRightInd w:val="0"/>
        <w:snapToGrid w:val="0"/>
        <w:spacing w:before="93" w:beforeLines="30" w:after="93" w:afterLines="30" w:line="360" w:lineRule="auto"/>
        <w:ind w:firstLine="420" w:firstLineChars="200"/>
        <w:rPr>
          <w:rFonts w:hint="eastAsia" w:ascii="宋体" w:hAnsi="宋体"/>
          <w:color w:val="auto"/>
          <w:szCs w:val="21"/>
          <w:highlight w:val="none"/>
          <w:lang w:eastAsia="zh-CN"/>
        </w:rPr>
      </w:pPr>
      <w:r>
        <w:rPr>
          <w:rFonts w:ascii="宋体" w:hAnsi="宋体"/>
          <w:color w:val="auto"/>
          <w:szCs w:val="21"/>
          <w:highlight w:val="none"/>
        </w:rPr>
        <w:t>本条所称</w:t>
      </w:r>
      <w:r>
        <w:rPr>
          <w:rFonts w:hint="eastAsia" w:ascii="宋体" w:hAnsi="宋体"/>
          <w:color w:val="auto"/>
          <w:szCs w:val="21"/>
          <w:highlight w:val="none"/>
        </w:rPr>
        <w:t>“</w:t>
      </w:r>
      <w:r>
        <w:rPr>
          <w:rFonts w:ascii="宋体" w:hAnsi="宋体"/>
          <w:color w:val="auto"/>
          <w:szCs w:val="21"/>
          <w:highlight w:val="none"/>
        </w:rPr>
        <w:t>私募基金管理人员工</w:t>
      </w:r>
      <w:r>
        <w:rPr>
          <w:rFonts w:hint="eastAsia" w:ascii="宋体" w:hAnsi="宋体"/>
          <w:color w:val="auto"/>
          <w:szCs w:val="21"/>
          <w:highlight w:val="none"/>
        </w:rPr>
        <w:t>”</w:t>
      </w:r>
      <w:r>
        <w:rPr>
          <w:rFonts w:ascii="宋体" w:hAnsi="宋体"/>
          <w:color w:val="auto"/>
          <w:szCs w:val="21"/>
          <w:highlight w:val="none"/>
        </w:rPr>
        <w:t>， 是指与私募基金管理人签订劳动合同并缴纳社保的正式员工，签订劳动合同或者劳务合同的外籍员工、 退休返聘员工， 国家机关、事业单位、 政府及其授权机构控制的企业委派的高级管理人员， 以及中国证监会和协会规定的其他从业人员</w:t>
      </w:r>
      <w:r>
        <w:rPr>
          <w:rFonts w:hint="eastAsia" w:ascii="宋体" w:hAnsi="宋体"/>
          <w:color w:val="auto"/>
          <w:szCs w:val="21"/>
          <w:highlight w:val="none"/>
          <w:lang w:eastAsia="zh-CN"/>
        </w:rPr>
        <w:t>。</w:t>
      </w:r>
    </w:p>
    <w:p w14:paraId="1C27A3D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如相关机构新颁布并实施关于“合格投资者”的法律、行政法规、部门规章、自律规则，则从其规定。</w:t>
      </w:r>
    </w:p>
    <w:p w14:paraId="519B3289">
      <w:pPr>
        <w:adjustRightInd w:val="0"/>
        <w:snapToGrid w:val="0"/>
        <w:spacing w:before="93" w:beforeLines="30" w:after="93" w:afterLines="30" w:line="360" w:lineRule="auto"/>
        <w:ind w:firstLine="422" w:firstLineChars="200"/>
        <w:rPr>
          <w:rFonts w:hint="eastAsia"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特别地：本基金管理人应识别本基金的投资者并承诺，本基金拟投资公募证券投资基金以外的资产管理产品（含私募基金）的，本基金不得向资产管理产品（含私募基金）募集或发售，符合法律</w:t>
      </w:r>
      <w:r>
        <w:rPr>
          <w:rFonts w:hint="eastAsia" w:asciiTheme="minorEastAsia" w:hAnsiTheme="minorEastAsia" w:eastAsiaTheme="minorEastAsia"/>
          <w:b/>
          <w:bCs/>
          <w:color w:val="auto"/>
          <w:szCs w:val="21"/>
          <w:highlight w:val="none"/>
          <w:lang w:val="en-US" w:eastAsia="zh-CN"/>
        </w:rPr>
        <w:t>法规</w:t>
      </w:r>
      <w:r>
        <w:rPr>
          <w:rFonts w:hint="eastAsia" w:asciiTheme="minorEastAsia" w:hAnsiTheme="minorEastAsia" w:eastAsiaTheme="minorEastAsia"/>
          <w:b/>
          <w:bCs/>
          <w:color w:val="auto"/>
          <w:szCs w:val="21"/>
          <w:highlight w:val="none"/>
        </w:rPr>
        <w:t>规定的豁免要求的除外。</w:t>
      </w:r>
    </w:p>
    <w:p w14:paraId="66EDE624">
      <w:pPr>
        <w:adjustRightInd w:val="0"/>
        <w:snapToGrid w:val="0"/>
        <w:spacing w:before="93" w:beforeLines="30" w:after="93" w:afterLines="30" w:line="360" w:lineRule="auto"/>
        <w:ind w:firstLine="422" w:firstLineChars="200"/>
        <w:rPr>
          <w:rFonts w:hint="eastAsia"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基金管理人负责按照法律、行政法规、中国证监会及自律组织规定的投资层级要求，严格控制本基金投资嵌套层级，确保基金整体嵌套层数不超过1层</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color w:val="auto"/>
          <w:szCs w:val="21"/>
          <w:highlight w:val="none"/>
        </w:rPr>
        <w:t>后续符合</w:t>
      </w:r>
      <w:r>
        <w:rPr>
          <w:rFonts w:asciiTheme="minorEastAsia" w:hAnsiTheme="minorEastAsia" w:eastAsiaTheme="minorEastAsia"/>
          <w:b/>
          <w:color w:val="auto"/>
          <w:szCs w:val="21"/>
          <w:highlight w:val="none"/>
        </w:rPr>
        <w:t>中国</w:t>
      </w:r>
      <w:r>
        <w:rPr>
          <w:rFonts w:hint="eastAsia" w:asciiTheme="minorEastAsia" w:hAnsiTheme="minorEastAsia" w:eastAsiaTheme="minorEastAsia"/>
          <w:b/>
          <w:color w:val="auto"/>
          <w:szCs w:val="21"/>
          <w:highlight w:val="none"/>
        </w:rPr>
        <w:t>证监会出台母基金规则条件的可以豁免一层嵌套或者后续</w:t>
      </w:r>
      <w:r>
        <w:rPr>
          <w:rFonts w:asciiTheme="minorEastAsia" w:hAnsiTheme="minorEastAsia" w:eastAsiaTheme="minorEastAsia"/>
          <w:b/>
          <w:color w:val="auto"/>
          <w:szCs w:val="21"/>
          <w:highlight w:val="none"/>
        </w:rPr>
        <w:t>法律、行政法规、中国证监会</w:t>
      </w:r>
      <w:r>
        <w:rPr>
          <w:rFonts w:hint="eastAsia" w:asciiTheme="minorEastAsia" w:hAnsiTheme="minorEastAsia" w:eastAsiaTheme="minorEastAsia"/>
          <w:b/>
          <w:color w:val="auto"/>
          <w:szCs w:val="21"/>
          <w:highlight w:val="none"/>
        </w:rPr>
        <w:t>及协会</w:t>
      </w:r>
      <w:r>
        <w:rPr>
          <w:rFonts w:asciiTheme="minorEastAsia" w:hAnsiTheme="minorEastAsia" w:eastAsiaTheme="minorEastAsia"/>
          <w:b/>
          <w:color w:val="auto"/>
          <w:szCs w:val="21"/>
          <w:highlight w:val="none"/>
        </w:rPr>
        <w:t>规定的投资层级要求</w:t>
      </w:r>
      <w:r>
        <w:rPr>
          <w:rFonts w:hint="eastAsia" w:asciiTheme="minorEastAsia" w:hAnsiTheme="minorEastAsia" w:eastAsiaTheme="minorEastAsia"/>
          <w:b/>
          <w:color w:val="auto"/>
          <w:szCs w:val="21"/>
          <w:highlight w:val="none"/>
        </w:rPr>
        <w:t>有变化的，管理人与托管人可以协商一致进行调整。</w:t>
      </w:r>
    </w:p>
    <w:p w14:paraId="5EF6AA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（二）募集账户信息</w:t>
      </w:r>
    </w:p>
    <w:p w14:paraId="628B5E0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1、直销募集账户</w:t>
      </w:r>
    </w:p>
    <w:p w14:paraId="3C147C8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基金投资者通过私募基金管理人直销渠道购买基金的，应将款项划入如下募集账户：</w:t>
      </w:r>
    </w:p>
    <w:p w14:paraId="2D7BFD68">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直销募集结算资金专用账户名称：兴业证券股份有限公司基金运营外包募集专户</w:t>
      </w:r>
    </w:p>
    <w:p w14:paraId="31B93A2B">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直销募集结算资金专用账户账号号码：</w:t>
      </w:r>
      <w:r>
        <w:rPr>
          <w:rFonts w:hint="eastAsia" w:asciiTheme="minorEastAsia" w:hAnsiTheme="minorEastAsia" w:eastAsiaTheme="minorEastAsia"/>
          <w:color w:val="auto"/>
          <w:szCs w:val="21"/>
          <w:highlight w:val="none"/>
          <w:lang w:eastAsia="zh-CN"/>
        </w:rPr>
        <w:t>25058200458602010485200417</w:t>
      </w:r>
    </w:p>
    <w:p w14:paraId="0C41386B">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直销募集结算资金专用账户开户行：交通银行上海自贸试验区分行</w:t>
      </w:r>
    </w:p>
    <w:p w14:paraId="46BE2F94">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直销募集结算资金专用账户大额支付号：</w:t>
      </w:r>
      <w:r>
        <w:rPr>
          <w:rFonts w:hint="eastAsia" w:asciiTheme="minorEastAsia" w:hAnsiTheme="minorEastAsia" w:eastAsiaTheme="minorEastAsia"/>
          <w:color w:val="auto"/>
          <w:szCs w:val="21"/>
          <w:highlight w:val="none"/>
          <w:lang w:eastAsia="zh-CN"/>
        </w:rPr>
        <w:t>820000000000</w:t>
      </w:r>
    </w:p>
    <w:p w14:paraId="41B2509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直销募集账户监督机构：兴业证券股份有限公司</w:t>
      </w:r>
    </w:p>
    <w:p w14:paraId="169CC715">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投资者认购、申购本基金的，应当遵循各销售渠道认购、申购流程，将资金划入各销售渠道资金账户。通过管理人直销的，资金直接划入本私募基金募集结算资金专用账户。</w:t>
      </w:r>
    </w:p>
    <w:p w14:paraId="7E8DC089">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募集结算资金专用账户是募集账户监督机构代基金管理人开立，用于归集本基金募集期间和存续期间的认购、申购和赎回资金等往来资金的专用账户。募集结算资金专用账户接收投资者资金的，不代表募集账户监督机构对本基金的价值和收益作出实质性判断或保证，也不表明投资于本基金没有风险。在募集结算资金专用账户使用的过程中，除非有足够的证据证明是募集账户监督机构造成的损失外，私募基金管理人应就其自身操作不当等原因所造成的损失承担相关责任。</w:t>
      </w:r>
    </w:p>
    <w:p w14:paraId="4010934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合同各方确认：基金投资者将认购资金划入本基金募集账户后对应的反向划出账户为投资者收益账户，私募基金管理人（或其委托的私募基金服务机构）只能将募集账户中的资金定向划拨至该基金对应的托管资金账户（认购、申购时）、投资者收益账户（分红、赎回、清算时）、私募基金管理人账户（划拨认购费、申购费、赎回费、</w:t>
      </w:r>
      <w:r>
        <w:rPr>
          <w:rFonts w:asciiTheme="minorEastAsia" w:hAnsiTheme="minorEastAsia" w:eastAsiaTheme="minorEastAsia"/>
          <w:color w:val="auto"/>
          <w:szCs w:val="21"/>
          <w:highlight w:val="none"/>
        </w:rPr>
        <w:t>业绩报酬</w:t>
      </w:r>
      <w:r>
        <w:rPr>
          <w:rFonts w:hint="eastAsia" w:asciiTheme="minorEastAsia" w:hAnsiTheme="minorEastAsia" w:eastAsiaTheme="minorEastAsia"/>
          <w:color w:val="auto"/>
          <w:szCs w:val="21"/>
          <w:highlight w:val="none"/>
        </w:rPr>
        <w:t>等在本基金合同中列明的归属于管理人收取的费用时）、代销机构账户（划拨认购费、申购费、赎回费等在本基金合同中列明的归属于代销机构收取的费用时）、代销机构的募集资金归集账户（存在代销机构负责处理投资者端的分红、赎回、清算时）以及投资顾问账户（划拨本基金合同中列明的归属于投资顾问收取的费用时）。</w:t>
      </w:r>
    </w:p>
    <w:p w14:paraId="6EBDED9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2、代销募集账户</w:t>
      </w:r>
    </w:p>
    <w:p w14:paraId="0251351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本基金代销募集账户由基金管理人委托的</w:t>
      </w:r>
      <w:r>
        <w:rPr>
          <w:rFonts w:hint="eastAsia" w:asciiTheme="minorEastAsia" w:hAnsiTheme="minorEastAsia" w:eastAsiaTheme="minorEastAsia"/>
          <w:color w:val="auto"/>
          <w:szCs w:val="21"/>
          <w:highlight w:val="none"/>
        </w:rPr>
        <w:t>代销</w:t>
      </w:r>
      <w:r>
        <w:rPr>
          <w:rFonts w:asciiTheme="minorEastAsia" w:hAnsiTheme="minorEastAsia" w:eastAsiaTheme="minorEastAsia"/>
          <w:color w:val="auto"/>
          <w:szCs w:val="21"/>
          <w:highlight w:val="none"/>
        </w:rPr>
        <w:t>机构自行开立并自行聘请监督机构对其进行监督，代销募集账户的开户行、账户名称、账户号码及监督机构等信息以基金管理人</w:t>
      </w:r>
      <w:r>
        <w:rPr>
          <w:rFonts w:hint="eastAsia" w:asciiTheme="minorEastAsia" w:hAnsiTheme="minorEastAsia" w:eastAsiaTheme="minorEastAsia"/>
          <w:color w:val="auto"/>
          <w:szCs w:val="21"/>
          <w:highlight w:val="none"/>
        </w:rPr>
        <w:t>或代销机构</w:t>
      </w:r>
      <w:r>
        <w:rPr>
          <w:rFonts w:asciiTheme="minorEastAsia" w:hAnsiTheme="minorEastAsia" w:eastAsiaTheme="minorEastAsia"/>
          <w:color w:val="auto"/>
          <w:szCs w:val="21"/>
          <w:highlight w:val="none"/>
        </w:rPr>
        <w:t>届时公告为准。</w:t>
      </w:r>
    </w:p>
    <w:p w14:paraId="13D115C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（三）基金份额的认购事项</w:t>
      </w:r>
    </w:p>
    <w:p w14:paraId="4608176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认购本基金，以人民币货币资金形式交付。基金不接受现金方式认购，在直销机构认购的投资者须将认购资金从在中国境内开立的自有银行账户划款至募集账户，在代销机构认购的投资者按代销机构的规定缴付资金。</w:t>
      </w:r>
    </w:p>
    <w:p w14:paraId="402AF93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1、基金份额持有人的人数上限</w:t>
      </w:r>
    </w:p>
    <w:p w14:paraId="75A699A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本基金向合格投资者募集，合格投资者人数累计不得超过二百人。</w:t>
      </w:r>
    </w:p>
    <w:p w14:paraId="415A421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2、基金份额的认购费用</w:t>
      </w:r>
    </w:p>
    <w:p w14:paraId="58EC133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本基金的认购费率详见“基金的基本情况”章节之“基金的份额分类”。</w:t>
      </w:r>
    </w:p>
    <w:p w14:paraId="291CEED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认购费用计算方式如下：</w:t>
      </w:r>
    </w:p>
    <w:p w14:paraId="76F6C5D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认购费用=认购金额×认购费率/（1＋认购费率）</w:t>
      </w:r>
    </w:p>
    <w:p w14:paraId="6FE97AC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净认购金额=认购金额－认购费用</w:t>
      </w:r>
    </w:p>
    <w:p w14:paraId="1068B47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认购费</w:t>
      </w:r>
      <w:r>
        <w:rPr>
          <w:rFonts w:hint="eastAsia" w:asciiTheme="minorEastAsia" w:hAnsiTheme="minorEastAsia" w:eastAsiaTheme="minorEastAsia"/>
          <w:color w:val="auto"/>
          <w:szCs w:val="21"/>
          <w:highlight w:val="none"/>
        </w:rPr>
        <w:t>由</w:t>
      </w:r>
      <w:r>
        <w:rPr>
          <w:rFonts w:asciiTheme="minorEastAsia" w:hAnsiTheme="minorEastAsia" w:eastAsiaTheme="minorEastAsia"/>
          <w:color w:val="auto"/>
          <w:szCs w:val="21"/>
          <w:highlight w:val="none"/>
        </w:rPr>
        <w:t>基金管理人</w:t>
      </w:r>
      <w:r>
        <w:rPr>
          <w:rFonts w:hint="eastAsia" w:asciiTheme="minorEastAsia" w:hAnsiTheme="minorEastAsia" w:eastAsiaTheme="minorEastAsia"/>
          <w:color w:val="auto"/>
          <w:szCs w:val="21"/>
          <w:highlight w:val="none"/>
        </w:rPr>
        <w:t>支配使用</w:t>
      </w:r>
      <w:r>
        <w:rPr>
          <w:rFonts w:asciiTheme="minorEastAsia" w:hAnsiTheme="minorEastAsia" w:eastAsiaTheme="minorEastAsia"/>
          <w:color w:val="auto"/>
          <w:szCs w:val="21"/>
          <w:highlight w:val="none"/>
        </w:rPr>
        <w:t>，不列入基金财产</w:t>
      </w:r>
      <w:r>
        <w:rPr>
          <w:rFonts w:hint="eastAsia" w:asciiTheme="minorEastAsia" w:hAnsiTheme="minorEastAsia" w:eastAsiaTheme="minorEastAsia"/>
          <w:color w:val="auto"/>
          <w:szCs w:val="21"/>
          <w:highlight w:val="none"/>
        </w:rPr>
        <w:t>；如果经由基金代销机构（如有）办理认购的，本基金的认购费可由基金代销机构支配，不列入基金财产，具体以基金代销协议的约定为准</w:t>
      </w:r>
      <w:r>
        <w:rPr>
          <w:rFonts w:asciiTheme="minorEastAsia" w:hAnsiTheme="minorEastAsia" w:eastAsiaTheme="minorEastAsia"/>
          <w:color w:val="auto"/>
          <w:szCs w:val="21"/>
          <w:highlight w:val="none"/>
        </w:rPr>
        <w:t>。</w:t>
      </w:r>
    </w:p>
    <w:p w14:paraId="5DA4F48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基金管理人可根据情况自行调低或豁免部分基金投资者的认购费并出具相关文件，委托私募基金服务机构办理</w:t>
      </w:r>
      <w:r>
        <w:rPr>
          <w:rFonts w:hint="eastAsia" w:asciiTheme="minorEastAsia" w:hAnsiTheme="minorEastAsia" w:eastAsiaTheme="minorEastAsia"/>
          <w:color w:val="auto"/>
          <w:szCs w:val="21"/>
          <w:highlight w:val="none"/>
        </w:rPr>
        <w:t>，如果基金代销协议对基金投资者认购费的调低或豁免另有</w:t>
      </w:r>
      <w:r>
        <w:rPr>
          <w:rFonts w:hint="eastAsia" w:asciiTheme="minorEastAsia" w:hAnsiTheme="minorEastAsia" w:eastAsiaTheme="minorEastAsia"/>
          <w:color w:val="auto"/>
          <w:szCs w:val="21"/>
          <w:highlight w:val="none"/>
          <w:lang w:val="en-US" w:eastAsia="zh-CN"/>
        </w:rPr>
        <w:t>约</w:t>
      </w:r>
      <w:r>
        <w:rPr>
          <w:rFonts w:hint="eastAsia" w:asciiTheme="minorEastAsia" w:hAnsiTheme="minorEastAsia" w:eastAsiaTheme="minorEastAsia"/>
          <w:color w:val="auto"/>
          <w:szCs w:val="21"/>
          <w:highlight w:val="none"/>
        </w:rPr>
        <w:t>定的，从其</w:t>
      </w:r>
      <w:r>
        <w:rPr>
          <w:rFonts w:hint="eastAsia" w:asciiTheme="minorEastAsia" w:hAnsiTheme="minorEastAsia" w:eastAsiaTheme="minorEastAsia"/>
          <w:color w:val="auto"/>
          <w:szCs w:val="21"/>
          <w:highlight w:val="none"/>
          <w:lang w:val="en-US" w:eastAsia="zh-CN"/>
        </w:rPr>
        <w:t>约</w:t>
      </w:r>
      <w:r>
        <w:rPr>
          <w:rFonts w:hint="eastAsia" w:asciiTheme="minorEastAsia" w:hAnsiTheme="minorEastAsia" w:eastAsiaTheme="minorEastAsia"/>
          <w:color w:val="auto"/>
          <w:szCs w:val="21"/>
          <w:highlight w:val="none"/>
        </w:rPr>
        <w:t>定</w:t>
      </w:r>
      <w:r>
        <w:rPr>
          <w:rFonts w:asciiTheme="minorEastAsia" w:hAnsiTheme="minorEastAsia" w:eastAsiaTheme="minorEastAsia"/>
          <w:color w:val="auto"/>
          <w:szCs w:val="21"/>
          <w:highlight w:val="none"/>
        </w:rPr>
        <w:t>。</w:t>
      </w:r>
    </w:p>
    <w:p w14:paraId="62F81B0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3、认购申请的确认</w:t>
      </w:r>
    </w:p>
    <w:p w14:paraId="326E9AB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认购申请受理完成后，不得撤销。</w:t>
      </w:r>
      <w:r>
        <w:rPr>
          <w:rFonts w:hint="eastAsia" w:asciiTheme="minorEastAsia" w:hAnsiTheme="minorEastAsia" w:eastAsiaTheme="minorEastAsia"/>
          <w:color w:val="auto"/>
          <w:szCs w:val="21"/>
          <w:highlight w:val="none"/>
        </w:rPr>
        <w:t>募集机构</w:t>
      </w:r>
      <w:r>
        <w:rPr>
          <w:rFonts w:asciiTheme="minorEastAsia" w:hAnsiTheme="minorEastAsia" w:eastAsiaTheme="minorEastAsia"/>
          <w:color w:val="auto"/>
          <w:szCs w:val="21"/>
          <w:highlight w:val="none"/>
        </w:rPr>
        <w:t>受理认购申请并不表示对该申请成功的确认，而仅代表</w:t>
      </w:r>
      <w:r>
        <w:rPr>
          <w:rFonts w:hint="eastAsia" w:asciiTheme="minorEastAsia" w:hAnsiTheme="minorEastAsia" w:eastAsiaTheme="minorEastAsia"/>
          <w:color w:val="auto"/>
          <w:szCs w:val="21"/>
          <w:highlight w:val="none"/>
        </w:rPr>
        <w:t>募集机构</w:t>
      </w:r>
      <w:r>
        <w:rPr>
          <w:rFonts w:asciiTheme="minorEastAsia" w:hAnsiTheme="minorEastAsia" w:eastAsiaTheme="minorEastAsia"/>
          <w:color w:val="auto"/>
          <w:szCs w:val="21"/>
          <w:highlight w:val="none"/>
        </w:rPr>
        <w:t>确实收到了认购申请。</w:t>
      </w:r>
      <w:r>
        <w:rPr>
          <w:rFonts w:hint="eastAsia" w:asciiTheme="minorEastAsia" w:hAnsiTheme="minorEastAsia" w:eastAsiaTheme="minorEastAsia"/>
          <w:color w:val="auto"/>
          <w:szCs w:val="21"/>
          <w:highlight w:val="none"/>
        </w:rPr>
        <w:t>认购的确认以管理人的确认结果为准。若认购不成功，基金投资者已交付的款项将于基金成立后五个工作日内，无利息地退还基金投资者银行账户。</w:t>
      </w:r>
    </w:p>
    <w:p w14:paraId="1FD71760">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本基金的人数规模上限为200人。基金管理人在募集期间每个工作日可接受的人数限制内，按照“时间优先、金额优先”的原则确认有效认购申请。超出基金人数规模上限的认购申请为无效申请。</w:t>
      </w:r>
    </w:p>
    <w:p w14:paraId="44B1BFD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通过代销机构进行认购的，人数规模控制以基金管理人和代销机构约定的方式为准。</w:t>
      </w:r>
    </w:p>
    <w:p w14:paraId="002EC8B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4、认购份额的计算方式</w:t>
      </w:r>
    </w:p>
    <w:p w14:paraId="7F8382D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认购份额＝（认购金额 - 认购费用）/基金份额初始面值</w:t>
      </w:r>
      <w:r>
        <w:rPr>
          <w:rFonts w:asciiTheme="minorEastAsia" w:hAnsiTheme="minorEastAsia" w:eastAsiaTheme="minorEastAsia"/>
          <w:color w:val="auto"/>
          <w:szCs w:val="21"/>
          <w:highlight w:val="none"/>
        </w:rPr>
        <w:t>。</w:t>
      </w:r>
    </w:p>
    <w:p w14:paraId="42DBBFF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认购份额保留到小数点后2位，小数点后第3位四舍五入，由此产生的误差计入基金财产。</w:t>
      </w:r>
    </w:p>
    <w:p w14:paraId="6DF6A6B4">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5、初始销售期间投资者资金的管理及利息处理方式</w:t>
      </w:r>
    </w:p>
    <w:p w14:paraId="0FF29C04">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募集机构应当将基金初始销售期间投资者的资金存入</w:t>
      </w:r>
      <w:r>
        <w:rPr>
          <w:rFonts w:hint="eastAsia" w:asciiTheme="minorEastAsia" w:hAnsiTheme="minorEastAsia" w:eastAsiaTheme="minorEastAsia"/>
          <w:color w:val="auto"/>
          <w:kern w:val="0"/>
          <w:szCs w:val="21"/>
          <w:highlight w:val="none"/>
        </w:rPr>
        <w:t>募集结算资金专用账户</w:t>
      </w:r>
      <w:r>
        <w:rPr>
          <w:rFonts w:hint="eastAsia" w:asciiTheme="minorEastAsia" w:hAnsiTheme="minorEastAsia" w:eastAsiaTheme="minorEastAsia"/>
          <w:color w:val="auto"/>
          <w:szCs w:val="21"/>
          <w:highlight w:val="none"/>
        </w:rPr>
        <w:t>，在基金初始销售行为结束前，任何机构和个人不得动用。在募集期，投资者的有效认购款项在募集结算资金专用账户形成的利息（募集期利息）归属于基金财产，其中利息的具体数额以份额登记机构的记录为准。基金托管人不承担监督职责。</w:t>
      </w:r>
    </w:p>
    <w:p w14:paraId="3DECC670">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（四）基金份额认购金额及付款期限</w:t>
      </w:r>
    </w:p>
    <w:p w14:paraId="7E5E1F39">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投资者在募集期间的首次</w:t>
      </w:r>
      <w:r>
        <w:rPr>
          <w:rFonts w:asciiTheme="minorEastAsia" w:hAnsiTheme="minorEastAsia" w:eastAsiaTheme="minorEastAsia"/>
          <w:color w:val="auto"/>
          <w:szCs w:val="21"/>
          <w:highlight w:val="none"/>
        </w:rPr>
        <w:t>净</w:t>
      </w:r>
      <w:r>
        <w:rPr>
          <w:rFonts w:hint="eastAsia" w:asciiTheme="minorEastAsia" w:hAnsiTheme="minorEastAsia" w:eastAsiaTheme="minorEastAsia"/>
          <w:color w:val="auto"/>
          <w:szCs w:val="21"/>
          <w:highlight w:val="none"/>
        </w:rPr>
        <w:t>认购金额应不低于</w:t>
      </w:r>
      <w:r>
        <w:rPr>
          <w:rFonts w:asciiTheme="minorEastAsia" w:hAnsiTheme="minorEastAsia" w:eastAsiaTheme="minorEastAsia"/>
          <w:color w:val="auto"/>
          <w:szCs w:val="21"/>
          <w:highlight w:val="none"/>
        </w:rPr>
        <w:t>100万元</w:t>
      </w:r>
      <w:r>
        <w:rPr>
          <w:rFonts w:hint="eastAsia" w:asciiTheme="minorEastAsia" w:hAnsiTheme="minorEastAsia" w:eastAsiaTheme="minorEastAsia"/>
          <w:color w:val="auto"/>
          <w:szCs w:val="21"/>
          <w:highlight w:val="none"/>
        </w:rPr>
        <w:t>人民币（不含认购费，且本合同“募集对象”中的“特殊合格投资者”不受此限</w:t>
      </w:r>
      <w:r>
        <w:rPr>
          <w:rFonts w:hint="eastAsia" w:asciiTheme="minorEastAsia" w:hAnsiTheme="minorEastAsia" w:eastAsiaTheme="minorEastAsia"/>
          <w:color w:val="auto"/>
          <w:szCs w:val="21"/>
          <w:highlight w:val="none"/>
          <w:lang w:val="en-US" w:eastAsia="zh-CN"/>
        </w:rPr>
        <w:t>制</w:t>
      </w:r>
      <w:r>
        <w:rPr>
          <w:rFonts w:hint="eastAsia" w:asciiTheme="minorEastAsia" w:hAnsiTheme="minorEastAsia" w:eastAsiaTheme="minorEastAsia"/>
          <w:color w:val="auto"/>
          <w:szCs w:val="21"/>
          <w:highlight w:val="none"/>
        </w:rPr>
        <w:t>），并可在管理人规定的募集期限分多次缴款，募集期间每次追加认购金额应不低于</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万</w:t>
      </w:r>
      <w:r>
        <w:rPr>
          <w:rFonts w:asciiTheme="minorEastAsia" w:hAnsiTheme="minorEastAsia" w:eastAsiaTheme="minorEastAsia"/>
          <w:color w:val="auto"/>
          <w:szCs w:val="21"/>
          <w:highlight w:val="none"/>
        </w:rPr>
        <w:t>元</w:t>
      </w:r>
      <w:r>
        <w:rPr>
          <w:rFonts w:hint="eastAsia" w:asciiTheme="minorEastAsia" w:hAnsiTheme="minorEastAsia" w:eastAsiaTheme="minorEastAsia"/>
          <w:color w:val="auto"/>
          <w:szCs w:val="21"/>
          <w:highlight w:val="none"/>
        </w:rPr>
        <w:t>人民币（含认购费</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w:t>
      </w:r>
    </w:p>
    <w:p w14:paraId="1A053FA9">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（五）投资冷静期</w:t>
      </w:r>
    </w:p>
    <w:p w14:paraId="32CA5046">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基金投资者自签署本合同且全额缴纳认购份额款项后二十四小时内为本基金的认购投资冷静期，募集机构在投资冷静期内不得主动联系基金投资者。但是，</w:t>
      </w:r>
      <w:r>
        <w:rPr>
          <w:rFonts w:hint="eastAsia" w:ascii="宋体" w:hAnsi="宋体"/>
          <w:color w:val="auto"/>
          <w:szCs w:val="21"/>
          <w:highlight w:val="none"/>
        </w:rPr>
        <w:t>根据法律法规规定、部门规章、行业自律指引规定等可豁免适用</w:t>
      </w:r>
      <w:r>
        <w:rPr>
          <w:rFonts w:hint="eastAsia" w:ascii="宋体" w:hAnsi="宋体"/>
          <w:color w:val="auto"/>
          <w:szCs w:val="21"/>
          <w:highlight w:val="none"/>
          <w:lang w:val="en-US" w:eastAsia="zh-CN"/>
        </w:rPr>
        <w:t>投资冷静期</w:t>
      </w:r>
      <w:r>
        <w:rPr>
          <w:rFonts w:hint="eastAsia" w:ascii="宋体" w:hAnsi="宋体"/>
          <w:color w:val="auto"/>
          <w:szCs w:val="21"/>
          <w:highlight w:val="none"/>
        </w:rPr>
        <w:t>的个人、机构或资产管理产品</w:t>
      </w:r>
      <w:r>
        <w:rPr>
          <w:rFonts w:hint="eastAsia" w:ascii="宋体" w:hAnsi="宋体"/>
          <w:color w:val="auto"/>
          <w:szCs w:val="21"/>
          <w:highlight w:val="none"/>
          <w:lang w:val="en-US" w:eastAsia="zh-CN"/>
        </w:rPr>
        <w:t>除外</w:t>
      </w:r>
      <w:r>
        <w:rPr>
          <w:rFonts w:hint="eastAsia" w:asciiTheme="minorEastAsia" w:hAnsiTheme="minorEastAsia" w:eastAsiaTheme="minorEastAsia"/>
          <w:color w:val="auto"/>
          <w:szCs w:val="21"/>
          <w:highlight w:val="none"/>
        </w:rPr>
        <w:t>。</w:t>
      </w:r>
    </w:p>
    <w:p w14:paraId="0E8F6862">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（六）回访制度</w:t>
      </w:r>
    </w:p>
    <w:p w14:paraId="68F6735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在中国基金业协会正式要求私募基金的募集机构实施《私募投资基金募集行为管理办法》规定的回访制度之前，本基金直销机构暂不实施该回访制度，代销机构可自行决定是否实施该回访制度。</w:t>
      </w:r>
    </w:p>
    <w:p w14:paraId="3C1493F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中国基金业协会正式要求私募基金的募集机构实施《私募投资基金募集行为管理办法》规定的回访制度之后，募集机构应当在投资冷静期满后，指令本机构从事基金销售推介业务以外的人员以录音电话、电邮、信函等适当方式进行投资回访。未经回访确认成功，投资者交纳的认购基金款项不得由</w:t>
      </w:r>
      <w:r>
        <w:rPr>
          <w:rFonts w:hint="eastAsia" w:asciiTheme="minorEastAsia" w:hAnsiTheme="minorEastAsia" w:eastAsiaTheme="minorEastAsia"/>
          <w:color w:val="auto"/>
          <w:kern w:val="0"/>
          <w:szCs w:val="21"/>
          <w:highlight w:val="none"/>
        </w:rPr>
        <w:t>募集结算资金专用账户</w:t>
      </w:r>
      <w:r>
        <w:rPr>
          <w:rFonts w:hint="eastAsia" w:asciiTheme="minorEastAsia" w:hAnsiTheme="minorEastAsia" w:eastAsiaTheme="minorEastAsia"/>
          <w:color w:val="auto"/>
          <w:szCs w:val="21"/>
          <w:highlight w:val="none"/>
        </w:rPr>
        <w:t>划转到托管资金账户，基金管理人不得投资运作投资者交纳的认购基金款项。但是，</w:t>
      </w:r>
      <w:r>
        <w:rPr>
          <w:rFonts w:hint="eastAsia" w:ascii="宋体" w:hAnsi="宋体"/>
          <w:color w:val="auto"/>
          <w:szCs w:val="21"/>
          <w:highlight w:val="none"/>
        </w:rPr>
        <w:t>根据法律法规规定、部门规章、行业自律指引规定等可豁免适用</w:t>
      </w:r>
      <w:r>
        <w:rPr>
          <w:rFonts w:hint="eastAsia" w:ascii="宋体" w:hAnsi="宋体"/>
          <w:color w:val="auto"/>
          <w:szCs w:val="21"/>
          <w:highlight w:val="none"/>
          <w:lang w:val="en-US" w:eastAsia="zh-CN"/>
        </w:rPr>
        <w:t>回访制度</w:t>
      </w:r>
      <w:r>
        <w:rPr>
          <w:rFonts w:hint="eastAsia" w:ascii="宋体" w:hAnsi="宋体"/>
          <w:color w:val="auto"/>
          <w:szCs w:val="21"/>
          <w:highlight w:val="none"/>
        </w:rPr>
        <w:t>的个人、机构或资产管理产品</w:t>
      </w:r>
      <w:r>
        <w:rPr>
          <w:rFonts w:hint="eastAsia" w:ascii="宋体" w:hAnsi="宋体" w:eastAsiaTheme="minorEastAsia"/>
          <w:color w:val="auto"/>
          <w:szCs w:val="21"/>
          <w:highlight w:val="none"/>
          <w:lang w:val="en-US" w:eastAsia="zh-CN"/>
        </w:rPr>
        <w:t>除外</w:t>
      </w:r>
      <w:r>
        <w:rPr>
          <w:rFonts w:hint="eastAsia" w:asciiTheme="minorEastAsia" w:hAnsiTheme="minorEastAsia" w:eastAsiaTheme="minorEastAsia"/>
          <w:color w:val="auto"/>
          <w:szCs w:val="21"/>
          <w:highlight w:val="none"/>
        </w:rPr>
        <w:t>。在此情况下，基金管理人有权根据回访制度的实施需要而变更本合同项下的相关条款，但应提前通知基金投资者，对基金投资者履行告知义务。</w:t>
      </w:r>
    </w:p>
    <w:p w14:paraId="5C5DA9E1">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基金投资者认购/申购基金份额的，由私募基金管理人或代销机构（如有）负责确认投资冷静期是否届满、回访确认是否成功（若募集机构决定实施回访制度），直销募集账户监督机构、份额登记机构不承担投资冷静期是否届满、回访确认是否成功（若募集机构决定实施回访制度）等事项的形式和实质审核义务，直销募集账户监督机构和份额登记机构仅依据私募基金管理人的指令办理资金定向划拨和注册登记业务。基金投资者知悉并同意因私募基金管理人或代销机构（如有）确认结果错误而给基金投资者造成损失的，相关责任由私募基金管理人或代销机构（如有）自行承担，直销募集账户监督机构、份额登记机构不因此承担任何责任。</w:t>
      </w:r>
    </w:p>
    <w:p w14:paraId="43E6B8A3">
      <w:pPr>
        <w:adjustRightInd w:val="0"/>
        <w:snapToGrid w:val="0"/>
        <w:spacing w:before="312" w:beforeLines="100" w:after="312" w:afterLines="100" w:line="372" w:lineRule="auto"/>
        <w:jc w:val="center"/>
        <w:outlineLvl w:val="0"/>
        <w:rPr>
          <w:rFonts w:asciiTheme="minorEastAsia" w:hAnsiTheme="minorEastAsia" w:eastAsiaTheme="minorEastAsia"/>
          <w:b/>
          <w:color w:val="auto"/>
          <w:sz w:val="28"/>
          <w:szCs w:val="28"/>
          <w:highlight w:val="none"/>
        </w:rPr>
      </w:pPr>
      <w:bookmarkStart w:id="24" w:name="_Toc110605407"/>
      <w:bookmarkStart w:id="25" w:name="_Toc459392408"/>
      <w:bookmarkStart w:id="26" w:name="_Toc32538"/>
      <w:r>
        <w:rPr>
          <w:rFonts w:hint="eastAsia" w:asciiTheme="minorEastAsia" w:hAnsiTheme="minorEastAsia" w:eastAsiaTheme="minorEastAsia"/>
          <w:b/>
          <w:color w:val="auto"/>
          <w:sz w:val="28"/>
          <w:szCs w:val="28"/>
          <w:highlight w:val="none"/>
        </w:rPr>
        <w:t>六、基金的成立与备案</w:t>
      </w:r>
      <w:bookmarkEnd w:id="24"/>
      <w:bookmarkEnd w:id="25"/>
      <w:bookmarkEnd w:id="26"/>
    </w:p>
    <w:p w14:paraId="6DA7713C">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（一）本合同签署的方式</w:t>
      </w:r>
    </w:p>
    <w:p w14:paraId="7A125412">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投资者认购本基金，应当在与募集机构完成合格投资者确认程序后通过纸质合同和/或电子合同的方式签署本合同。</w:t>
      </w:r>
    </w:p>
    <w:p w14:paraId="5B6FE3FF">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（二）基金成立的条件</w:t>
      </w:r>
    </w:p>
    <w:p w14:paraId="12F9A0A3">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本基金募集期结束后，基金管理人或其委托的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服务机构应将全部募集资金划入托管资金账户，初始实缴募集资金规模不低于</w:t>
      </w:r>
      <w:r>
        <w:rPr>
          <w:rFonts w:asciiTheme="minorEastAsia" w:hAnsiTheme="minorEastAsia" w:eastAsiaTheme="minorEastAsia"/>
          <w:color w:val="auto"/>
          <w:szCs w:val="21"/>
          <w:highlight w:val="none"/>
        </w:rPr>
        <w:t>100</w:t>
      </w:r>
      <w:r>
        <w:rPr>
          <w:rFonts w:hint="eastAsia" w:asciiTheme="minorEastAsia" w:hAnsiTheme="minorEastAsia" w:eastAsiaTheme="minorEastAsia"/>
          <w:color w:val="auto"/>
          <w:szCs w:val="21"/>
          <w:highlight w:val="none"/>
        </w:rPr>
        <w:t>0万元人民币，中国证监会另有规定的除外</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基金托管人核实资金到账情况后，向基金管理人出具资金到账通知书，基金成立，基金具体的成立日期以资金到账通知书上载明的资金到达基金托管账户的日期为准。</w:t>
      </w:r>
    </w:p>
    <w:p w14:paraId="7662090C">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基金管理人应于基金成立时向本基金的基金份额持有人发布基金成立通知。</w:t>
      </w:r>
    </w:p>
    <w:p w14:paraId="44DE26C6">
      <w:pPr>
        <w:pStyle w:val="11"/>
        <w:widowControl w:val="0"/>
        <w:adjustRightInd w:val="0"/>
        <w:snapToGrid w:val="0"/>
        <w:spacing w:before="93" w:beforeLines="30" w:after="93" w:afterLines="30" w:line="372"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基金托管人的职责自基金成立后开始。</w:t>
      </w:r>
    </w:p>
    <w:p w14:paraId="2BF3DD8B">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（三）募集失败的处理方式</w:t>
      </w:r>
    </w:p>
    <w:p w14:paraId="5A37E83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募集期限届满，本基金未能成立的，基金管理人应当：</w:t>
      </w:r>
    </w:p>
    <w:p w14:paraId="0DB25B89">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1、以其固有财产承担因销售行为而产生的债务和费用。</w:t>
      </w:r>
    </w:p>
    <w:p w14:paraId="794CE191">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2、在募集期限届满后30日内返还基金投资者已缴纳的款项，并加计不低于银行同期活期存款利息。</w:t>
      </w:r>
    </w:p>
    <w:p w14:paraId="1A42D762">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（四）基金的备案</w:t>
      </w:r>
    </w:p>
    <w:p w14:paraId="65FBA338">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在基金募集完毕后20个工作日内，向中国基金业协会履行基金备案手续。本基金在成立日至完成备案前不得开展投资活动，以现金管理为目的，投资于符合本合同约定的投资范围的现金管理工具（包括银行活期存款、国债、中央银行票据、货币市场基金）除外。基金投资者可在本基金完成备案之后通过中国基金业协会网站查询本基金公示信息。基金的备案由基金管理人负责，若基金管理人未按照中国基金业协会规定履行基金备案手续，基金托管人不承担相关责任。</w:t>
      </w:r>
    </w:p>
    <w:p w14:paraId="19F8FBB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bookmarkStart w:id="27" w:name="_Hlt211344873"/>
      <w:bookmarkEnd w:id="27"/>
      <w:r>
        <w:rPr>
          <w:rFonts w:hint="eastAsia" w:asciiTheme="minorEastAsia" w:hAnsiTheme="minorEastAsia" w:eastAsiaTheme="minorEastAsia"/>
          <w:color w:val="auto"/>
          <w:szCs w:val="21"/>
          <w:highlight w:val="none"/>
        </w:rPr>
        <w:t>（五）基金未备案和备案未通过的处理方式</w:t>
      </w:r>
    </w:p>
    <w:p w14:paraId="5B98E9B7">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本基金应该在基金业协会规定的期限内完成备案手续，不能满足基金备案条件或基金管理人放弃基金备案的，基金管理人应及时通知基金份额</w:t>
      </w:r>
      <w:r>
        <w:rPr>
          <w:rFonts w:asciiTheme="minorEastAsia" w:hAnsiTheme="minorEastAsia" w:eastAsiaTheme="minorEastAsia"/>
          <w:color w:val="auto"/>
          <w:szCs w:val="21"/>
          <w:highlight w:val="none"/>
        </w:rPr>
        <w:t>持有人</w:t>
      </w:r>
      <w:r>
        <w:rPr>
          <w:rFonts w:hint="eastAsia" w:asciiTheme="minorEastAsia" w:hAnsiTheme="minorEastAsia" w:eastAsiaTheme="minorEastAsia"/>
          <w:color w:val="auto"/>
          <w:szCs w:val="21"/>
          <w:highlight w:val="none"/>
        </w:rPr>
        <w:t>和基金托管人。若基金管理人放弃本基金备案或本基金未能成功通过备案，本合同相应终止，管理人需及时向全体基金份额持有人披露基金终止相关公告，同时书面通知基金托管人和私募基金服务机构，并对本基金财产进行终止清算，具体终止清算流程参见本合同“基金的清算”章节。</w:t>
      </w:r>
    </w:p>
    <w:p w14:paraId="39C270FB">
      <w:pPr>
        <w:adjustRightInd w:val="0"/>
        <w:snapToGrid w:val="0"/>
        <w:spacing w:before="312" w:beforeLines="100" w:after="312" w:afterLines="100" w:line="372" w:lineRule="auto"/>
        <w:jc w:val="center"/>
        <w:outlineLvl w:val="0"/>
        <w:rPr>
          <w:rFonts w:asciiTheme="minorEastAsia" w:hAnsiTheme="minorEastAsia" w:eastAsiaTheme="minorEastAsia"/>
          <w:b/>
          <w:color w:val="auto"/>
          <w:sz w:val="28"/>
          <w:szCs w:val="28"/>
          <w:highlight w:val="none"/>
        </w:rPr>
      </w:pPr>
      <w:bookmarkStart w:id="28" w:name="_Toc381953526"/>
      <w:bookmarkStart w:id="29" w:name="_Toc110605408"/>
      <w:bookmarkStart w:id="30" w:name="_Toc3448"/>
      <w:bookmarkStart w:id="31" w:name="_Toc459392409"/>
      <w:r>
        <w:rPr>
          <w:rFonts w:hint="eastAsia" w:asciiTheme="minorEastAsia" w:hAnsiTheme="minorEastAsia" w:eastAsiaTheme="minorEastAsia"/>
          <w:b/>
          <w:color w:val="auto"/>
          <w:sz w:val="28"/>
          <w:szCs w:val="28"/>
          <w:highlight w:val="none"/>
        </w:rPr>
        <w:t>七、基金的申购、赎回</w:t>
      </w:r>
      <w:bookmarkEnd w:id="28"/>
      <w:r>
        <w:rPr>
          <w:rFonts w:hint="eastAsia" w:asciiTheme="minorEastAsia" w:hAnsiTheme="minorEastAsia" w:eastAsiaTheme="minorEastAsia"/>
          <w:b/>
          <w:color w:val="auto"/>
          <w:sz w:val="28"/>
          <w:szCs w:val="28"/>
          <w:highlight w:val="none"/>
        </w:rPr>
        <w:t>与转让</w:t>
      </w:r>
      <w:bookmarkEnd w:id="29"/>
      <w:bookmarkEnd w:id="30"/>
      <w:bookmarkEnd w:id="31"/>
    </w:p>
    <w:p w14:paraId="6AC8C65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 申购和赎回的场所</w:t>
      </w:r>
    </w:p>
    <w:p w14:paraId="4462BF4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本基金的销售机构包括直销机构（基金管理人）和基金管理人委托的代销机构。其中，代销机构需在中国证监会注册取得基金销售业务资格并已成为中国证券投资基金业协会会员。</w:t>
      </w:r>
    </w:p>
    <w:p w14:paraId="6D03C43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基金投资者应当在募集机构办理基金销售业务的营业场所或按募集机构提供的其他方式办理基金份额的申购和赎回。基金管理人可根据情况变更或增减基金代销机构，并予以公告或通知。</w:t>
      </w:r>
    </w:p>
    <w:p w14:paraId="3A2FA7C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（二）申购和赎回的开放日及时间</w:t>
      </w:r>
    </w:p>
    <w:p w14:paraId="03AF4D74">
      <w:pPr>
        <w:adjustRightInd w:val="0"/>
        <w:snapToGrid w:val="0"/>
        <w:spacing w:before="93" w:beforeLines="30" w:after="93" w:afterLines="30" w:line="360" w:lineRule="auto"/>
        <w:ind w:firstLine="422" w:firstLineChars="200"/>
        <w:rPr>
          <w:rFonts w:hint="default" w:asciiTheme="minorEastAsia" w:hAnsiTheme="minorEastAsia" w:eastAsiaTheme="minorEastAsia"/>
          <w:b/>
          <w:bCs/>
          <w:color w:val="auto"/>
          <w:szCs w:val="21"/>
          <w:highlight w:val="none"/>
          <w:lang w:val="en-US" w:eastAsia="zh-CN"/>
        </w:rPr>
      </w:pPr>
      <w:r>
        <w:rPr>
          <w:rFonts w:hint="eastAsia" w:asciiTheme="minorEastAsia" w:hAnsiTheme="minorEastAsia" w:eastAsiaTheme="minorEastAsia"/>
          <w:b/>
          <w:bCs/>
          <w:color w:val="auto"/>
          <w:szCs w:val="21"/>
          <w:highlight w:val="none"/>
          <w:lang w:val="en-US" w:eastAsia="zh-CN"/>
        </w:rPr>
        <w:t>1、大额赎回预约机制</w:t>
      </w:r>
    </w:p>
    <w:p w14:paraId="08C0D68E">
      <w:pPr>
        <w:pStyle w:val="12"/>
        <w:adjustRightInd w:val="0"/>
        <w:snapToGrid w:val="0"/>
        <w:spacing w:before="93" w:beforeLines="30" w:after="93" w:afterLines="30" w:line="360" w:lineRule="auto"/>
        <w:ind w:firstLine="420" w:firstLineChars="200"/>
        <w:rPr>
          <w:rFonts w:asciiTheme="minorEastAsia" w:hAnsiTheme="minorEastAsia" w:eastAsiaTheme="minorEastAsia"/>
          <w:b w:val="0"/>
          <w:bCs/>
          <w:color w:val="auto"/>
          <w:szCs w:val="21"/>
          <w:highlight w:val="none"/>
        </w:rPr>
      </w:pPr>
      <w:r>
        <w:rPr>
          <w:rFonts w:asciiTheme="minorEastAsia" w:hAnsiTheme="minorEastAsia" w:eastAsiaTheme="minorEastAsia"/>
          <w:b w:val="0"/>
          <w:bCs/>
          <w:color w:val="auto"/>
          <w:szCs w:val="21"/>
          <w:highlight w:val="none"/>
        </w:rPr>
        <w:t>对单个投资者单</w:t>
      </w:r>
      <w:r>
        <w:rPr>
          <w:rFonts w:hint="eastAsia" w:asciiTheme="minorEastAsia" w:hAnsiTheme="minorEastAsia" w:eastAsiaTheme="minorEastAsia"/>
          <w:b w:val="0"/>
          <w:bCs/>
          <w:color w:val="auto"/>
          <w:szCs w:val="21"/>
          <w:highlight w:val="none"/>
        </w:rPr>
        <w:t>个开放日申请</w:t>
      </w:r>
      <w:r>
        <w:rPr>
          <w:rFonts w:asciiTheme="minorEastAsia" w:hAnsiTheme="minorEastAsia" w:eastAsiaTheme="minorEastAsia"/>
          <w:b w:val="0"/>
          <w:bCs/>
          <w:color w:val="auto"/>
          <w:szCs w:val="21"/>
          <w:highlight w:val="none"/>
        </w:rPr>
        <w:t>赎回份额超过</w:t>
      </w:r>
      <w:r>
        <w:rPr>
          <w:rFonts w:hint="eastAsia" w:asciiTheme="minorEastAsia" w:hAnsiTheme="minorEastAsia" w:eastAsiaTheme="minorEastAsia"/>
          <w:b w:val="0"/>
          <w:bCs/>
          <w:color w:val="auto"/>
          <w:szCs w:val="21"/>
          <w:highlight w:val="none"/>
          <w:u w:val="single"/>
          <w:lang w:val="en-US" w:eastAsia="zh-CN"/>
        </w:rPr>
        <w:t>基金总份额的【20】%</w:t>
      </w:r>
      <w:r>
        <w:rPr>
          <w:rFonts w:asciiTheme="minorEastAsia" w:hAnsiTheme="minorEastAsia" w:eastAsiaTheme="minorEastAsia"/>
          <w:b w:val="0"/>
          <w:bCs/>
          <w:color w:val="auto"/>
          <w:szCs w:val="21"/>
          <w:highlight w:val="none"/>
        </w:rPr>
        <w:t>的,</w:t>
      </w:r>
      <w:r>
        <w:rPr>
          <w:rFonts w:hint="eastAsia" w:asciiTheme="minorEastAsia" w:hAnsiTheme="minorEastAsia" w:eastAsiaTheme="minorEastAsia"/>
          <w:b w:val="0"/>
          <w:bCs/>
          <w:color w:val="auto"/>
          <w:szCs w:val="21"/>
          <w:highlight w:val="none"/>
        </w:rPr>
        <w:t>本基金设置赎回申请预约机制</w:t>
      </w:r>
      <w:r>
        <w:rPr>
          <w:rFonts w:asciiTheme="minorEastAsia" w:hAnsiTheme="minorEastAsia" w:eastAsiaTheme="minorEastAsia"/>
          <w:b w:val="0"/>
          <w:bCs/>
          <w:color w:val="auto"/>
          <w:szCs w:val="21"/>
          <w:highlight w:val="none"/>
        </w:rPr>
        <w:t>。投资者</w:t>
      </w:r>
      <w:r>
        <w:rPr>
          <w:rFonts w:hint="eastAsia" w:asciiTheme="minorEastAsia" w:hAnsiTheme="minorEastAsia" w:eastAsiaTheme="minorEastAsia"/>
          <w:b w:val="0"/>
          <w:bCs/>
          <w:color w:val="auto"/>
          <w:szCs w:val="21"/>
          <w:highlight w:val="none"/>
        </w:rPr>
        <w:t>应当于</w:t>
      </w:r>
      <w:r>
        <w:rPr>
          <w:rFonts w:asciiTheme="minorEastAsia" w:hAnsiTheme="minorEastAsia" w:eastAsiaTheme="minorEastAsia"/>
          <w:b w:val="0"/>
          <w:bCs/>
          <w:color w:val="auto"/>
          <w:szCs w:val="21"/>
          <w:highlight w:val="none"/>
        </w:rPr>
        <w:t>开放日前</w:t>
      </w:r>
      <w:r>
        <w:rPr>
          <w:rFonts w:hint="eastAsia" w:asciiTheme="minorEastAsia" w:hAnsiTheme="minorEastAsia" w:eastAsiaTheme="minorEastAsia"/>
          <w:b w:val="0"/>
          <w:bCs/>
          <w:color w:val="auto"/>
          <w:szCs w:val="21"/>
          <w:highlight w:val="none"/>
          <w:u w:val="single"/>
          <w:lang w:val="en-US" w:eastAsia="zh-CN"/>
        </w:rPr>
        <w:t xml:space="preserve"> 7 </w:t>
      </w:r>
      <w:r>
        <w:rPr>
          <w:rFonts w:asciiTheme="minorEastAsia" w:hAnsiTheme="minorEastAsia" w:eastAsiaTheme="minorEastAsia"/>
          <w:b w:val="0"/>
          <w:bCs/>
          <w:color w:val="auto"/>
          <w:szCs w:val="21"/>
          <w:highlight w:val="none"/>
        </w:rPr>
        <w:t>个工作日（含当天）至开放日前</w:t>
      </w:r>
      <w:r>
        <w:rPr>
          <w:rFonts w:hint="eastAsia" w:asciiTheme="minorEastAsia" w:hAnsiTheme="minorEastAsia" w:eastAsiaTheme="minorEastAsia"/>
          <w:b w:val="0"/>
          <w:bCs/>
          <w:color w:val="auto"/>
          <w:szCs w:val="21"/>
          <w:highlight w:val="none"/>
          <w:u w:val="single"/>
          <w:lang w:val="en-US" w:eastAsia="zh-CN"/>
        </w:rPr>
        <w:t xml:space="preserve"> 1 </w:t>
      </w:r>
      <w:r>
        <w:rPr>
          <w:rFonts w:asciiTheme="minorEastAsia" w:hAnsiTheme="minorEastAsia" w:eastAsiaTheme="minorEastAsia"/>
          <w:b w:val="0"/>
          <w:bCs/>
          <w:color w:val="auto"/>
          <w:szCs w:val="21"/>
          <w:highlight w:val="none"/>
        </w:rPr>
        <w:t>个工作日（含当天）</w:t>
      </w:r>
      <w:r>
        <w:rPr>
          <w:rFonts w:hint="eastAsia" w:asciiTheme="minorEastAsia" w:hAnsiTheme="minorEastAsia" w:eastAsiaTheme="minorEastAsia"/>
          <w:b w:val="0"/>
          <w:bCs/>
          <w:color w:val="auto"/>
          <w:szCs w:val="21"/>
          <w:highlight w:val="none"/>
        </w:rPr>
        <w:t>期间向募集机构</w:t>
      </w:r>
      <w:r>
        <w:rPr>
          <w:rFonts w:asciiTheme="minorEastAsia" w:hAnsiTheme="minorEastAsia" w:eastAsiaTheme="minorEastAsia"/>
          <w:b w:val="0"/>
          <w:bCs/>
          <w:color w:val="auto"/>
          <w:szCs w:val="21"/>
          <w:highlight w:val="none"/>
        </w:rPr>
        <w:t>提交预约</w:t>
      </w:r>
      <w:r>
        <w:rPr>
          <w:rFonts w:hint="eastAsia" w:asciiTheme="minorEastAsia" w:hAnsiTheme="minorEastAsia" w:eastAsiaTheme="minorEastAsia"/>
          <w:b w:val="0"/>
          <w:bCs/>
          <w:color w:val="auto"/>
          <w:szCs w:val="21"/>
          <w:highlight w:val="none"/>
        </w:rPr>
        <w:t>赎回</w:t>
      </w:r>
      <w:r>
        <w:rPr>
          <w:rFonts w:hint="eastAsia" w:asciiTheme="minorEastAsia" w:hAnsiTheme="minorEastAsia" w:eastAsiaTheme="minorEastAsia"/>
          <w:b w:val="0"/>
          <w:bCs/>
          <w:color w:val="auto"/>
          <w:szCs w:val="21"/>
          <w:highlight w:val="none"/>
          <w:lang w:eastAsia="zh-CN"/>
        </w:rPr>
        <w:t>。</w:t>
      </w:r>
      <w:r>
        <w:rPr>
          <w:rFonts w:asciiTheme="minorEastAsia" w:hAnsiTheme="minorEastAsia" w:eastAsiaTheme="minorEastAsia"/>
          <w:b w:val="0"/>
          <w:bCs/>
          <w:color w:val="auto"/>
          <w:szCs w:val="21"/>
          <w:highlight w:val="none"/>
        </w:rPr>
        <w:t>对于</w:t>
      </w:r>
      <w:r>
        <w:rPr>
          <w:rFonts w:hint="eastAsia" w:asciiTheme="minorEastAsia" w:hAnsiTheme="minorEastAsia" w:eastAsiaTheme="minorEastAsia"/>
          <w:b w:val="0"/>
          <w:bCs/>
          <w:color w:val="auto"/>
          <w:szCs w:val="21"/>
          <w:highlight w:val="none"/>
        </w:rPr>
        <w:t>未按照要求预约</w:t>
      </w:r>
      <w:r>
        <w:rPr>
          <w:rFonts w:asciiTheme="minorEastAsia" w:hAnsiTheme="minorEastAsia" w:eastAsiaTheme="minorEastAsia"/>
          <w:b w:val="0"/>
          <w:bCs/>
          <w:color w:val="auto"/>
          <w:szCs w:val="21"/>
          <w:highlight w:val="none"/>
        </w:rPr>
        <w:t>的大额赎回申请,</w:t>
      </w:r>
      <w:r>
        <w:rPr>
          <w:rFonts w:hint="eastAsia" w:asciiTheme="minorEastAsia" w:hAnsiTheme="minorEastAsia" w:eastAsiaTheme="minorEastAsia"/>
          <w:b w:val="0"/>
          <w:bCs/>
          <w:color w:val="auto"/>
          <w:szCs w:val="21"/>
          <w:highlight w:val="none"/>
        </w:rPr>
        <w:t>管理人</w:t>
      </w:r>
      <w:r>
        <w:rPr>
          <w:rFonts w:hint="eastAsia" w:asciiTheme="minorEastAsia" w:hAnsiTheme="minorEastAsia" w:eastAsiaTheme="minorEastAsia"/>
          <w:b w:val="0"/>
          <w:bCs/>
          <w:color w:val="auto"/>
          <w:szCs w:val="21"/>
          <w:highlight w:val="none"/>
          <w:lang w:val="en-US" w:eastAsia="zh-CN"/>
        </w:rPr>
        <w:t>可以</w:t>
      </w:r>
      <w:r>
        <w:rPr>
          <w:rFonts w:asciiTheme="minorEastAsia" w:hAnsiTheme="minorEastAsia" w:eastAsiaTheme="minorEastAsia"/>
          <w:b w:val="0"/>
          <w:bCs/>
          <w:color w:val="auto"/>
          <w:szCs w:val="21"/>
          <w:highlight w:val="none"/>
        </w:rPr>
        <w:t>拒绝确认其赎回申请</w:t>
      </w:r>
      <w:r>
        <w:rPr>
          <w:rFonts w:hint="eastAsia" w:asciiTheme="minorEastAsia" w:hAnsiTheme="minorEastAsia" w:eastAsiaTheme="minorEastAsia"/>
          <w:b w:val="0"/>
          <w:bCs/>
          <w:color w:val="auto"/>
          <w:szCs w:val="21"/>
          <w:highlight w:val="none"/>
        </w:rPr>
        <w:t>有效性</w:t>
      </w:r>
      <w:r>
        <w:rPr>
          <w:rFonts w:asciiTheme="minorEastAsia" w:hAnsiTheme="minorEastAsia" w:eastAsiaTheme="minorEastAsia"/>
          <w:b w:val="0"/>
          <w:bCs/>
          <w:color w:val="auto"/>
          <w:szCs w:val="21"/>
          <w:highlight w:val="none"/>
        </w:rPr>
        <w:t>。</w:t>
      </w:r>
    </w:p>
    <w:p w14:paraId="3CE293E0">
      <w:pPr>
        <w:pStyle w:val="12"/>
        <w:adjustRightInd w:val="0"/>
        <w:snapToGrid w:val="0"/>
        <w:spacing w:before="93" w:beforeLines="30" w:after="93" w:afterLines="30" w:line="360" w:lineRule="auto"/>
        <w:ind w:firstLine="422" w:firstLineChars="200"/>
        <w:rPr>
          <w:rFonts w:hint="eastAsia" w:asciiTheme="minorEastAsia" w:hAnsiTheme="minorEastAsia" w:eastAsiaTheme="minorEastAsia"/>
          <w:b/>
          <w:color w:val="auto"/>
          <w:szCs w:val="21"/>
          <w:highlight w:val="none"/>
          <w:lang w:val="en-US" w:eastAsia="zh-CN"/>
        </w:rPr>
      </w:pPr>
      <w:r>
        <w:rPr>
          <w:rFonts w:hint="eastAsia" w:asciiTheme="minorEastAsia" w:hAnsiTheme="minorEastAsia" w:eastAsiaTheme="minorEastAsia"/>
          <w:b/>
          <w:color w:val="auto"/>
          <w:szCs w:val="21"/>
          <w:highlight w:val="none"/>
          <w:lang w:val="en-US" w:eastAsia="zh-CN"/>
        </w:rPr>
        <w:t>2、本基金的封闭期</w:t>
      </w:r>
    </w:p>
    <w:p w14:paraId="4D3C3FCE">
      <w:pPr>
        <w:pStyle w:val="12"/>
        <w:adjustRightInd w:val="0"/>
        <w:snapToGrid w:val="0"/>
        <w:spacing w:before="93" w:beforeLines="30" w:after="93" w:afterLines="30" w:line="360" w:lineRule="auto"/>
        <w:ind w:firstLine="420" w:firstLineChars="200"/>
        <w:rPr>
          <w:rFonts w:hint="eastAsia" w:asciiTheme="minorEastAsia" w:hAnsiTheme="minorEastAsia" w:eastAsiaTheme="minorEastAsia"/>
          <w:b w:val="0"/>
          <w:bCs/>
          <w:color w:val="auto"/>
          <w:szCs w:val="21"/>
          <w:highlight w:val="none"/>
          <w:lang w:val="en-US" w:eastAsia="zh-CN"/>
        </w:rPr>
      </w:pPr>
      <w:r>
        <w:rPr>
          <w:rFonts w:hint="eastAsia" w:asciiTheme="minorEastAsia" w:hAnsiTheme="minorEastAsia" w:eastAsiaTheme="minorEastAsia"/>
          <w:b w:val="0"/>
          <w:bCs/>
          <w:color w:val="auto"/>
          <w:szCs w:val="21"/>
          <w:highlight w:val="none"/>
          <w:lang w:val="en-US" w:eastAsia="zh-CN"/>
        </w:rPr>
        <w:t>无。</w:t>
      </w:r>
    </w:p>
    <w:p w14:paraId="7FFBBE84">
      <w:pPr>
        <w:pStyle w:val="12"/>
        <w:adjustRightInd w:val="0"/>
        <w:snapToGrid w:val="0"/>
        <w:spacing w:before="93" w:beforeLines="30" w:after="93" w:afterLines="30" w:line="360" w:lineRule="auto"/>
        <w:ind w:firstLine="422" w:firstLineChars="200"/>
        <w:rPr>
          <w:rFonts w:hint="default" w:asciiTheme="minorEastAsia" w:hAnsiTheme="minorEastAsia" w:eastAsiaTheme="minorEastAsia"/>
          <w:b/>
          <w:color w:val="auto"/>
          <w:szCs w:val="21"/>
          <w:highlight w:val="none"/>
          <w:lang w:val="en-US" w:eastAsia="zh-CN"/>
        </w:rPr>
      </w:pPr>
      <w:r>
        <w:rPr>
          <w:rFonts w:hint="eastAsia" w:asciiTheme="minorEastAsia" w:hAnsiTheme="minorEastAsia" w:eastAsiaTheme="minorEastAsia"/>
          <w:b/>
          <w:color w:val="auto"/>
          <w:szCs w:val="21"/>
          <w:highlight w:val="none"/>
          <w:lang w:val="en-US" w:eastAsia="zh-CN"/>
        </w:rPr>
        <w:t>3、份额锁定期</w:t>
      </w:r>
    </w:p>
    <w:p w14:paraId="3291182A">
      <w:pPr>
        <w:pStyle w:val="12"/>
        <w:adjustRightInd w:val="0"/>
        <w:snapToGrid w:val="0"/>
        <w:spacing w:before="93" w:beforeLines="30" w:after="93" w:afterLines="30" w:line="360" w:lineRule="auto"/>
        <w:ind w:firstLine="420" w:firstLineChars="200"/>
        <w:rPr>
          <w:rFonts w:hint="eastAsia"/>
          <w:color w:val="auto"/>
          <w:highlight w:val="none"/>
          <w:lang w:val="en-US" w:eastAsia="zh-CN"/>
        </w:rPr>
      </w:pPr>
      <w:r>
        <w:rPr>
          <w:rFonts w:hint="eastAsia" w:asciiTheme="minorEastAsia" w:hAnsiTheme="minorEastAsia" w:eastAsiaTheme="minorEastAsia"/>
          <w:color w:val="auto"/>
          <w:szCs w:val="21"/>
          <w:highlight w:val="none"/>
        </w:rPr>
        <w:t>本基金</w:t>
      </w:r>
      <w:r>
        <w:rPr>
          <w:rFonts w:hint="eastAsia" w:asciiTheme="minorEastAsia" w:hAnsiTheme="minorEastAsia" w:eastAsiaTheme="minorEastAsia"/>
          <w:color w:val="auto"/>
          <w:szCs w:val="21"/>
          <w:highlight w:val="none"/>
          <w:lang w:val="en-US" w:eastAsia="zh-CN"/>
        </w:rPr>
        <w:t>设置</w:t>
      </w:r>
      <w:r>
        <w:rPr>
          <w:rFonts w:hint="eastAsia" w:asciiTheme="minorEastAsia" w:hAnsiTheme="minorEastAsia" w:eastAsiaTheme="minorEastAsia"/>
          <w:color w:val="auto"/>
          <w:szCs w:val="21"/>
          <w:highlight w:val="none"/>
        </w:rPr>
        <w:t>的份额锁定期限为</w:t>
      </w:r>
      <w:r>
        <w:rPr>
          <w:rFonts w:hint="eastAsia" w:asciiTheme="minorEastAsia" w:hAnsiTheme="minorEastAsia" w:eastAsiaTheme="minorEastAsia"/>
          <w:color w:val="auto"/>
          <w:szCs w:val="21"/>
          <w:highlight w:val="none"/>
          <w:lang w:val="en-US" w:eastAsia="zh-CN"/>
        </w:rPr>
        <w:t>90个自然日</w:t>
      </w:r>
      <w:r>
        <w:rPr>
          <w:rFonts w:hint="eastAsia" w:asciiTheme="minorEastAsia" w:hAnsiTheme="minorEastAsia" w:eastAsiaTheme="minorEastAsia"/>
          <w:color w:val="auto"/>
          <w:szCs w:val="21"/>
          <w:highlight w:val="none"/>
        </w:rPr>
        <w:t>（因红利再投资增加的份额不受限制），认购份额自基金成立日起算，申购份额自申购确认日起算。</w:t>
      </w:r>
      <w:r>
        <w:rPr>
          <w:rFonts w:hint="eastAsia" w:ascii="宋体" w:hAnsi="宋体" w:cs="宋体"/>
          <w:b/>
          <w:bCs/>
          <w:color w:val="auto"/>
          <w:kern w:val="0"/>
          <w:szCs w:val="21"/>
          <w:highlight w:val="none"/>
        </w:rPr>
        <w:t>特别地，本基金的管理人及其员工跟投本基金的，单笔认/申购份额的锁定期为</w:t>
      </w:r>
      <w:r>
        <w:rPr>
          <w:rFonts w:hint="eastAsia" w:ascii="宋体" w:hAnsi="宋体" w:cs="宋体"/>
          <w:b/>
          <w:bCs/>
          <w:color w:val="auto"/>
          <w:kern w:val="0"/>
          <w:szCs w:val="21"/>
          <w:highlight w:val="none"/>
          <w:u w:val="none"/>
          <w:lang w:val="en-US" w:eastAsia="zh-CN"/>
        </w:rPr>
        <w:t>6</w:t>
      </w:r>
      <w:r>
        <w:rPr>
          <w:rFonts w:hint="eastAsia" w:ascii="宋体" w:hAnsi="宋体" w:cs="宋体"/>
          <w:b/>
          <w:bCs/>
          <w:color w:val="auto"/>
          <w:kern w:val="0"/>
          <w:szCs w:val="21"/>
          <w:highlight w:val="none"/>
        </w:rPr>
        <w:t>个月（</w:t>
      </w:r>
      <w:r>
        <w:rPr>
          <w:rFonts w:hint="eastAsia" w:ascii="宋体" w:hAnsi="宋体" w:cs="宋体"/>
          <w:b/>
          <w:bCs/>
          <w:color w:val="auto"/>
          <w:kern w:val="0"/>
          <w:szCs w:val="21"/>
          <w:highlight w:val="none"/>
          <w:lang w:eastAsia="zh-CN"/>
        </w:rPr>
        <w:t>180个自然日</w:t>
      </w:r>
      <w:r>
        <w:rPr>
          <w:rFonts w:hint="eastAsia" w:ascii="宋体" w:hAnsi="宋体" w:cs="宋体"/>
          <w:b/>
          <w:bCs/>
          <w:color w:val="auto"/>
          <w:kern w:val="0"/>
          <w:szCs w:val="21"/>
          <w:highlight w:val="none"/>
        </w:rPr>
        <w:t>）</w:t>
      </w:r>
      <w:r>
        <w:rPr>
          <w:rFonts w:hint="eastAsia" w:ascii="宋体" w:hAnsi="宋体" w:cs="宋体"/>
          <w:b/>
          <w:bCs/>
          <w:color w:val="auto"/>
          <w:kern w:val="0"/>
          <w:szCs w:val="21"/>
          <w:highlight w:val="none"/>
          <w:lang w:eastAsia="zh-CN"/>
        </w:rPr>
        <w:t>。</w:t>
      </w:r>
    </w:p>
    <w:p w14:paraId="43FE240E">
      <w:pPr>
        <w:pStyle w:val="12"/>
        <w:adjustRightInd w:val="0"/>
        <w:snapToGrid w:val="0"/>
        <w:spacing w:before="93" w:beforeLines="30" w:after="93" w:afterLines="30" w:line="360" w:lineRule="auto"/>
        <w:ind w:firstLine="422" w:firstLineChars="200"/>
        <w:rPr>
          <w:rFonts w:hint="default" w:asciiTheme="minorEastAsia" w:hAnsiTheme="minorEastAsia" w:eastAsiaTheme="minorEastAsia"/>
          <w:b/>
          <w:color w:val="auto"/>
          <w:szCs w:val="21"/>
          <w:highlight w:val="none"/>
          <w:lang w:eastAsia="zh-CN"/>
        </w:rPr>
      </w:pPr>
      <w:r>
        <w:rPr>
          <w:rFonts w:hint="eastAsia" w:asciiTheme="minorEastAsia" w:hAnsiTheme="minorEastAsia" w:eastAsiaTheme="minorEastAsia"/>
          <w:b/>
          <w:color w:val="auto"/>
          <w:szCs w:val="21"/>
          <w:highlight w:val="none"/>
          <w:lang w:val="en-US" w:eastAsia="zh-CN"/>
        </w:rPr>
        <w:t>4、申购赎回开放日</w:t>
      </w:r>
    </w:p>
    <w:p w14:paraId="20FA8A99">
      <w:pPr>
        <w:pStyle w:val="12"/>
        <w:adjustRightInd w:val="0"/>
        <w:snapToGrid w:val="0"/>
        <w:spacing w:before="93" w:beforeLines="30" w:after="93" w:afterLines="30" w:line="360" w:lineRule="auto"/>
        <w:ind w:firstLine="420" w:firstLineChars="200"/>
        <w:rPr>
          <w:rFonts w:ascii="宋体" w:hAnsi="宋体"/>
          <w:color w:val="auto"/>
          <w:highlight w:val="none"/>
        </w:rPr>
      </w:pPr>
      <w:r>
        <w:rPr>
          <w:rFonts w:hint="eastAsia" w:asciiTheme="minorEastAsia" w:hAnsiTheme="minorEastAsia" w:eastAsiaTheme="minorEastAsia"/>
          <w:color w:val="auto"/>
          <w:szCs w:val="21"/>
          <w:highlight w:val="none"/>
        </w:rPr>
        <w:t>本基金的开放日为基金成立之后每</w:t>
      </w:r>
      <w:r>
        <w:rPr>
          <w:rFonts w:hint="eastAsia" w:asciiTheme="minorEastAsia" w:hAnsiTheme="minorEastAsia" w:eastAsiaTheme="minorEastAsia"/>
          <w:color w:val="auto"/>
          <w:szCs w:val="21"/>
          <w:highlight w:val="none"/>
          <w:lang w:val="en-US" w:eastAsia="zh-CN"/>
        </w:rPr>
        <w:t>自然月的2日和16日，</w:t>
      </w:r>
      <w:r>
        <w:rPr>
          <w:rFonts w:hint="eastAsia" w:asciiTheme="minorEastAsia" w:hAnsiTheme="minorEastAsia" w:eastAsiaTheme="minorEastAsia"/>
          <w:color w:val="auto"/>
          <w:szCs w:val="21"/>
          <w:highlight w:val="none"/>
        </w:rPr>
        <w:t>如遇非交易日，则</w:t>
      </w:r>
      <w:r>
        <w:rPr>
          <w:rFonts w:hint="eastAsia" w:asciiTheme="minorEastAsia" w:hAnsiTheme="minorEastAsia" w:eastAsiaTheme="minorEastAsia"/>
          <w:color w:val="auto"/>
          <w:szCs w:val="21"/>
          <w:highlight w:val="none"/>
          <w:lang w:val="en-US" w:eastAsia="zh-CN"/>
        </w:rPr>
        <w:t>顺延至下一个交易日</w:t>
      </w:r>
      <w:r>
        <w:rPr>
          <w:rFonts w:hint="eastAsia" w:asciiTheme="minorEastAsia" w:hAnsiTheme="minorEastAsia" w:eastAsiaTheme="minorEastAsia"/>
          <w:color w:val="auto"/>
          <w:szCs w:val="21"/>
          <w:highlight w:val="none"/>
        </w:rPr>
        <w:t>。基金投资者可在本基金的开放日申购或赎回本基金，但基金管理人根据法律法规、中国证监会的要求或本合同的规定公告暂停申购或赎回时除外。</w:t>
      </w:r>
    </w:p>
    <w:p w14:paraId="11CEB8D2">
      <w:pPr>
        <w:adjustRightInd w:val="0"/>
        <w:snapToGrid w:val="0"/>
        <w:spacing w:line="360" w:lineRule="auto"/>
        <w:ind w:firstLine="420" w:firstLineChars="200"/>
        <w:rPr>
          <w:rFonts w:hint="eastAsia"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rPr>
        <w:t>私募基金管理人设</w:t>
      </w:r>
      <w:r>
        <w:rPr>
          <w:rFonts w:hint="eastAsia" w:asciiTheme="minorEastAsia" w:hAnsiTheme="minorEastAsia" w:eastAsiaTheme="minorEastAsia"/>
          <w:color w:val="auto"/>
          <w:szCs w:val="21"/>
          <w:highlight w:val="none"/>
          <w:lang w:val="en-US" w:eastAsia="zh-CN"/>
        </w:rPr>
        <w:t>置</w:t>
      </w:r>
      <w:r>
        <w:rPr>
          <w:rFonts w:hint="eastAsia" w:asciiTheme="minorEastAsia" w:hAnsiTheme="minorEastAsia" w:eastAsiaTheme="minorEastAsia"/>
          <w:color w:val="auto"/>
          <w:szCs w:val="21"/>
          <w:highlight w:val="none"/>
        </w:rPr>
        <w:t>临时开放日</w:t>
      </w:r>
      <w:r>
        <w:rPr>
          <w:rFonts w:hint="eastAsia" w:asciiTheme="minorEastAsia" w:hAnsiTheme="minorEastAsia" w:eastAsiaTheme="minorEastAsia"/>
          <w:color w:val="auto"/>
          <w:szCs w:val="21"/>
          <w:highlight w:val="none"/>
          <w:lang w:val="en-US" w:eastAsia="zh-CN"/>
        </w:rPr>
        <w:t>的</w:t>
      </w:r>
      <w:r>
        <w:rPr>
          <w:rFonts w:hint="eastAsia" w:asciiTheme="minorEastAsia" w:hAnsiTheme="minorEastAsia" w:eastAsiaTheme="minorEastAsia"/>
          <w:color w:val="auto"/>
          <w:szCs w:val="21"/>
          <w:highlight w:val="none"/>
        </w:rPr>
        <w:t>，临时开放日的触发条件仅限于因法律、行政法规、监管政策调整、合同变更或解除等</w:t>
      </w:r>
      <w:r>
        <w:rPr>
          <w:rFonts w:hint="eastAsia" w:asciiTheme="minorEastAsia" w:hAnsiTheme="minorEastAsia" w:eastAsiaTheme="minorEastAsia"/>
          <w:color w:val="auto"/>
          <w:szCs w:val="21"/>
          <w:highlight w:val="none"/>
          <w:lang w:val="en-US" w:eastAsia="zh-CN"/>
        </w:rPr>
        <w:t>规范性文件规定情形。</w:t>
      </w:r>
    </w:p>
    <w:p w14:paraId="3A7E77CA">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有下列情形的，投资者不得在临时开放日赎回该等基金份额：</w:t>
      </w:r>
    </w:p>
    <w:p w14:paraId="4BB82B7E">
      <w:pPr>
        <w:pStyle w:val="13"/>
        <w:numPr>
          <w:ilvl w:val="0"/>
          <w:numId w:val="0"/>
        </w:numPr>
        <w:adjustRightInd w:val="0"/>
        <w:snapToGrid w:val="0"/>
        <w:spacing w:before="93" w:beforeLines="30" w:after="93" w:afterLines="30" w:line="360" w:lineRule="auto"/>
        <w:ind w:left="420" w:leftChars="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lang w:val="en-US" w:eastAsia="zh-CN"/>
        </w:rPr>
        <w:t>1</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rPr>
        <w:t>本基金的管理人及其员工的份额持有期低于6个月（</w:t>
      </w:r>
      <w:r>
        <w:rPr>
          <w:rFonts w:hint="eastAsia" w:asciiTheme="minorEastAsia" w:hAnsiTheme="minorEastAsia" w:eastAsiaTheme="minorEastAsia"/>
          <w:b/>
          <w:bCs/>
          <w:color w:val="auto"/>
          <w:szCs w:val="21"/>
          <w:highlight w:val="none"/>
          <w:lang w:eastAsia="zh-CN"/>
        </w:rPr>
        <w:t>180个自然日</w:t>
      </w:r>
      <w:r>
        <w:rPr>
          <w:rFonts w:hint="eastAsia" w:asciiTheme="minorEastAsia" w:hAnsiTheme="minorEastAsia" w:eastAsiaTheme="minorEastAsia"/>
          <w:b/>
          <w:bCs/>
          <w:color w:val="auto"/>
          <w:szCs w:val="21"/>
          <w:highlight w:val="none"/>
        </w:rPr>
        <w:t>）；</w:t>
      </w:r>
    </w:p>
    <w:p w14:paraId="08299861">
      <w:pPr>
        <w:adjustRightInd w:val="0"/>
        <w:snapToGrid w:val="0"/>
        <w:spacing w:line="360" w:lineRule="auto"/>
        <w:ind w:firstLine="422" w:firstLineChars="200"/>
        <w:rPr>
          <w:rFonts w:hint="eastAsia" w:ascii="宋体" w:hAnsi="宋体"/>
          <w:b/>
          <w:bCs/>
          <w:color w:val="auto"/>
          <w:szCs w:val="21"/>
          <w:highlight w:val="none"/>
        </w:rPr>
      </w:pP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lang w:val="en-US" w:eastAsia="zh-CN"/>
        </w:rPr>
        <w:t>2</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rPr>
        <w:t>其他投资者的份额持有期</w:t>
      </w:r>
      <w:r>
        <w:rPr>
          <w:rFonts w:hint="eastAsia" w:ascii="宋体" w:hAnsi="宋体"/>
          <w:b/>
          <w:bCs/>
          <w:color w:val="auto"/>
          <w:szCs w:val="21"/>
          <w:highlight w:val="none"/>
        </w:rPr>
        <w:t>低于3个月（</w:t>
      </w:r>
      <w:r>
        <w:rPr>
          <w:rFonts w:hint="eastAsia" w:ascii="宋体" w:hAnsi="宋体"/>
          <w:b/>
          <w:bCs/>
          <w:color w:val="auto"/>
          <w:szCs w:val="21"/>
          <w:highlight w:val="none"/>
          <w:lang w:eastAsia="zh-CN"/>
        </w:rPr>
        <w:t>90个自然日</w:t>
      </w:r>
      <w:r>
        <w:rPr>
          <w:rFonts w:hint="eastAsia" w:ascii="宋体" w:hAnsi="宋体"/>
          <w:b/>
          <w:bCs/>
          <w:color w:val="auto"/>
          <w:szCs w:val="21"/>
          <w:highlight w:val="none"/>
        </w:rPr>
        <w:t>）</w:t>
      </w:r>
      <w:r>
        <w:rPr>
          <w:rFonts w:hint="eastAsia" w:ascii="宋体" w:hAnsi="宋体"/>
          <w:b/>
          <w:bCs/>
          <w:color w:val="auto"/>
          <w:szCs w:val="21"/>
          <w:highlight w:val="none"/>
          <w:lang w:eastAsia="zh-CN"/>
        </w:rPr>
        <w:t>（</w:t>
      </w:r>
      <w:r>
        <w:rPr>
          <w:rFonts w:hint="eastAsia" w:ascii="宋体" w:hAnsi="宋体"/>
          <w:b/>
          <w:bCs/>
          <w:color w:val="auto"/>
          <w:szCs w:val="21"/>
          <w:highlight w:val="none"/>
          <w:lang w:val="en-US" w:eastAsia="zh-CN"/>
        </w:rPr>
        <w:t>如本基金对其他投资者设置份额锁定期</w:t>
      </w:r>
      <w:r>
        <w:rPr>
          <w:rFonts w:hint="eastAsia" w:ascii="宋体" w:hAnsi="宋体"/>
          <w:b/>
          <w:bCs/>
          <w:color w:val="auto"/>
          <w:szCs w:val="21"/>
          <w:highlight w:val="none"/>
          <w:lang w:eastAsia="zh-CN"/>
        </w:rPr>
        <w:t>）</w:t>
      </w:r>
      <w:r>
        <w:rPr>
          <w:rFonts w:hint="eastAsia" w:ascii="宋体" w:hAnsi="宋体"/>
          <w:b/>
          <w:bCs/>
          <w:color w:val="auto"/>
          <w:szCs w:val="21"/>
          <w:highlight w:val="none"/>
        </w:rPr>
        <w:t>。</w:t>
      </w:r>
    </w:p>
    <w:p w14:paraId="7DE196E3">
      <w:pPr>
        <w:adjustRightInd w:val="0"/>
        <w:snapToGrid w:val="0"/>
        <w:spacing w:line="360" w:lineRule="auto"/>
        <w:ind w:firstLine="420" w:firstLineChars="200"/>
        <w:rPr>
          <w:rFonts w:ascii="宋体" w:hAnsi="宋体"/>
          <w:color w:val="auto"/>
          <w:szCs w:val="22"/>
          <w:highlight w:val="none"/>
        </w:rPr>
      </w:pPr>
      <w:r>
        <w:rPr>
          <w:rFonts w:hint="eastAsia" w:ascii="宋体" w:hAnsi="宋体"/>
          <w:color w:val="auto"/>
          <w:szCs w:val="22"/>
          <w:highlight w:val="none"/>
        </w:rPr>
        <w:t>临时开放日不允许申购只可赎回。私募基金管理人设置临时开放日的，应当</w:t>
      </w:r>
      <w:r>
        <w:rPr>
          <w:rFonts w:hint="eastAsia" w:ascii="宋体" w:hAnsi="宋体"/>
          <w:color w:val="auto"/>
          <w:szCs w:val="22"/>
          <w:highlight w:val="none"/>
          <w:lang w:val="en-US" w:eastAsia="zh-CN"/>
        </w:rPr>
        <w:t>提前2个交易日</w:t>
      </w:r>
      <w:r>
        <w:rPr>
          <w:rFonts w:hint="eastAsia" w:asciiTheme="minorEastAsia" w:hAnsiTheme="minorEastAsia" w:eastAsiaTheme="minorEastAsia"/>
          <w:color w:val="auto"/>
          <w:szCs w:val="21"/>
          <w:highlight w:val="none"/>
        </w:rPr>
        <w:t>在</w:t>
      </w:r>
      <w:r>
        <w:rPr>
          <w:rFonts w:hint="eastAsia" w:asciiTheme="minorEastAsia" w:hAnsiTheme="minorEastAsia" w:eastAsiaTheme="minorEastAsia"/>
          <w:color w:val="auto"/>
          <w:szCs w:val="21"/>
          <w:highlight w:val="none"/>
          <w:lang w:val="en-US" w:eastAsia="zh-CN"/>
        </w:rPr>
        <w:t>私募</w:t>
      </w:r>
      <w:r>
        <w:rPr>
          <w:rFonts w:hint="eastAsia" w:asciiTheme="minorEastAsia" w:hAnsiTheme="minorEastAsia" w:eastAsiaTheme="minorEastAsia"/>
          <w:color w:val="auto"/>
          <w:szCs w:val="21"/>
          <w:highlight w:val="none"/>
        </w:rPr>
        <w:t>基金管理人网站公告或以本合同规定的其他形式告知基金份额持有人前述事项，</w:t>
      </w:r>
      <w:r>
        <w:rPr>
          <w:rFonts w:hint="eastAsia" w:ascii="宋体" w:hAnsi="宋体"/>
          <w:color w:val="auto"/>
          <w:szCs w:val="22"/>
          <w:highlight w:val="none"/>
          <w:lang w:val="en-US" w:eastAsia="zh-CN"/>
        </w:rPr>
        <w:t>并</w:t>
      </w:r>
      <w:r>
        <w:rPr>
          <w:rFonts w:hint="eastAsia" w:ascii="宋体" w:hAnsi="宋体"/>
          <w:color w:val="auto"/>
          <w:szCs w:val="22"/>
          <w:highlight w:val="none"/>
        </w:rPr>
        <w:t>以书面形式或其他双方约定认可的形式通知</w:t>
      </w:r>
      <w:r>
        <w:rPr>
          <w:rFonts w:hint="eastAsia" w:ascii="宋体" w:hAnsi="宋体"/>
          <w:color w:val="auto"/>
          <w:szCs w:val="22"/>
          <w:highlight w:val="none"/>
          <w:lang w:val="en-US" w:eastAsia="zh-CN"/>
        </w:rPr>
        <w:t>私募基金托管人、</w:t>
      </w:r>
      <w:r>
        <w:rPr>
          <w:rFonts w:hint="eastAsia" w:ascii="宋体" w:hAnsi="宋体"/>
          <w:color w:val="auto"/>
          <w:szCs w:val="22"/>
          <w:highlight w:val="none"/>
        </w:rPr>
        <w:t>私募基金服务机构且为</w:t>
      </w:r>
      <w:r>
        <w:rPr>
          <w:rFonts w:hint="eastAsia" w:ascii="宋体" w:hAnsi="宋体"/>
          <w:color w:val="auto"/>
          <w:szCs w:val="22"/>
          <w:highlight w:val="none"/>
          <w:lang w:val="en-US" w:eastAsia="zh-CN"/>
        </w:rPr>
        <w:t>私募基金托管人、</w:t>
      </w:r>
      <w:r>
        <w:rPr>
          <w:rFonts w:hint="eastAsia" w:ascii="宋体" w:hAnsi="宋体"/>
          <w:color w:val="auto"/>
          <w:szCs w:val="22"/>
          <w:highlight w:val="none"/>
        </w:rPr>
        <w:t>私募基金服务机构留出办理注册登记业务所必需的时间。私募基金托管人、私募基金服务机构不负责监督临时开放日的设置是否符合本合同约定，也不负责监督私募基金管理人是否按本合同约定进行公告或通知，私募基金管理人未按合同约定设置、公告或通知临时开放日，由此给基金财产或基金份额持有人造成损失的，相关责任由私募基金管理人自行承担，私募基金托管人及私募基金服务机构不承担任何责任。</w:t>
      </w:r>
    </w:p>
    <w:p w14:paraId="354AC0D5">
      <w:pPr>
        <w:pStyle w:val="14"/>
        <w:spacing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私募基金管理人</w:t>
      </w:r>
      <w:r>
        <w:rPr>
          <w:rFonts w:hint="eastAsia" w:ascii="宋体" w:hAnsi="宋体"/>
          <w:color w:val="auto"/>
          <w:szCs w:val="21"/>
          <w:highlight w:val="none"/>
          <w:lang w:val="en-US" w:eastAsia="zh-CN"/>
        </w:rPr>
        <w:t>不得擅自变更</w:t>
      </w:r>
      <w:r>
        <w:rPr>
          <w:rFonts w:hint="eastAsia" w:ascii="宋体" w:hAnsi="宋体"/>
          <w:color w:val="auto"/>
          <w:szCs w:val="21"/>
          <w:highlight w:val="none"/>
        </w:rPr>
        <w:t>投资者申购、赎回</w:t>
      </w:r>
      <w:r>
        <w:rPr>
          <w:rFonts w:hint="eastAsia" w:ascii="宋体" w:hAnsi="宋体"/>
          <w:color w:val="auto"/>
          <w:szCs w:val="21"/>
          <w:highlight w:val="none"/>
          <w:lang w:eastAsia="zh-CN"/>
        </w:rPr>
        <w:t>的</w:t>
      </w:r>
      <w:r>
        <w:rPr>
          <w:rFonts w:hint="eastAsia" w:ascii="宋体" w:hAnsi="宋体"/>
          <w:color w:val="auto"/>
          <w:szCs w:val="21"/>
          <w:highlight w:val="none"/>
        </w:rPr>
        <w:t>时间、频率、程序以及限制事项（如锁定期、封闭期等）</w:t>
      </w:r>
      <w:r>
        <w:rPr>
          <w:rFonts w:hint="eastAsia" w:ascii="宋体" w:hAnsi="宋体"/>
          <w:color w:val="auto"/>
          <w:szCs w:val="21"/>
          <w:highlight w:val="none"/>
          <w:lang w:eastAsia="zh-CN"/>
        </w:rPr>
        <w:t>。</w:t>
      </w:r>
      <w:r>
        <w:rPr>
          <w:rFonts w:hint="eastAsia" w:ascii="宋体" w:hAnsi="宋体"/>
          <w:color w:val="auto"/>
          <w:szCs w:val="21"/>
          <w:highlight w:val="none"/>
          <w:lang w:val="en-US" w:eastAsia="zh-CN"/>
        </w:rPr>
        <w:t>如需变更，私募基金管理人</w:t>
      </w:r>
      <w:r>
        <w:rPr>
          <w:rFonts w:hint="eastAsia" w:ascii="宋体" w:hAnsi="宋体"/>
          <w:color w:val="auto"/>
          <w:szCs w:val="21"/>
          <w:highlight w:val="none"/>
        </w:rPr>
        <w:t>应当及时通知全体</w:t>
      </w:r>
      <w:r>
        <w:rPr>
          <w:rFonts w:hint="eastAsia" w:ascii="宋体" w:hAnsi="宋体"/>
          <w:color w:val="auto"/>
          <w:szCs w:val="21"/>
          <w:highlight w:val="none"/>
          <w:lang w:val="en-US" w:eastAsia="zh-CN"/>
        </w:rPr>
        <w:t>基金</w:t>
      </w:r>
      <w:r>
        <w:rPr>
          <w:rFonts w:hint="eastAsia" w:ascii="宋体" w:hAnsi="宋体"/>
          <w:color w:val="auto"/>
          <w:szCs w:val="21"/>
          <w:highlight w:val="none"/>
        </w:rPr>
        <w:t>份额持有人，若有</w:t>
      </w:r>
      <w:r>
        <w:rPr>
          <w:rFonts w:hint="eastAsia" w:ascii="宋体" w:hAnsi="宋体"/>
          <w:color w:val="auto"/>
          <w:szCs w:val="21"/>
          <w:highlight w:val="none"/>
          <w:lang w:val="en-US" w:eastAsia="zh-CN"/>
        </w:rPr>
        <w:t>基金</w:t>
      </w:r>
      <w:r>
        <w:rPr>
          <w:rFonts w:hint="eastAsia" w:ascii="宋体" w:hAnsi="宋体"/>
          <w:color w:val="auto"/>
          <w:szCs w:val="21"/>
          <w:highlight w:val="none"/>
        </w:rPr>
        <w:t>份额持有人提出异议的，私募基金管理人应当及时通过设置临时开放日等方式供该等</w:t>
      </w:r>
      <w:r>
        <w:rPr>
          <w:rFonts w:hint="eastAsia" w:ascii="宋体" w:hAnsi="宋体"/>
          <w:color w:val="auto"/>
          <w:szCs w:val="21"/>
          <w:highlight w:val="none"/>
          <w:lang w:val="en-US" w:eastAsia="zh-CN"/>
        </w:rPr>
        <w:t>基金</w:t>
      </w:r>
      <w:r>
        <w:rPr>
          <w:rFonts w:hint="eastAsia" w:ascii="宋体" w:hAnsi="宋体"/>
          <w:color w:val="auto"/>
          <w:szCs w:val="21"/>
          <w:highlight w:val="none"/>
        </w:rPr>
        <w:t>份额持有人赎回（本基金的管理人及其员工的份额持有期低于6个月（</w:t>
      </w:r>
      <w:r>
        <w:rPr>
          <w:rFonts w:hint="eastAsia" w:ascii="宋体" w:hAnsi="宋体"/>
          <w:color w:val="auto"/>
          <w:szCs w:val="21"/>
          <w:highlight w:val="none"/>
          <w:lang w:eastAsia="zh-CN"/>
        </w:rPr>
        <w:t>180个自然日</w:t>
      </w:r>
      <w:r>
        <w:rPr>
          <w:rFonts w:hint="eastAsia" w:ascii="宋体" w:hAnsi="宋体"/>
          <w:color w:val="auto"/>
          <w:szCs w:val="21"/>
          <w:highlight w:val="none"/>
        </w:rPr>
        <w:t>）、其他投资者的份额持有期低于3个月（</w:t>
      </w:r>
      <w:r>
        <w:rPr>
          <w:rFonts w:hint="eastAsia" w:ascii="宋体" w:hAnsi="宋体"/>
          <w:color w:val="auto"/>
          <w:szCs w:val="21"/>
          <w:highlight w:val="none"/>
          <w:lang w:eastAsia="zh-CN"/>
        </w:rPr>
        <w:t>90个自然日</w:t>
      </w:r>
      <w:r>
        <w:rPr>
          <w:rFonts w:hint="eastAsia" w:ascii="宋体" w:hAnsi="宋体"/>
          <w:color w:val="auto"/>
          <w:szCs w:val="21"/>
          <w:highlight w:val="none"/>
        </w:rPr>
        <w:t>）（如本基金对其他投资者设置份额锁定期）的，不得赎回该等基金份额</w:t>
      </w:r>
      <w:r>
        <w:rPr>
          <w:rFonts w:hint="eastAsia"/>
          <w:color w:val="auto"/>
          <w:szCs w:val="21"/>
          <w:highlight w:val="none"/>
        </w:rPr>
        <w:t>）</w:t>
      </w:r>
      <w:r>
        <w:rPr>
          <w:rFonts w:hint="eastAsia" w:ascii="宋体" w:hAnsi="宋体"/>
          <w:color w:val="auto"/>
          <w:szCs w:val="21"/>
          <w:highlight w:val="none"/>
        </w:rPr>
        <w:t>，基金份额持有人未赎回基金份额的视为其同意前述变更。</w:t>
      </w:r>
    </w:p>
    <w:p w14:paraId="49801504">
      <w:pPr>
        <w:adjustRightInd w:val="0"/>
        <w:snapToGrid w:val="0"/>
        <w:spacing w:before="93" w:beforeLines="30" w:after="93" w:afterLines="30" w:line="360" w:lineRule="auto"/>
        <w:ind w:firstLine="420" w:firstLineChars="200"/>
        <w:rPr>
          <w:rFonts w:cs="宋体" w:asciiTheme="minorEastAsia" w:hAnsiTheme="minorEastAsia" w:eastAsiaTheme="minorEastAsia"/>
          <w:color w:val="auto"/>
          <w:kern w:val="0"/>
          <w:szCs w:val="21"/>
          <w:highlight w:val="none"/>
        </w:rPr>
      </w:pPr>
      <w:r>
        <w:rPr>
          <w:rFonts w:hint="eastAsia" w:asciiTheme="minorEastAsia" w:hAnsiTheme="minorEastAsia" w:eastAsiaTheme="minorEastAsia"/>
          <w:color w:val="auto"/>
          <w:szCs w:val="21"/>
          <w:highlight w:val="none"/>
        </w:rPr>
        <w:t>（三）</w:t>
      </w:r>
      <w:r>
        <w:rPr>
          <w:rFonts w:hint="eastAsia" w:cs="宋体" w:asciiTheme="minorEastAsia" w:hAnsiTheme="minorEastAsia" w:eastAsiaTheme="minorEastAsia"/>
          <w:color w:val="auto"/>
          <w:kern w:val="0"/>
          <w:szCs w:val="21"/>
          <w:highlight w:val="none"/>
        </w:rPr>
        <w:t>申购和赎回的办理机构</w:t>
      </w:r>
    </w:p>
    <w:p w14:paraId="6F86DD2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本基金运作期间的募集机构包括直销机构（基金管理人）和/或基金管理人委托的代销机构。</w:t>
      </w:r>
    </w:p>
    <w:p w14:paraId="4E136FF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基金投资者应当在募集机构办理基金销售业务的营业场所或按募集机构提供的其他方式办理基金份额的申购和赎回。基金管理人可根据情况变更或增减基金代销机构，并予以通知。</w:t>
      </w:r>
    </w:p>
    <w:p w14:paraId="2D5D135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（四）申购的出资方式</w:t>
      </w:r>
    </w:p>
    <w:p w14:paraId="2D4B7C5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本基金的申购以人民币货币资金形式交付，基金不接受现金方式申购。</w:t>
      </w:r>
    </w:p>
    <w:p w14:paraId="4739187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在直销机构申购的投资者应将申购资金从在中国境内开立的自有银行账户划款至</w:t>
      </w:r>
      <w:r>
        <w:rPr>
          <w:rFonts w:hint="eastAsia" w:asciiTheme="minorEastAsia" w:hAnsiTheme="minorEastAsia" w:eastAsiaTheme="minorEastAsia"/>
          <w:color w:val="auto"/>
          <w:kern w:val="0"/>
          <w:szCs w:val="21"/>
          <w:highlight w:val="none"/>
        </w:rPr>
        <w:t>募集结算资金专用账户</w:t>
      </w:r>
      <w:r>
        <w:rPr>
          <w:rFonts w:hint="eastAsia" w:asciiTheme="minorEastAsia" w:hAnsiTheme="minorEastAsia" w:eastAsiaTheme="minorEastAsia"/>
          <w:color w:val="auto"/>
          <w:szCs w:val="21"/>
          <w:highlight w:val="none"/>
        </w:rPr>
        <w:t>，在代销机构申购的投资者按代销机构的规定缴付资金。</w:t>
      </w:r>
    </w:p>
    <w:p w14:paraId="7EA312B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（五）申购和赎回的方式、价格及程序</w:t>
      </w:r>
    </w:p>
    <w:p w14:paraId="46010015">
      <w:pPr>
        <w:spacing w:line="360" w:lineRule="auto"/>
        <w:ind w:firstLine="420" w:firstLineChars="200"/>
        <w:rPr>
          <w:rFonts w:ascii="宋体" w:hAnsi="宋体"/>
          <w:color w:val="auto"/>
          <w:szCs w:val="21"/>
          <w:highlight w:val="none"/>
        </w:rPr>
      </w:pPr>
      <w:r>
        <w:rPr>
          <w:rFonts w:ascii="宋体" w:hAnsi="宋体"/>
          <w:color w:val="auto"/>
          <w:szCs w:val="21"/>
          <w:highlight w:val="none"/>
        </w:rPr>
        <w:t>1、</w:t>
      </w:r>
      <w:r>
        <w:rPr>
          <w:rFonts w:hint="eastAsia" w:ascii="宋体" w:hAnsi="宋体"/>
          <w:color w:val="auto"/>
          <w:szCs w:val="21"/>
          <w:highlight w:val="none"/>
        </w:rPr>
        <w:t>本基金申购和赎回的价格</w:t>
      </w:r>
    </w:p>
    <w:p w14:paraId="617E1767">
      <w:pPr>
        <w:adjustRightInd w:val="0"/>
        <w:snapToGrid w:val="0"/>
        <w:spacing w:before="93" w:beforeLines="30" w:after="93" w:afterLines="30"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（1）申购价格</w:t>
      </w:r>
    </w:p>
    <w:p w14:paraId="3F082E3B">
      <w:pPr>
        <w:adjustRightInd w:val="0"/>
        <w:snapToGrid w:val="0"/>
        <w:spacing w:before="93" w:beforeLines="30" w:after="93" w:afterLines="30"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若申购的某一类基金份额在当期开放日之前未成功确认过认购/申购申请，则该类基金份额的申购价格按当期开放日整体基金份额净值计算。</w:t>
      </w:r>
    </w:p>
    <w:p w14:paraId="7446C932">
      <w:pPr>
        <w:adjustRightInd w:val="0"/>
        <w:snapToGrid w:val="0"/>
        <w:spacing w:before="93" w:beforeLines="30" w:after="93" w:afterLines="30"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若申购的某一类基金份额类别在当期开放日之前已有对应份额存在于基金中，则该类基金份额的申购价格按当期开放日该类别基金份额净值计算。</w:t>
      </w:r>
    </w:p>
    <w:p w14:paraId="17295811">
      <w:pPr>
        <w:adjustRightInd w:val="0"/>
        <w:snapToGrid w:val="0"/>
        <w:spacing w:before="93" w:beforeLines="30" w:after="93" w:afterLines="30"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若申购时所对应的份额类别中的份额已经全部赎回，则该类基金份额的申购价格按当期开放日整体基金份额净值计算。</w:t>
      </w:r>
    </w:p>
    <w:p w14:paraId="4372E6D8">
      <w:pPr>
        <w:adjustRightInd w:val="0"/>
        <w:snapToGrid w:val="0"/>
        <w:spacing w:before="93" w:beforeLines="30" w:after="93" w:afterLines="30"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（2）赎回价格</w:t>
      </w:r>
    </w:p>
    <w:p w14:paraId="78039760">
      <w:pPr>
        <w:adjustRightInd w:val="0"/>
        <w:snapToGrid w:val="0"/>
        <w:spacing w:before="93" w:beforeLines="30" w:after="93" w:afterLines="30"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本基金某一类基金份额的赎回价格以当期开放日该类别基金份额净值为基准计算。</w:t>
      </w:r>
    </w:p>
    <w:p w14:paraId="486C8C0A">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宋体" w:hAnsi="宋体"/>
          <w:color w:val="auto"/>
          <w:szCs w:val="21"/>
          <w:highlight w:val="none"/>
        </w:rPr>
        <w:t>私募基金投资者、私募基金管理人一致确认份额登记机构仅根据募集机构提交的申购和/或赎回申请中所载明的申请时间办理份额登记手续，对于募集机构提交的上述申请中所载明时间的准确性，私募基金托管人和份额登记机构不负有核实义务，且不承担任何责任。</w:t>
      </w:r>
    </w:p>
    <w:p w14:paraId="3CDCF769">
      <w:pPr>
        <w:numPr>
          <w:ilvl w:val="-1"/>
          <w:numId w:val="0"/>
        </w:num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2、</w:t>
      </w:r>
      <w:r>
        <w:rPr>
          <w:rFonts w:hint="eastAsia" w:asciiTheme="minorEastAsia" w:hAnsiTheme="minorEastAsia" w:eastAsiaTheme="minorEastAsia"/>
          <w:color w:val="auto"/>
          <w:szCs w:val="21"/>
          <w:highlight w:val="none"/>
        </w:rPr>
        <w:t>“未知价”原则，即基金的申购价格、赎回价格以A/B类基金投资者提交申购或赎回申请对应的开放日收市后计算的对应类别基金份额净值为基准进行计算</w:t>
      </w:r>
      <w:r>
        <w:rPr>
          <w:rFonts w:hint="eastAsia" w:asciiTheme="minorEastAsia" w:hAnsiTheme="minorEastAsia" w:eastAsiaTheme="minorEastAsia"/>
          <w:color w:val="auto"/>
          <w:szCs w:val="21"/>
          <w:highlight w:val="none"/>
          <w:lang w:eastAsia="zh-CN"/>
        </w:rPr>
        <w:t>。</w:t>
      </w:r>
    </w:p>
    <w:p w14:paraId="01F7094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3、基金申购采用金额申请的方式，基金赎回采用份额申请的方式。</w:t>
      </w:r>
    </w:p>
    <w:p w14:paraId="4F7AC01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4、基金份额持有人赎回基金时，按先进先出的原则，即基金投资者认购、申购和红利再投资基金份额的先后次序进行顺序赎回。具体以募集机构发送的赎回申请数据为准。</w:t>
      </w:r>
    </w:p>
    <w:p w14:paraId="0A2038B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w:t>
      </w:r>
      <w:r>
        <w:rPr>
          <w:rFonts w:asciiTheme="minorEastAsia" w:hAnsiTheme="minorEastAsia" w:eastAsiaTheme="minorEastAsia"/>
          <w:color w:val="auto"/>
          <w:szCs w:val="21"/>
          <w:highlight w:val="none"/>
        </w:rPr>
        <w:t>、基金投资者在提交申购申请时须按照</w:t>
      </w:r>
      <w:r>
        <w:rPr>
          <w:rFonts w:hint="eastAsia" w:asciiTheme="minorEastAsia" w:hAnsiTheme="minorEastAsia" w:eastAsiaTheme="minorEastAsia"/>
          <w:color w:val="auto"/>
          <w:szCs w:val="21"/>
          <w:highlight w:val="none"/>
        </w:rPr>
        <w:t>募集</w:t>
      </w:r>
      <w:r>
        <w:rPr>
          <w:rFonts w:asciiTheme="minorEastAsia" w:hAnsiTheme="minorEastAsia" w:eastAsiaTheme="minorEastAsia"/>
          <w:color w:val="auto"/>
          <w:szCs w:val="21"/>
          <w:highlight w:val="none"/>
        </w:rPr>
        <w:t>机构规定的方式全额支付申购资金，在提交赎回申请时须持有足够的基金份额余额，否则所提交的申购、赎回申请无效而不予确认。</w:t>
      </w:r>
    </w:p>
    <w:p w14:paraId="0FC0C120">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6、申购期间的投资冷静期、回访确认适用本合同“基金的募集”章节中“投资冷静期”及“回访确认”项下关于投资冷静期及回访确认的约定。</w:t>
      </w:r>
    </w:p>
    <w:p w14:paraId="518445B7">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（六）申购和赎回申请的确认</w:t>
      </w:r>
    </w:p>
    <w:p w14:paraId="4733E3C4">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在正常情况下，基金管理人在</w:t>
      </w:r>
      <w:r>
        <w:rPr>
          <w:rFonts w:asciiTheme="minorEastAsia" w:hAnsiTheme="minorEastAsia" w:eastAsiaTheme="minorEastAsia"/>
          <w:color w:val="auto"/>
          <w:szCs w:val="21"/>
          <w:highlight w:val="none"/>
        </w:rPr>
        <w:t>T+2</w:t>
      </w:r>
      <w:r>
        <w:rPr>
          <w:rFonts w:hint="eastAsia" w:asciiTheme="minorEastAsia" w:hAnsiTheme="minorEastAsia" w:eastAsiaTheme="minorEastAsia"/>
          <w:color w:val="auto"/>
          <w:szCs w:val="21"/>
          <w:highlight w:val="none"/>
        </w:rPr>
        <w:t>日内对T日申购和赎回申请的有效性进行确认（如遇特殊情况且在管理人和托管人技术条件支持下，管理人有权对份额确认日进行调整，并通知基金份额持有人和托管人）。若申购不成功，则申购款项退还给投资者。</w:t>
      </w:r>
    </w:p>
    <w:p w14:paraId="01E62048">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募集机构对申购、赎回的受理并不代表该申请一定成功，而仅代表募集机构确实接收到申请。申购、赎回的确认以基金管理人的确认结果为准。</w:t>
      </w:r>
    </w:p>
    <w:p w14:paraId="7328B035">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（七）申购和赎回的金额限制</w:t>
      </w:r>
    </w:p>
    <w:p w14:paraId="4BA69995">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基金投资者首次</w:t>
      </w:r>
      <w:r>
        <w:rPr>
          <w:rFonts w:asciiTheme="minorEastAsia" w:hAnsiTheme="minorEastAsia" w:eastAsiaTheme="minorEastAsia"/>
          <w:color w:val="auto"/>
          <w:szCs w:val="21"/>
          <w:highlight w:val="none"/>
        </w:rPr>
        <w:t>净</w:t>
      </w:r>
      <w:r>
        <w:rPr>
          <w:rFonts w:hint="eastAsia" w:asciiTheme="minorEastAsia" w:hAnsiTheme="minorEastAsia" w:eastAsiaTheme="minorEastAsia"/>
          <w:color w:val="auto"/>
          <w:szCs w:val="21"/>
          <w:highlight w:val="none"/>
        </w:rPr>
        <w:t>申购金额应不低于</w:t>
      </w:r>
      <w:r>
        <w:rPr>
          <w:rFonts w:asciiTheme="minorEastAsia" w:hAnsiTheme="minorEastAsia" w:eastAsiaTheme="minorEastAsia"/>
          <w:color w:val="auto"/>
          <w:szCs w:val="21"/>
          <w:highlight w:val="none"/>
        </w:rPr>
        <w:t>100万元</w:t>
      </w:r>
      <w:r>
        <w:rPr>
          <w:rFonts w:hint="eastAsia" w:asciiTheme="minorEastAsia" w:hAnsiTheme="minorEastAsia" w:eastAsiaTheme="minorEastAsia"/>
          <w:color w:val="auto"/>
          <w:szCs w:val="21"/>
          <w:highlight w:val="none"/>
        </w:rPr>
        <w:t>人民币（不含申购费，且本合同“募集对象”中的“特殊合格投资者”不受此限</w:t>
      </w:r>
      <w:r>
        <w:rPr>
          <w:rFonts w:hint="eastAsia" w:asciiTheme="minorEastAsia" w:hAnsiTheme="minorEastAsia" w:eastAsiaTheme="minorEastAsia"/>
          <w:color w:val="auto"/>
          <w:szCs w:val="21"/>
          <w:highlight w:val="none"/>
          <w:lang w:val="en-US" w:eastAsia="zh-CN"/>
        </w:rPr>
        <w:t>制</w:t>
      </w:r>
      <w:r>
        <w:rPr>
          <w:rFonts w:hint="eastAsia" w:asciiTheme="minorEastAsia" w:hAnsiTheme="minorEastAsia" w:eastAsiaTheme="minorEastAsia"/>
          <w:color w:val="auto"/>
          <w:szCs w:val="21"/>
          <w:highlight w:val="none"/>
        </w:rPr>
        <w:t>），对于已持有私募基金份额的投资者在开放日内追加申购的，追加金额应不低于</w:t>
      </w:r>
      <w:r>
        <w:rPr>
          <w:rFonts w:asciiTheme="minorEastAsia" w:hAnsiTheme="minorEastAsia" w:eastAsiaTheme="minorEastAsia"/>
          <w:color w:val="auto"/>
          <w:szCs w:val="21"/>
          <w:highlight w:val="none"/>
        </w:rPr>
        <w:t>1万元</w:t>
      </w:r>
      <w:r>
        <w:rPr>
          <w:rFonts w:hint="eastAsia" w:asciiTheme="minorEastAsia" w:hAnsiTheme="minorEastAsia" w:eastAsiaTheme="minorEastAsia"/>
          <w:color w:val="auto"/>
          <w:szCs w:val="21"/>
          <w:highlight w:val="none"/>
        </w:rPr>
        <w:t>人民币（含申购费</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w:t>
      </w:r>
    </w:p>
    <w:p w14:paraId="36941757">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基金份额持有人持有的</w:t>
      </w:r>
      <w:r>
        <w:rPr>
          <w:rFonts w:asciiTheme="minorEastAsia" w:hAnsiTheme="minorEastAsia" w:eastAsiaTheme="minorEastAsia"/>
          <w:color w:val="auto"/>
          <w:szCs w:val="21"/>
          <w:highlight w:val="none"/>
        </w:rPr>
        <w:t>基金资产净值</w:t>
      </w:r>
      <w:r>
        <w:rPr>
          <w:rFonts w:hint="eastAsia" w:asciiTheme="minorEastAsia" w:hAnsiTheme="minorEastAsia" w:eastAsiaTheme="minorEastAsia"/>
          <w:color w:val="auto"/>
          <w:szCs w:val="21"/>
          <w:highlight w:val="none"/>
        </w:rPr>
        <w:t>高于【</w:t>
      </w:r>
      <w:r>
        <w:rPr>
          <w:rFonts w:asciiTheme="minorEastAsia" w:hAnsiTheme="minorEastAsia" w:eastAsiaTheme="minorEastAsia"/>
          <w:color w:val="auto"/>
          <w:szCs w:val="21"/>
          <w:highlight w:val="none"/>
        </w:rPr>
        <w:t>100</w:t>
      </w:r>
      <w:r>
        <w:rPr>
          <w:rFonts w:hint="eastAsia" w:asciiTheme="minorEastAsia" w:hAnsiTheme="minorEastAsia" w:eastAsiaTheme="minorEastAsia"/>
          <w:color w:val="auto"/>
          <w:szCs w:val="21"/>
          <w:highlight w:val="none"/>
        </w:rPr>
        <w:t>】万元人民币时，基金份额持有人可对份额全部赎回或者部分赎回；</w:t>
      </w:r>
      <w:r>
        <w:rPr>
          <w:rFonts w:asciiTheme="minorEastAsia" w:hAnsiTheme="minorEastAsia" w:eastAsiaTheme="minorEastAsia"/>
          <w:color w:val="auto"/>
          <w:szCs w:val="21"/>
          <w:highlight w:val="none"/>
        </w:rPr>
        <w:t>选择部分赎回基金份额的，</w:t>
      </w:r>
      <w:r>
        <w:rPr>
          <w:rFonts w:hint="eastAsia" w:asciiTheme="minorEastAsia" w:hAnsiTheme="minorEastAsia" w:eastAsiaTheme="minorEastAsia"/>
          <w:color w:val="auto"/>
          <w:szCs w:val="21"/>
          <w:highlight w:val="none"/>
        </w:rPr>
        <w:t>赎回后持有的</w:t>
      </w:r>
      <w:r>
        <w:rPr>
          <w:rFonts w:asciiTheme="minorEastAsia" w:hAnsiTheme="minorEastAsia" w:eastAsiaTheme="minorEastAsia"/>
          <w:color w:val="auto"/>
          <w:szCs w:val="21"/>
          <w:highlight w:val="none"/>
        </w:rPr>
        <w:t>基金资产净值</w:t>
      </w:r>
      <w:r>
        <w:rPr>
          <w:rFonts w:hint="eastAsia" w:asciiTheme="minorEastAsia" w:hAnsiTheme="minorEastAsia" w:eastAsiaTheme="minorEastAsia"/>
          <w:color w:val="auto"/>
          <w:szCs w:val="21"/>
          <w:highlight w:val="none"/>
        </w:rPr>
        <w:t>不得低于【</w:t>
      </w:r>
      <w:r>
        <w:rPr>
          <w:rFonts w:asciiTheme="minorEastAsia" w:hAnsiTheme="minorEastAsia" w:eastAsiaTheme="minorEastAsia"/>
          <w:color w:val="auto"/>
          <w:szCs w:val="21"/>
          <w:highlight w:val="none"/>
        </w:rPr>
        <w:t>100</w:t>
      </w:r>
      <w:r>
        <w:rPr>
          <w:rFonts w:hint="eastAsia" w:asciiTheme="minorEastAsia" w:hAnsiTheme="minorEastAsia" w:eastAsiaTheme="minorEastAsia"/>
          <w:color w:val="auto"/>
          <w:szCs w:val="21"/>
          <w:highlight w:val="none"/>
        </w:rPr>
        <w:t>】万元人民币。</w:t>
      </w:r>
    </w:p>
    <w:p w14:paraId="3AAD9E6C">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当</w:t>
      </w:r>
      <w:r>
        <w:rPr>
          <w:rFonts w:hint="eastAsia" w:asciiTheme="minorEastAsia" w:hAnsiTheme="minorEastAsia" w:eastAsiaTheme="minorEastAsia"/>
          <w:color w:val="auto"/>
          <w:szCs w:val="21"/>
          <w:highlight w:val="none"/>
        </w:rPr>
        <w:t>私募基金管理人确认</w:t>
      </w:r>
      <w:r>
        <w:rPr>
          <w:rFonts w:asciiTheme="minorEastAsia" w:hAnsiTheme="minorEastAsia" w:eastAsiaTheme="minorEastAsia"/>
          <w:color w:val="auto"/>
          <w:szCs w:val="21"/>
          <w:highlight w:val="none"/>
        </w:rPr>
        <w:t>基金</w:t>
      </w:r>
      <w:r>
        <w:rPr>
          <w:rFonts w:hint="eastAsia" w:asciiTheme="minorEastAsia" w:hAnsiTheme="minorEastAsia" w:eastAsiaTheme="minorEastAsia"/>
          <w:color w:val="auto"/>
          <w:szCs w:val="21"/>
          <w:highlight w:val="none"/>
        </w:rPr>
        <w:t>份额持有人</w:t>
      </w:r>
      <w:r>
        <w:rPr>
          <w:rFonts w:asciiTheme="minorEastAsia" w:hAnsiTheme="minorEastAsia" w:eastAsiaTheme="minorEastAsia"/>
          <w:color w:val="auto"/>
          <w:szCs w:val="21"/>
          <w:highlight w:val="none"/>
        </w:rPr>
        <w:t>申请部分赎回基金份额将致使部分赎回申请确认后其</w:t>
      </w:r>
      <w:r>
        <w:rPr>
          <w:rFonts w:hint="eastAsia" w:asciiTheme="minorEastAsia" w:hAnsiTheme="minorEastAsia" w:eastAsiaTheme="minorEastAsia"/>
          <w:color w:val="auto"/>
          <w:szCs w:val="21"/>
          <w:highlight w:val="none"/>
        </w:rPr>
        <w:t>所</w:t>
      </w:r>
      <w:r>
        <w:rPr>
          <w:rFonts w:asciiTheme="minorEastAsia" w:hAnsiTheme="minorEastAsia" w:eastAsiaTheme="minorEastAsia"/>
          <w:color w:val="auto"/>
          <w:szCs w:val="21"/>
          <w:highlight w:val="none"/>
        </w:rPr>
        <w:t>持有的基金资产净值低于</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100</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万元</w:t>
      </w:r>
      <w:r>
        <w:rPr>
          <w:rFonts w:hint="eastAsia" w:asciiTheme="minorEastAsia" w:hAnsiTheme="minorEastAsia" w:eastAsiaTheme="minorEastAsia"/>
          <w:color w:val="auto"/>
          <w:szCs w:val="21"/>
          <w:highlight w:val="none"/>
        </w:rPr>
        <w:t>人民币</w:t>
      </w:r>
      <w:r>
        <w:rPr>
          <w:rFonts w:asciiTheme="minorEastAsia" w:hAnsiTheme="minorEastAsia" w:eastAsiaTheme="minorEastAsia"/>
          <w:color w:val="auto"/>
          <w:szCs w:val="21"/>
          <w:highlight w:val="none"/>
        </w:rPr>
        <w:t>的</w:t>
      </w:r>
      <w:r>
        <w:rPr>
          <w:rFonts w:hint="eastAsia" w:asciiTheme="minorEastAsia" w:hAnsiTheme="minorEastAsia" w:eastAsiaTheme="minorEastAsia"/>
          <w:color w:val="auto"/>
          <w:szCs w:val="21"/>
          <w:highlight w:val="none"/>
        </w:rPr>
        <w:t>，私募基金管理人应当将该基金份额持有人所持剩余份额做全部赎回处理</w:t>
      </w:r>
      <w:r>
        <w:rPr>
          <w:rStyle w:val="9"/>
          <w:rFonts w:hint="eastAsia" w:asciiTheme="minorEastAsia" w:hAnsiTheme="minorEastAsia" w:eastAsiaTheme="minorEastAsia"/>
          <w:color w:val="auto"/>
          <w:highlight w:val="none"/>
        </w:rPr>
        <w:t>，该等赎回</w:t>
      </w:r>
      <w:r>
        <w:rPr>
          <w:rFonts w:hint="eastAsia" w:asciiTheme="minorEastAsia" w:hAnsiTheme="minorEastAsia" w:eastAsiaTheme="minorEastAsia"/>
          <w:bCs/>
          <w:color w:val="auto"/>
          <w:szCs w:val="21"/>
          <w:highlight w:val="none"/>
        </w:rPr>
        <w:t>不受本合同关于基金赎回的期限限制</w:t>
      </w:r>
      <w:r>
        <w:rPr>
          <w:rFonts w:hint="eastAsia" w:asciiTheme="minorEastAsia" w:hAnsiTheme="minorEastAsia" w:eastAsiaTheme="minorEastAsia"/>
          <w:color w:val="auto"/>
          <w:szCs w:val="21"/>
          <w:highlight w:val="none"/>
        </w:rPr>
        <w:t>。</w:t>
      </w:r>
    </w:p>
    <w:p w14:paraId="7F46D2F9">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基金份额持有人申请赎回基金份额时，持有</w:t>
      </w:r>
      <w:r>
        <w:rPr>
          <w:rFonts w:asciiTheme="minorEastAsia" w:hAnsiTheme="minorEastAsia" w:eastAsiaTheme="minorEastAsia"/>
          <w:color w:val="auto"/>
          <w:szCs w:val="21"/>
          <w:highlight w:val="none"/>
        </w:rPr>
        <w:t>基金资产净值</w:t>
      </w:r>
      <w:r>
        <w:rPr>
          <w:rFonts w:hint="eastAsia" w:asciiTheme="minorEastAsia" w:hAnsiTheme="minorEastAsia" w:eastAsiaTheme="minorEastAsia"/>
          <w:color w:val="auto"/>
          <w:szCs w:val="21"/>
          <w:highlight w:val="none"/>
        </w:rPr>
        <w:t>低于【</w:t>
      </w:r>
      <w:r>
        <w:rPr>
          <w:rFonts w:asciiTheme="minorEastAsia" w:hAnsiTheme="minorEastAsia" w:eastAsiaTheme="minorEastAsia"/>
          <w:color w:val="auto"/>
          <w:szCs w:val="21"/>
          <w:highlight w:val="none"/>
        </w:rPr>
        <w:t>100</w:t>
      </w:r>
      <w:r>
        <w:rPr>
          <w:rFonts w:hint="eastAsia" w:asciiTheme="minorEastAsia" w:hAnsiTheme="minorEastAsia" w:eastAsiaTheme="minorEastAsia"/>
          <w:color w:val="auto"/>
          <w:szCs w:val="21"/>
          <w:highlight w:val="none"/>
        </w:rPr>
        <w:t>】万元人民币的</w:t>
      </w:r>
      <w:r>
        <w:rPr>
          <w:rFonts w:asciiTheme="minorEastAsia" w:hAnsiTheme="minorEastAsia" w:eastAsiaTheme="minorEastAsia"/>
          <w:color w:val="auto"/>
          <w:szCs w:val="21"/>
          <w:highlight w:val="none"/>
        </w:rPr>
        <w:t>，持有人只能</w:t>
      </w:r>
      <w:r>
        <w:rPr>
          <w:rFonts w:hint="eastAsia" w:asciiTheme="minorEastAsia" w:hAnsiTheme="minorEastAsia" w:eastAsiaTheme="minorEastAsia"/>
          <w:color w:val="auto"/>
          <w:szCs w:val="21"/>
          <w:highlight w:val="none"/>
        </w:rPr>
        <w:t>一次性</w:t>
      </w:r>
      <w:r>
        <w:rPr>
          <w:rFonts w:asciiTheme="minorEastAsia" w:hAnsiTheme="minorEastAsia" w:eastAsiaTheme="minorEastAsia"/>
          <w:color w:val="auto"/>
          <w:szCs w:val="21"/>
          <w:highlight w:val="none"/>
        </w:rPr>
        <w:t>全部赎回持有份额</w:t>
      </w:r>
      <w:r>
        <w:rPr>
          <w:rFonts w:hint="eastAsia" w:asciiTheme="minorEastAsia" w:hAnsiTheme="minorEastAsia" w:eastAsiaTheme="minorEastAsia"/>
          <w:color w:val="auto"/>
          <w:szCs w:val="21"/>
          <w:highlight w:val="none"/>
        </w:rPr>
        <w:t>，基金份额持有人没有一次性全部赎回持有份额的，私募基金管理人应当将该基金份额持有人所持份额做全部赎回处理</w:t>
      </w:r>
      <w:r>
        <w:rPr>
          <w:rFonts w:asciiTheme="minorEastAsia" w:hAnsiTheme="minorEastAsia" w:eastAsiaTheme="minorEastAsia"/>
          <w:color w:val="auto"/>
          <w:szCs w:val="21"/>
          <w:highlight w:val="none"/>
        </w:rPr>
        <w:t>。</w:t>
      </w:r>
    </w:p>
    <w:p w14:paraId="7D5CCA8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本合同“募集对象”中的“特殊合格投资者”关于上述赎回金额限制按照相关</w:t>
      </w:r>
      <w:r>
        <w:rPr>
          <w:rFonts w:hint="eastAsia" w:ascii="宋体" w:hAnsi="宋体"/>
          <w:color w:val="auto"/>
          <w:szCs w:val="21"/>
          <w:highlight w:val="none"/>
        </w:rPr>
        <w:t>法律法规规定、部门规章、行业自律指引规定等</w:t>
      </w:r>
      <w:r>
        <w:rPr>
          <w:rFonts w:hint="eastAsia" w:asciiTheme="minorEastAsia" w:hAnsiTheme="minorEastAsia" w:eastAsiaTheme="minorEastAsia"/>
          <w:color w:val="auto"/>
          <w:szCs w:val="21"/>
          <w:highlight w:val="none"/>
        </w:rPr>
        <w:t>执行。</w:t>
      </w:r>
    </w:p>
    <w:p w14:paraId="70DB092E">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（八）申购和赎回的费用</w:t>
      </w:r>
    </w:p>
    <w:p w14:paraId="1C9CA316">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1、申购费用</w:t>
      </w:r>
    </w:p>
    <w:p w14:paraId="52E598C7">
      <w:pPr>
        <w:adjustRightInd w:val="0"/>
        <w:snapToGrid w:val="0"/>
        <w:spacing w:before="30" w:after="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本基金的申购费率详见“基金的基本情况”章节之“基金的份额分类”</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申购费</w:t>
      </w:r>
      <w:r>
        <w:rPr>
          <w:rFonts w:hint="eastAsia" w:asciiTheme="minorEastAsia" w:hAnsiTheme="minorEastAsia" w:eastAsiaTheme="minorEastAsia"/>
          <w:color w:val="auto"/>
          <w:szCs w:val="21"/>
          <w:highlight w:val="none"/>
        </w:rPr>
        <w:t>计算方法如下：</w:t>
      </w:r>
    </w:p>
    <w:p w14:paraId="4F732FAA">
      <w:pPr>
        <w:adjustRightInd w:val="0"/>
        <w:snapToGrid w:val="0"/>
        <w:spacing w:before="30" w:after="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申购费用=申购金额× 申购费率/（1+申购费率）。</w:t>
      </w:r>
    </w:p>
    <w:p w14:paraId="74598D17">
      <w:pPr>
        <w:adjustRightInd w:val="0"/>
        <w:snapToGrid w:val="0"/>
        <w:spacing w:before="30" w:after="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净申购金额 = 申购金额-申购费用。</w:t>
      </w:r>
    </w:p>
    <w:p w14:paraId="4CE48B04">
      <w:pPr>
        <w:adjustRightInd w:val="0"/>
        <w:snapToGrid w:val="0"/>
        <w:spacing w:before="30" w:after="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申购费用由</w:t>
      </w:r>
      <w:r>
        <w:rPr>
          <w:rFonts w:asciiTheme="minorEastAsia" w:hAnsiTheme="minorEastAsia" w:eastAsiaTheme="minorEastAsia"/>
          <w:color w:val="auto"/>
          <w:szCs w:val="21"/>
          <w:highlight w:val="none"/>
        </w:rPr>
        <w:t>基金管理人</w:t>
      </w:r>
      <w:r>
        <w:rPr>
          <w:rFonts w:hint="eastAsia" w:asciiTheme="minorEastAsia" w:hAnsiTheme="minorEastAsia" w:eastAsiaTheme="minorEastAsia"/>
          <w:color w:val="auto"/>
          <w:szCs w:val="21"/>
          <w:highlight w:val="none"/>
        </w:rPr>
        <w:t>支配使用</w:t>
      </w:r>
      <w:r>
        <w:rPr>
          <w:rFonts w:asciiTheme="minorEastAsia" w:hAnsiTheme="minorEastAsia" w:eastAsiaTheme="minorEastAsia"/>
          <w:color w:val="auto"/>
          <w:szCs w:val="21"/>
          <w:highlight w:val="none"/>
        </w:rPr>
        <w:t>，不列入基金财产</w:t>
      </w:r>
      <w:r>
        <w:rPr>
          <w:rFonts w:hint="eastAsia" w:asciiTheme="minorEastAsia" w:hAnsiTheme="minorEastAsia" w:eastAsiaTheme="minorEastAsia"/>
          <w:color w:val="auto"/>
          <w:szCs w:val="21"/>
          <w:highlight w:val="none"/>
        </w:rPr>
        <w:t>；如果经由基金代销机构（如有）办理申购的，本基金的申购费可由基金代销机构支配，不列入基金财产，具体以基金代销协议的约定为准</w:t>
      </w:r>
      <w:r>
        <w:rPr>
          <w:rFonts w:asciiTheme="minorEastAsia" w:hAnsiTheme="minorEastAsia" w:eastAsiaTheme="minorEastAsia"/>
          <w:color w:val="auto"/>
          <w:szCs w:val="21"/>
          <w:highlight w:val="none"/>
        </w:rPr>
        <w:t>。</w:t>
      </w:r>
    </w:p>
    <w:p w14:paraId="7D9C976E">
      <w:pPr>
        <w:adjustRightInd w:val="0"/>
        <w:snapToGrid w:val="0"/>
        <w:spacing w:before="30" w:after="30" w:line="360" w:lineRule="auto"/>
        <w:ind w:firstLine="422" w:firstLineChars="200"/>
        <w:rPr>
          <w:rFonts w:asciiTheme="minorEastAsia" w:hAnsiTheme="minorEastAsia" w:eastAsiaTheme="minorEastAsia"/>
          <w:color w:val="auto"/>
          <w:szCs w:val="21"/>
          <w:highlight w:val="none"/>
        </w:rPr>
      </w:pPr>
      <w:r>
        <w:rPr>
          <w:rFonts w:hint="eastAsia" w:ascii="宋体" w:hAnsi="宋体"/>
          <w:b/>
          <w:color w:val="auto"/>
          <w:highlight w:val="none"/>
          <w:lang w:val="en-US" w:eastAsia="zh-CN"/>
        </w:rPr>
        <w:t>红利</w:t>
      </w:r>
      <w:r>
        <w:rPr>
          <w:rFonts w:hint="eastAsia" w:ascii="宋体" w:hAnsi="宋体"/>
          <w:b/>
          <w:color w:val="auto"/>
          <w:highlight w:val="none"/>
        </w:rPr>
        <w:t>再投资基金份额（如有）不收取申购费用。</w:t>
      </w:r>
    </w:p>
    <w:p w14:paraId="122D308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基金管理人可根据情况自行调低或豁免部分基金投资者的申购费并出具相关文件，委托私募基金服务机构办理</w:t>
      </w:r>
      <w:r>
        <w:rPr>
          <w:rFonts w:hint="eastAsia" w:asciiTheme="minorEastAsia" w:hAnsiTheme="minorEastAsia" w:eastAsiaTheme="minorEastAsia"/>
          <w:color w:val="auto"/>
          <w:szCs w:val="21"/>
          <w:highlight w:val="none"/>
        </w:rPr>
        <w:t>，如果基金代销协议对基金投资者申购费的调低或豁免另有</w:t>
      </w:r>
      <w:r>
        <w:rPr>
          <w:rFonts w:hint="eastAsia" w:asciiTheme="minorEastAsia" w:hAnsiTheme="minorEastAsia" w:eastAsiaTheme="minorEastAsia"/>
          <w:color w:val="auto"/>
          <w:szCs w:val="21"/>
          <w:highlight w:val="none"/>
          <w:lang w:val="en-US" w:eastAsia="zh-CN"/>
        </w:rPr>
        <w:t>约</w:t>
      </w:r>
      <w:r>
        <w:rPr>
          <w:rFonts w:hint="eastAsia" w:asciiTheme="minorEastAsia" w:hAnsiTheme="minorEastAsia" w:eastAsiaTheme="minorEastAsia"/>
          <w:color w:val="auto"/>
          <w:szCs w:val="21"/>
          <w:highlight w:val="none"/>
        </w:rPr>
        <w:t>定的，从其</w:t>
      </w:r>
      <w:r>
        <w:rPr>
          <w:rFonts w:hint="eastAsia" w:asciiTheme="minorEastAsia" w:hAnsiTheme="minorEastAsia" w:eastAsiaTheme="minorEastAsia"/>
          <w:color w:val="auto"/>
          <w:szCs w:val="21"/>
          <w:highlight w:val="none"/>
          <w:lang w:val="en-US" w:eastAsia="zh-CN"/>
        </w:rPr>
        <w:t>约</w:t>
      </w:r>
      <w:r>
        <w:rPr>
          <w:rFonts w:hint="eastAsia" w:asciiTheme="minorEastAsia" w:hAnsiTheme="minorEastAsia" w:eastAsiaTheme="minorEastAsia"/>
          <w:color w:val="auto"/>
          <w:szCs w:val="21"/>
          <w:highlight w:val="none"/>
        </w:rPr>
        <w:t>定</w:t>
      </w:r>
      <w:r>
        <w:rPr>
          <w:rFonts w:asciiTheme="minorEastAsia" w:hAnsiTheme="minorEastAsia" w:eastAsiaTheme="minorEastAsia"/>
          <w:color w:val="auto"/>
          <w:szCs w:val="21"/>
          <w:highlight w:val="none"/>
        </w:rPr>
        <w:t>。</w:t>
      </w:r>
    </w:p>
    <w:p w14:paraId="0710E76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2、赎回费用</w:t>
      </w:r>
    </w:p>
    <w:p w14:paraId="2509281B">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1</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投资者申请赎回持有期间不足</w:t>
      </w:r>
      <w:r>
        <w:rPr>
          <w:rFonts w:hint="eastAsia" w:asciiTheme="minorEastAsia" w:hAnsiTheme="minorEastAsia" w:eastAsiaTheme="minorEastAsia"/>
          <w:color w:val="auto"/>
          <w:szCs w:val="21"/>
          <w:highlight w:val="none"/>
          <w:u w:val="single"/>
          <w:lang w:val="en-US" w:eastAsia="zh-CN"/>
        </w:rPr>
        <w:t>360</w:t>
      </w:r>
      <w:r>
        <w:rPr>
          <w:rFonts w:hint="eastAsia" w:asciiTheme="minorEastAsia" w:hAnsiTheme="minorEastAsia" w:eastAsiaTheme="minorEastAsia"/>
          <w:color w:val="auto"/>
          <w:szCs w:val="21"/>
          <w:highlight w:val="none"/>
        </w:rPr>
        <w:t>日的基金份额的，本基金收取短期赎回费，赎回费率标准如下（持有天数（t）为自然日）：</w:t>
      </w:r>
    </w:p>
    <w:p w14:paraId="3D93476D">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1）若投资者赎回的基金份额持有天数：（t）＜</w:t>
      </w:r>
      <w:r>
        <w:rPr>
          <w:rFonts w:hint="eastAsia" w:asciiTheme="minorEastAsia" w:hAnsiTheme="minorEastAsia" w:eastAsiaTheme="minorEastAsia"/>
          <w:color w:val="auto"/>
          <w:szCs w:val="21"/>
          <w:highlight w:val="none"/>
          <w:u w:val="single"/>
          <w:lang w:val="en-US" w:eastAsia="zh-CN"/>
        </w:rPr>
        <w:t>180</w:t>
      </w:r>
      <w:r>
        <w:rPr>
          <w:rFonts w:hint="eastAsia" w:asciiTheme="minorEastAsia" w:hAnsiTheme="minorEastAsia" w:eastAsiaTheme="minorEastAsia"/>
          <w:color w:val="auto"/>
          <w:szCs w:val="21"/>
          <w:highlight w:val="none"/>
        </w:rPr>
        <w:t>日，则短期赎回费率为</w:t>
      </w:r>
      <w:r>
        <w:rPr>
          <w:rFonts w:hint="eastAsia" w:asciiTheme="minorEastAsia" w:hAnsiTheme="minorEastAsia" w:eastAsiaTheme="minorEastAsia"/>
          <w:color w:val="auto"/>
          <w:szCs w:val="21"/>
          <w:highlight w:val="none"/>
          <w:u w:val="single"/>
          <w:lang w:val="en-US" w:eastAsia="zh-CN"/>
        </w:rPr>
        <w:t>1</w:t>
      </w:r>
      <w:r>
        <w:rPr>
          <w:rFonts w:hint="eastAsia" w:asciiTheme="minorEastAsia" w:hAnsiTheme="minorEastAsia" w:eastAsiaTheme="minorEastAsia"/>
          <w:color w:val="auto"/>
          <w:szCs w:val="21"/>
          <w:highlight w:val="none"/>
        </w:rPr>
        <w:t>%。</w:t>
      </w:r>
    </w:p>
    <w:p w14:paraId="2C218AA7">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lang w:val="en-US" w:eastAsia="zh-CN"/>
        </w:rPr>
        <w:t>2）</w:t>
      </w:r>
      <w:r>
        <w:rPr>
          <w:rFonts w:hint="eastAsia" w:asciiTheme="minorEastAsia" w:hAnsiTheme="minorEastAsia" w:eastAsiaTheme="minorEastAsia"/>
          <w:color w:val="auto"/>
          <w:szCs w:val="21"/>
          <w:highlight w:val="none"/>
        </w:rPr>
        <w:t>若投资者赎回的基金份额持有天数：</w:t>
      </w:r>
      <w:r>
        <w:rPr>
          <w:rFonts w:hint="eastAsia" w:asciiTheme="minorEastAsia" w:hAnsiTheme="minorEastAsia" w:eastAsiaTheme="minorEastAsia"/>
          <w:color w:val="auto"/>
          <w:szCs w:val="21"/>
          <w:highlight w:val="none"/>
          <w:u w:val="single"/>
          <w:lang w:val="en-US" w:eastAsia="zh-CN"/>
        </w:rPr>
        <w:t>180</w:t>
      </w:r>
      <w:r>
        <w:rPr>
          <w:rFonts w:hint="eastAsia" w:asciiTheme="minorEastAsia" w:hAnsiTheme="minorEastAsia" w:eastAsiaTheme="minorEastAsia"/>
          <w:color w:val="auto"/>
          <w:szCs w:val="21"/>
          <w:highlight w:val="none"/>
        </w:rPr>
        <w:t>日</w:t>
      </w:r>
      <w:r>
        <w:rPr>
          <w:rFonts w:hint="eastAsia" w:asciiTheme="minorEastAsia" w:hAnsiTheme="minorEastAsia" w:eastAsiaTheme="minorEastAsia"/>
          <w:color w:val="auto"/>
          <w:szCs w:val="21"/>
          <w:highlight w:val="none"/>
          <w:lang w:val="en-US" w:eastAsia="zh-CN"/>
        </w:rPr>
        <w:t>≤</w:t>
      </w:r>
      <w:r>
        <w:rPr>
          <w:rFonts w:hint="eastAsia" w:asciiTheme="minorEastAsia" w:hAnsiTheme="minorEastAsia" w:eastAsiaTheme="minorEastAsia"/>
          <w:color w:val="auto"/>
          <w:szCs w:val="21"/>
          <w:highlight w:val="none"/>
        </w:rPr>
        <w:t>（t）＜</w:t>
      </w:r>
      <w:r>
        <w:rPr>
          <w:rFonts w:hint="eastAsia" w:asciiTheme="minorEastAsia" w:hAnsiTheme="minorEastAsia" w:eastAsiaTheme="minorEastAsia"/>
          <w:color w:val="auto"/>
          <w:szCs w:val="21"/>
          <w:highlight w:val="none"/>
          <w:lang w:val="en-US" w:eastAsia="zh-CN"/>
        </w:rPr>
        <w:t>360</w:t>
      </w:r>
      <w:r>
        <w:rPr>
          <w:rFonts w:hint="eastAsia" w:asciiTheme="minorEastAsia" w:hAnsiTheme="minorEastAsia" w:eastAsiaTheme="minorEastAsia"/>
          <w:color w:val="auto"/>
          <w:szCs w:val="21"/>
          <w:highlight w:val="none"/>
        </w:rPr>
        <w:t>日，则短期赎回费率为</w:t>
      </w:r>
      <w:r>
        <w:rPr>
          <w:rFonts w:hint="eastAsia" w:asciiTheme="minorEastAsia" w:hAnsiTheme="minorEastAsia" w:eastAsiaTheme="minorEastAsia"/>
          <w:color w:val="auto"/>
          <w:szCs w:val="21"/>
          <w:highlight w:val="none"/>
          <w:u w:val="single"/>
          <w:lang w:val="en-US" w:eastAsia="zh-CN"/>
        </w:rPr>
        <w:t>0.2</w:t>
      </w:r>
      <w:r>
        <w:rPr>
          <w:rFonts w:hint="eastAsia" w:asciiTheme="minorEastAsia" w:hAnsiTheme="minorEastAsia" w:eastAsiaTheme="minorEastAsia"/>
          <w:color w:val="auto"/>
          <w:szCs w:val="21"/>
          <w:highlight w:val="none"/>
        </w:rPr>
        <w:t>%。</w:t>
      </w:r>
    </w:p>
    <w:p w14:paraId="406D483D">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2）若投资者赎回的基金份额持有天数：（t）≥</w:t>
      </w:r>
      <w:r>
        <w:rPr>
          <w:rFonts w:hint="eastAsia" w:asciiTheme="minorEastAsia" w:hAnsiTheme="minorEastAsia" w:eastAsiaTheme="minorEastAsia"/>
          <w:color w:val="auto"/>
          <w:szCs w:val="21"/>
          <w:highlight w:val="none"/>
          <w:u w:val="single"/>
          <w:lang w:val="en-US" w:eastAsia="zh-CN"/>
        </w:rPr>
        <w:t xml:space="preserve"> 360</w:t>
      </w:r>
      <w:r>
        <w:rPr>
          <w:rFonts w:hint="eastAsia" w:asciiTheme="minorEastAsia" w:hAnsiTheme="minorEastAsia" w:eastAsiaTheme="minorEastAsia"/>
          <w:color w:val="auto"/>
          <w:szCs w:val="21"/>
          <w:highlight w:val="none"/>
        </w:rPr>
        <w:t>日，则不收取短期赎回费用。</w:t>
      </w:r>
    </w:p>
    <w:p w14:paraId="33669826">
      <w:pPr>
        <w:spacing w:line="360" w:lineRule="auto"/>
        <w:ind w:left="0" w:firstLine="420"/>
        <w:rPr>
          <w:rFonts w:hint="eastAsia" w:asciiTheme="minorEastAsia" w:hAnsiTheme="minorEastAsia" w:eastAsiaTheme="minorEastAsia"/>
          <w:color w:val="auto"/>
          <w:szCs w:val="21"/>
          <w:highlight w:val="none"/>
          <w:lang w:eastAsia="zh-CN"/>
        </w:rPr>
      </w:pPr>
      <w:r>
        <w:rPr>
          <w:rFonts w:hint="eastAsia" w:ascii="宋体" w:hAnsi="宋体"/>
          <w:color w:val="auto"/>
          <w:szCs w:val="21"/>
          <w:highlight w:val="none"/>
        </w:rPr>
        <w:t>红利再投资（如有）所得份额的赎回无需支付赎回费用。</w:t>
      </w:r>
    </w:p>
    <w:p w14:paraId="3BB058F2">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本基金短期赎回费用归基金财产所有</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不得减免</w:t>
      </w:r>
      <w:r>
        <w:rPr>
          <w:rFonts w:hint="eastAsia" w:asciiTheme="minorEastAsia" w:hAnsiTheme="minorEastAsia" w:eastAsiaTheme="minorEastAsia"/>
          <w:color w:val="auto"/>
          <w:szCs w:val="21"/>
          <w:highlight w:val="none"/>
        </w:rPr>
        <w:t>。</w:t>
      </w:r>
    </w:p>
    <w:p w14:paraId="690B3C18">
      <w:pPr>
        <w:adjustRightInd w:val="0"/>
        <w:snapToGrid w:val="0"/>
        <w:spacing w:before="30" w:after="30" w:line="360" w:lineRule="auto"/>
        <w:ind w:firstLine="420" w:firstLineChars="200"/>
        <w:rPr>
          <w:rFonts w:hint="eastAsia"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lang w:val="en-US" w:eastAsia="zh-CN"/>
        </w:rPr>
        <w:t>本基金设置了短期赎回费，但</w:t>
      </w:r>
      <w:r>
        <w:rPr>
          <w:rFonts w:hint="eastAsia" w:asciiTheme="minorEastAsia" w:hAnsiTheme="minorEastAsia" w:eastAsiaTheme="minorEastAsia"/>
          <w:color w:val="auto"/>
          <w:szCs w:val="21"/>
          <w:highlight w:val="none"/>
        </w:rPr>
        <w:t>本基金管理人及其员工</w:t>
      </w:r>
      <w:r>
        <w:rPr>
          <w:rFonts w:hint="eastAsia" w:asciiTheme="minorEastAsia" w:hAnsiTheme="minorEastAsia" w:eastAsiaTheme="minorEastAsia"/>
          <w:color w:val="auto"/>
          <w:szCs w:val="21"/>
          <w:highlight w:val="none"/>
          <w:lang w:eastAsia="zh-CN"/>
        </w:rPr>
        <w:t>的</w:t>
      </w:r>
      <w:r>
        <w:rPr>
          <w:rFonts w:hint="eastAsia" w:asciiTheme="minorEastAsia" w:hAnsiTheme="minorEastAsia" w:eastAsiaTheme="minorEastAsia"/>
          <w:color w:val="auto"/>
          <w:szCs w:val="21"/>
          <w:highlight w:val="none"/>
        </w:rPr>
        <w:t>持有期小于</w:t>
      </w:r>
      <w:r>
        <w:rPr>
          <w:rFonts w:hint="eastAsia" w:asciiTheme="minorEastAsia" w:hAnsiTheme="minorEastAsia" w:eastAsiaTheme="minorEastAsia"/>
          <w:color w:val="auto"/>
          <w:szCs w:val="21"/>
          <w:highlight w:val="none"/>
          <w:lang w:val="en-US" w:eastAsia="zh-CN"/>
        </w:rPr>
        <w:t>6个月（</w:t>
      </w:r>
      <w:r>
        <w:rPr>
          <w:rFonts w:hint="eastAsia" w:asciiTheme="minorEastAsia" w:hAnsiTheme="minorEastAsia" w:eastAsiaTheme="minorEastAsia"/>
          <w:color w:val="auto"/>
          <w:szCs w:val="21"/>
          <w:highlight w:val="none"/>
        </w:rPr>
        <w:t>180个自然日</w:t>
      </w:r>
      <w:r>
        <w:rPr>
          <w:rFonts w:hint="eastAsia" w:asciiTheme="minorEastAsia" w:hAnsiTheme="minorEastAsia" w:eastAsiaTheme="minorEastAsia"/>
          <w:color w:val="auto"/>
          <w:szCs w:val="21"/>
          <w:highlight w:val="none"/>
          <w:lang w:eastAsia="zh-CN"/>
        </w:rPr>
        <w:t>）的</w:t>
      </w:r>
      <w:r>
        <w:rPr>
          <w:rFonts w:hint="eastAsia" w:asciiTheme="minorEastAsia" w:hAnsiTheme="minorEastAsia" w:eastAsiaTheme="minorEastAsia"/>
          <w:color w:val="auto"/>
          <w:szCs w:val="21"/>
          <w:highlight w:val="none"/>
          <w:lang w:val="en-US" w:eastAsia="zh-CN"/>
        </w:rPr>
        <w:t>本基金份额</w:t>
      </w:r>
      <w:r>
        <w:rPr>
          <w:rFonts w:hint="eastAsia" w:asciiTheme="minorEastAsia" w:hAnsiTheme="minorEastAsia" w:eastAsiaTheme="minorEastAsia"/>
          <w:color w:val="auto"/>
          <w:szCs w:val="21"/>
          <w:highlight w:val="none"/>
        </w:rPr>
        <w:t>不得</w:t>
      </w:r>
      <w:r>
        <w:rPr>
          <w:rFonts w:hint="eastAsia" w:asciiTheme="minorEastAsia" w:hAnsiTheme="minorEastAsia" w:eastAsiaTheme="minorEastAsia"/>
          <w:color w:val="auto"/>
          <w:szCs w:val="21"/>
          <w:highlight w:val="none"/>
          <w:lang w:val="en-US" w:eastAsia="zh-CN"/>
        </w:rPr>
        <w:t>提前</w:t>
      </w:r>
      <w:r>
        <w:rPr>
          <w:rFonts w:hint="eastAsia" w:asciiTheme="minorEastAsia" w:hAnsiTheme="minorEastAsia" w:eastAsiaTheme="minorEastAsia"/>
          <w:color w:val="auto"/>
          <w:szCs w:val="21"/>
          <w:highlight w:val="none"/>
        </w:rPr>
        <w:t>赎回</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其他投资人的</w:t>
      </w:r>
      <w:r>
        <w:rPr>
          <w:rFonts w:hint="eastAsia" w:asciiTheme="minorEastAsia" w:hAnsiTheme="minorEastAsia" w:eastAsiaTheme="minorEastAsia"/>
          <w:color w:val="auto"/>
          <w:szCs w:val="21"/>
          <w:highlight w:val="none"/>
        </w:rPr>
        <w:t>持有期小于</w:t>
      </w:r>
      <w:r>
        <w:rPr>
          <w:rFonts w:hint="eastAsia" w:asciiTheme="minorEastAsia" w:hAnsiTheme="minorEastAsia" w:eastAsiaTheme="minorEastAsia"/>
          <w:color w:val="auto"/>
          <w:szCs w:val="21"/>
          <w:highlight w:val="none"/>
          <w:lang w:val="en-US" w:eastAsia="zh-CN"/>
        </w:rPr>
        <w:t>3个月（9</w:t>
      </w:r>
      <w:r>
        <w:rPr>
          <w:rFonts w:hint="eastAsia" w:asciiTheme="minorEastAsia" w:hAnsiTheme="minorEastAsia" w:eastAsiaTheme="minorEastAsia"/>
          <w:color w:val="auto"/>
          <w:szCs w:val="21"/>
          <w:highlight w:val="none"/>
        </w:rPr>
        <w:t>0个自然日</w:t>
      </w:r>
      <w:r>
        <w:rPr>
          <w:rFonts w:hint="eastAsia" w:asciiTheme="minorEastAsia" w:hAnsiTheme="minorEastAsia" w:eastAsiaTheme="minorEastAsia"/>
          <w:color w:val="auto"/>
          <w:szCs w:val="21"/>
          <w:highlight w:val="none"/>
          <w:lang w:eastAsia="zh-CN"/>
        </w:rPr>
        <w:t>）的</w:t>
      </w:r>
      <w:r>
        <w:rPr>
          <w:rFonts w:hint="eastAsia" w:asciiTheme="minorEastAsia" w:hAnsiTheme="minorEastAsia" w:eastAsiaTheme="minorEastAsia"/>
          <w:color w:val="auto"/>
          <w:szCs w:val="21"/>
          <w:highlight w:val="none"/>
          <w:lang w:val="en-US" w:eastAsia="zh-CN"/>
        </w:rPr>
        <w:t>本基金份额</w:t>
      </w:r>
      <w:r>
        <w:rPr>
          <w:rFonts w:hint="eastAsia" w:asciiTheme="minorEastAsia" w:hAnsiTheme="minorEastAsia" w:eastAsiaTheme="minorEastAsia"/>
          <w:color w:val="auto"/>
          <w:szCs w:val="21"/>
          <w:highlight w:val="none"/>
        </w:rPr>
        <w:t>不得</w:t>
      </w:r>
      <w:r>
        <w:rPr>
          <w:rFonts w:hint="eastAsia" w:asciiTheme="minorEastAsia" w:hAnsiTheme="minorEastAsia" w:eastAsiaTheme="minorEastAsia"/>
          <w:color w:val="auto"/>
          <w:szCs w:val="21"/>
          <w:highlight w:val="none"/>
          <w:lang w:val="en-US" w:eastAsia="zh-CN"/>
        </w:rPr>
        <w:t>提前</w:t>
      </w:r>
      <w:r>
        <w:rPr>
          <w:rFonts w:hint="eastAsia" w:asciiTheme="minorEastAsia" w:hAnsiTheme="minorEastAsia" w:eastAsiaTheme="minorEastAsia"/>
          <w:color w:val="auto"/>
          <w:szCs w:val="21"/>
          <w:highlight w:val="none"/>
        </w:rPr>
        <w:t>赎回</w:t>
      </w:r>
      <w:r>
        <w:rPr>
          <w:rFonts w:hint="eastAsia" w:asciiTheme="minorEastAsia" w:hAnsiTheme="minorEastAsia" w:eastAsiaTheme="minorEastAsia"/>
          <w:color w:val="auto"/>
          <w:szCs w:val="21"/>
          <w:highlight w:val="none"/>
          <w:lang w:eastAsia="zh-CN"/>
        </w:rPr>
        <w:t>。</w:t>
      </w:r>
    </w:p>
    <w:p w14:paraId="602C5C0A">
      <w:pPr>
        <w:adjustRightInd w:val="0"/>
        <w:snapToGrid w:val="0"/>
        <w:spacing w:before="30" w:after="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2</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赎回费计算方法如下：</w:t>
      </w:r>
    </w:p>
    <w:p w14:paraId="0502C3CB">
      <w:pPr>
        <w:adjustRightInd w:val="0"/>
        <w:snapToGrid w:val="0"/>
        <w:spacing w:before="30" w:after="30" w:line="360" w:lineRule="auto"/>
        <w:ind w:firstLine="420" w:firstLineChars="200"/>
        <w:rPr>
          <w:rFonts w:asciiTheme="minorEastAsia" w:hAnsiTheme="minorEastAsia" w:eastAsiaTheme="minorEastAsia"/>
          <w:color w:val="auto"/>
          <w:szCs w:val="21"/>
          <w:highlight w:val="none"/>
        </w:rPr>
      </w:pPr>
      <w:r>
        <w:rPr>
          <w:rFonts w:hint="eastAsia" w:ascii="宋体" w:hAnsi="宋体"/>
          <w:color w:val="auto"/>
          <w:szCs w:val="21"/>
          <w:highlight w:val="none"/>
        </w:rPr>
        <w:t>赎回费＝（赎回份额×赎回价格</w:t>
      </w:r>
      <w:r>
        <w:rPr>
          <w:rFonts w:ascii="宋体" w:hAnsi="宋体"/>
          <w:color w:val="auto"/>
          <w:szCs w:val="21"/>
          <w:highlight w:val="none"/>
        </w:rPr>
        <w:t>-</w:t>
      </w:r>
      <w:r>
        <w:rPr>
          <w:rFonts w:hint="eastAsia" w:ascii="宋体" w:hAnsi="宋体"/>
          <w:color w:val="auto"/>
          <w:szCs w:val="21"/>
          <w:highlight w:val="none"/>
        </w:rPr>
        <w:t>应计提业绩报酬（如有））×赎回费率</w:t>
      </w:r>
    </w:p>
    <w:p w14:paraId="1B3D238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Cs/>
          <w:color w:val="auto"/>
          <w:szCs w:val="21"/>
          <w:highlight w:val="none"/>
        </w:rPr>
        <w:t>赎回费（如有）由赎回基金份额的基金份额持有人承担，在基金份额持有人赎回基金份额时收取。</w:t>
      </w:r>
    </w:p>
    <w:p w14:paraId="7801C31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（九）申购份额与赎回金额的计算方式</w:t>
      </w:r>
    </w:p>
    <w:p w14:paraId="320AFC1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1、申购份额计算</w:t>
      </w:r>
    </w:p>
    <w:p w14:paraId="1BFD31E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申购份额＝（申购金额-申购费用）/私募基金管理人或代销机构提交申购申请日（对应类别）基金份额净值。</w:t>
      </w:r>
    </w:p>
    <w:p w14:paraId="2019126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申购份额保留到小数点后2位，小数点后第3位四舍五入，由此产生的误差计入基金财产。</w:t>
      </w:r>
    </w:p>
    <w:p w14:paraId="6B3C9E0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2、赎回金额计算</w:t>
      </w:r>
    </w:p>
    <w:p w14:paraId="672AB6C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赎回总额=赎回价格×赎回份额</w:t>
      </w:r>
      <w:r>
        <w:rPr>
          <w:rFonts w:asciiTheme="minorEastAsia" w:hAnsiTheme="minorEastAsia" w:eastAsiaTheme="minorEastAsia"/>
          <w:color w:val="auto"/>
          <w:szCs w:val="21"/>
          <w:highlight w:val="none"/>
        </w:rPr>
        <w:t>-业绩报酬</w:t>
      </w:r>
      <w:r>
        <w:rPr>
          <w:rFonts w:hint="eastAsia" w:asciiTheme="minorEastAsia" w:hAnsiTheme="minorEastAsia" w:eastAsiaTheme="minorEastAsia"/>
          <w:color w:val="auto"/>
          <w:szCs w:val="21"/>
          <w:highlight w:val="none"/>
        </w:rPr>
        <w:t>（如有）</w:t>
      </w:r>
    </w:p>
    <w:p w14:paraId="139B5FCB">
      <w:pPr>
        <w:adjustRightInd w:val="0"/>
        <w:snapToGrid w:val="0"/>
        <w:spacing w:before="30" w:after="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赎回费=</w:t>
      </w:r>
      <w:r>
        <w:rPr>
          <w:rFonts w:hint="eastAsia" w:ascii="宋体" w:hAnsi="宋体"/>
          <w:color w:val="auto"/>
          <w:szCs w:val="21"/>
          <w:highlight w:val="none"/>
        </w:rPr>
        <w:t>（赎回份额×赎回价格</w:t>
      </w:r>
      <w:r>
        <w:rPr>
          <w:rFonts w:ascii="宋体" w:hAnsi="宋体"/>
          <w:color w:val="auto"/>
          <w:szCs w:val="21"/>
          <w:highlight w:val="none"/>
        </w:rPr>
        <w:t>-</w:t>
      </w:r>
      <w:r>
        <w:rPr>
          <w:rFonts w:hint="eastAsia" w:ascii="宋体" w:hAnsi="宋体"/>
          <w:color w:val="auto"/>
          <w:szCs w:val="21"/>
          <w:highlight w:val="none"/>
        </w:rPr>
        <w:t>应计提业绩报酬（如有））×赎回费率</w:t>
      </w:r>
    </w:p>
    <w:p w14:paraId="23C96E0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赎回金额</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赎回总额</w:t>
      </w:r>
      <w:r>
        <w:rPr>
          <w:rFonts w:asciiTheme="minorEastAsia" w:hAnsiTheme="minorEastAsia" w:eastAsiaTheme="minorEastAsia"/>
          <w:color w:val="auto"/>
          <w:szCs w:val="21"/>
          <w:highlight w:val="none"/>
        </w:rPr>
        <w:t>-赎回费</w:t>
      </w:r>
    </w:p>
    <w:p w14:paraId="7D153515">
      <w:pPr>
        <w:adjustRightInd w:val="0"/>
        <w:snapToGrid w:val="0"/>
        <w:ind w:firstLine="420" w:firstLineChars="200"/>
        <w:rPr>
          <w:rFonts w:ascii="宋体" w:hAnsi="宋体"/>
          <w:color w:val="auto"/>
          <w:highlight w:val="none"/>
        </w:rPr>
      </w:pPr>
      <w:r>
        <w:rPr>
          <w:rFonts w:hint="eastAsia" w:ascii="宋体" w:hAnsi="宋体"/>
          <w:color w:val="auto"/>
          <w:highlight w:val="none"/>
        </w:rPr>
        <w:t>赎回价格为私募基金管理人或代销机构提交赎回申请日</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对应类别</w:t>
      </w:r>
      <w:r>
        <w:rPr>
          <w:rFonts w:hint="eastAsia" w:asciiTheme="minorEastAsia" w:hAnsiTheme="minorEastAsia" w:eastAsiaTheme="minorEastAsia"/>
          <w:color w:val="auto"/>
          <w:szCs w:val="21"/>
          <w:highlight w:val="none"/>
          <w:lang w:eastAsia="zh-CN"/>
        </w:rPr>
        <w:t>）</w:t>
      </w:r>
      <w:r>
        <w:rPr>
          <w:rFonts w:hint="eastAsia" w:ascii="宋体" w:hAnsi="宋体"/>
          <w:color w:val="auto"/>
          <w:highlight w:val="none"/>
        </w:rPr>
        <w:t>基金份额净值。</w:t>
      </w:r>
    </w:p>
    <w:p w14:paraId="35EDD64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赎回金额保留到小数点后2位，小数点后第3位四舍五入，由此产生的误差计入基金财产。</w:t>
      </w:r>
    </w:p>
    <w:p w14:paraId="57D1D5CE">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（十）拒绝或暂停申购、</w:t>
      </w:r>
      <w:r>
        <w:rPr>
          <w:rFonts w:hint="eastAsia" w:asciiTheme="minorEastAsia" w:hAnsiTheme="minorEastAsia" w:eastAsiaTheme="minorEastAsia"/>
          <w:color w:val="auto"/>
          <w:szCs w:val="21"/>
          <w:highlight w:val="none"/>
          <w:lang w:val="en-US" w:eastAsia="zh-CN"/>
        </w:rPr>
        <w:t>停止申购、</w:t>
      </w:r>
      <w:r>
        <w:rPr>
          <w:rFonts w:hint="eastAsia" w:asciiTheme="minorEastAsia" w:hAnsiTheme="minorEastAsia" w:eastAsiaTheme="minorEastAsia"/>
          <w:color w:val="auto"/>
          <w:szCs w:val="21"/>
          <w:highlight w:val="none"/>
        </w:rPr>
        <w:t>暂停赎回的情形及处理</w:t>
      </w:r>
    </w:p>
    <w:p w14:paraId="4561D4B7">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、在如下情形下，基金管理人可以拒绝接受基金投资者的申购申请：</w:t>
      </w:r>
    </w:p>
    <w:p w14:paraId="27B83423">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（1）根据市场情况，基金管理人无法找到合适的投资品种，或其他可能对基金业绩产生负面影响，从而损害现有基金份额持有人的利益的情形；</w:t>
      </w:r>
    </w:p>
    <w:p w14:paraId="477F66E9">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（2）因基金持有的某个或某些证券进行权益分派等原因，使基金管理人认为短期内接受申购可能会影响或损害现有基金份额持有人利益的情形；</w:t>
      </w:r>
    </w:p>
    <w:p w14:paraId="7F2836CE">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（3）基金管理人认为接受某笔或某些申购申请可能会影响或损害其他基金份额持有人利益的情形；</w:t>
      </w:r>
    </w:p>
    <w:p w14:paraId="3A5D4076">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（4）法律法规规定或经中国证监会认定或本合同约定的其他情形。</w:t>
      </w:r>
    </w:p>
    <w:p w14:paraId="102EA531">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基金管理人决定拒绝接受某些基金投资者的申购申请时，申购款项将退回基金投资者账户。</w:t>
      </w:r>
    </w:p>
    <w:p w14:paraId="38FC80E7">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、在如下情形下，基金管理人可以暂停基金投资者的申购：</w:t>
      </w:r>
    </w:p>
    <w:p w14:paraId="7F7F67B0">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）因不可抗力导致无法受理基金投资者的申购申请的情形；</w:t>
      </w:r>
    </w:p>
    <w:p w14:paraId="2F2E37BA">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）证券交易场所交易时间临时停市，导致基金管理人无法计算当日基金资产净值的情形；</w:t>
      </w:r>
    </w:p>
    <w:p w14:paraId="38DDF5B4">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）本基金的证券/期货经纪商没有或未及时发送交易清算数据或对账数据、发送的交易清算数据或对账数据不完整或有误，导致无法或未能及时计算当日基金资产净值的情形；</w:t>
      </w:r>
    </w:p>
    <w:p w14:paraId="6C4ACA9A">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（4）对于没有或未及时获取场外交易数据或场外行情数据、场外交易数据或场外行情数据不完整或有误，导致无法或未能及时计算当日基金资产净值的情形；</w:t>
      </w:r>
    </w:p>
    <w:p w14:paraId="1A14A75C">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（5）发生本合同规定的暂停基金资产估值的情形；</w:t>
      </w:r>
    </w:p>
    <w:p w14:paraId="3275BBC5">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（6）法律法规规定或经中国证监会认定的其他情形。</w:t>
      </w:r>
    </w:p>
    <w:p w14:paraId="4A8F64E9">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基金管理人决定暂停接受全部或部分申购申请时，应当以约定的形式告知基金投资者。在暂停申购的情形消除时，基金管理人应及时恢复申购业务的办理并以约定的形式告知基金投资者。</w:t>
      </w:r>
    </w:p>
    <w:p w14:paraId="302FAC2A">
      <w:pPr>
        <w:numPr>
          <w:ilvl w:val="0"/>
          <w:numId w:val="1"/>
        </w:numPr>
        <w:autoSpaceDE w:val="0"/>
        <w:autoSpaceDN w:val="0"/>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lang w:val="en-US" w:eastAsia="zh-CN"/>
        </w:rPr>
        <w:t>基</w:t>
      </w:r>
      <w:r>
        <w:rPr>
          <w:rFonts w:hint="eastAsia" w:asciiTheme="minorEastAsia" w:hAnsiTheme="minorEastAsia" w:eastAsiaTheme="minorEastAsia"/>
          <w:color w:val="auto"/>
          <w:szCs w:val="21"/>
          <w:highlight w:val="none"/>
        </w:rPr>
        <w:t>金上一年度日均基金资产净值低于500万元，或者基金资产净值连续60个交易日低于500万元的</w:t>
      </w:r>
      <w:r>
        <w:rPr>
          <w:rFonts w:hint="eastAsia"/>
          <w:color w:val="auto"/>
          <w:highlight w:val="none"/>
          <w:lang w:eastAsia="zh-CN"/>
        </w:rPr>
        <w:t>，</w:t>
      </w:r>
      <w:r>
        <w:rPr>
          <w:rFonts w:hint="eastAsia" w:asciiTheme="minorEastAsia" w:hAnsiTheme="minorEastAsia" w:eastAsiaTheme="minorEastAsia"/>
          <w:color w:val="auto"/>
          <w:szCs w:val="21"/>
          <w:highlight w:val="none"/>
        </w:rPr>
        <w:t>基金管理人</w:t>
      </w:r>
      <w:r>
        <w:rPr>
          <w:rFonts w:hint="eastAsia" w:asciiTheme="minorEastAsia" w:hAnsiTheme="minorEastAsia" w:eastAsiaTheme="minorEastAsia"/>
          <w:color w:val="auto"/>
          <w:szCs w:val="21"/>
          <w:highlight w:val="none"/>
          <w:lang w:val="en-US" w:eastAsia="zh-CN"/>
        </w:rPr>
        <w:t>应当停止</w:t>
      </w:r>
      <w:r>
        <w:rPr>
          <w:rFonts w:hint="eastAsia" w:asciiTheme="minorEastAsia" w:hAnsiTheme="minorEastAsia" w:eastAsiaTheme="minorEastAsia"/>
          <w:color w:val="auto"/>
          <w:szCs w:val="21"/>
          <w:highlight w:val="none"/>
        </w:rPr>
        <w:t>申购</w:t>
      </w:r>
      <w:r>
        <w:rPr>
          <w:rFonts w:hint="eastAsia" w:asciiTheme="minorEastAsia" w:hAnsiTheme="minorEastAsia" w:eastAsiaTheme="minorEastAsia"/>
          <w:color w:val="auto"/>
          <w:szCs w:val="21"/>
          <w:highlight w:val="none"/>
          <w:lang w:val="en-US" w:eastAsia="zh-CN"/>
        </w:rPr>
        <w:t>并在5个工作日内向投资者披露</w:t>
      </w:r>
      <w:r>
        <w:rPr>
          <w:rFonts w:hint="eastAsia" w:asciiTheme="minorEastAsia" w:hAnsiTheme="minorEastAsia" w:eastAsiaTheme="minorEastAsia"/>
          <w:color w:val="auto"/>
          <w:szCs w:val="21"/>
          <w:highlight w:val="none"/>
          <w:lang w:eastAsia="zh-CN"/>
        </w:rPr>
        <w:t>。</w:t>
      </w:r>
    </w:p>
    <w:p w14:paraId="19BFFDBE">
      <w:pPr>
        <w:numPr>
          <w:ilvl w:val="0"/>
          <w:numId w:val="1"/>
        </w:num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在如下情形下，基金管理人可以暂停基金份额持有人的赎回：</w:t>
      </w:r>
    </w:p>
    <w:p w14:paraId="292B8AF6">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（1）因不可抗力导致基金管理人无法支付赎回款项的情形；</w:t>
      </w:r>
    </w:p>
    <w:p w14:paraId="59D5182A">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（2）证券交易场所交易时间临时停市，导致基金管理人无法计算当日基金资产净值的情形；</w:t>
      </w:r>
    </w:p>
    <w:p w14:paraId="3F9EA651">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）本基金的证券/期货经纪商没有或未及时发送交易清算数据或对账数据、发送的交易清算数据或对账数据不完整或有误，导致无法或未能及时计算当日基金资产净值的情形；</w:t>
      </w:r>
    </w:p>
    <w:p w14:paraId="64B50AF2">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（4）对于没有或未及时获取场外交易数据或场外行情数据、场外交易数据或场外行情数据不完整或有误，导致无法或未能及时计算当日基金资产净值的情形；</w:t>
      </w:r>
    </w:p>
    <w:p w14:paraId="6D578A88">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（5）发生本合同规定的暂停基金资产估值的情形；</w:t>
      </w:r>
    </w:p>
    <w:p w14:paraId="3D2CF8EC">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（6）法律法规规定或经中国证监会认定</w:t>
      </w:r>
      <w:r>
        <w:rPr>
          <w:rFonts w:hint="eastAsia" w:asciiTheme="minorEastAsia" w:hAnsiTheme="minorEastAsia" w:eastAsiaTheme="minorEastAsia"/>
          <w:color w:val="auto"/>
          <w:szCs w:val="21"/>
          <w:highlight w:val="none"/>
          <w:lang w:val="en-US" w:eastAsia="zh-CN"/>
        </w:rPr>
        <w:t>或本合同约定</w:t>
      </w:r>
      <w:r>
        <w:rPr>
          <w:rFonts w:hint="eastAsia" w:asciiTheme="minorEastAsia" w:hAnsiTheme="minorEastAsia" w:eastAsiaTheme="minorEastAsia"/>
          <w:color w:val="auto"/>
          <w:szCs w:val="21"/>
          <w:highlight w:val="none"/>
        </w:rPr>
        <w:t>的其他情形。</w:t>
      </w:r>
    </w:p>
    <w:p w14:paraId="53A365A2">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发生上述情形之一且基金管理人决定暂停赎回的，基金管理人应当以约定的形式告知基金份额持有人。已接受的赎回申请，基金管理人应当足额支付；如暂时不能足额支付，应当按单个赎回申请人已被接受的赎回金额占已接受的赎回总金额的比例将可支付金额分配给赎回申请人，其余部分在后续工作日予以支付。</w:t>
      </w:r>
    </w:p>
    <w:p w14:paraId="69773732">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在暂停赎回的情况消除时，基金管理人应及时恢复赎回业务的办理并以约定的形式告知基金份额持有人。</w:t>
      </w:r>
    </w:p>
    <w:p w14:paraId="75F6A4D5">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（十一）巨额赎回的认定及处理方式</w:t>
      </w:r>
    </w:p>
    <w:p w14:paraId="665465CD">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1、巨额赎回的认定</w:t>
      </w:r>
    </w:p>
    <w:p w14:paraId="60CA4DA4">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单个开放日中，本基金需处理的基金净赎回申请份额超过本基金上一工作日基金总份额的约定比例</w:t>
      </w:r>
      <w:r>
        <w:rPr>
          <w:rFonts w:asciiTheme="minorEastAsia" w:hAnsiTheme="minorEastAsia" w:eastAsiaTheme="minorEastAsia"/>
          <w:color w:val="auto"/>
          <w:szCs w:val="21"/>
          <w:highlight w:val="none"/>
        </w:rPr>
        <w:t>RJ时（RJ=</w:t>
      </w:r>
      <w:r>
        <w:rPr>
          <w:rFonts w:hint="eastAsia" w:asciiTheme="minorEastAsia" w:hAnsiTheme="minorEastAsia" w:eastAsiaTheme="minorEastAsia"/>
          <w:color w:val="auto"/>
          <w:szCs w:val="21"/>
          <w:highlight w:val="none"/>
          <w:lang w:val="en-US" w:eastAsia="zh-CN"/>
        </w:rPr>
        <w:t>20</w:t>
      </w:r>
      <w:r>
        <w:rPr>
          <w:rFonts w:asciiTheme="minorEastAsia" w:hAnsiTheme="minorEastAsia" w:eastAsiaTheme="minorEastAsia"/>
          <w:color w:val="auto"/>
          <w:szCs w:val="21"/>
          <w:highlight w:val="none"/>
        </w:rPr>
        <w:t>%），即认为本基金发生了巨额赎回。</w:t>
      </w:r>
    </w:p>
    <w:p w14:paraId="493695E3">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2、巨额赎回的处理方式</w:t>
      </w:r>
    </w:p>
    <w:p w14:paraId="7FAB0B5C">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如开放日提出的赎回申请构成巨额赎回，私募基金管理人可以根据本基金当时的资产状况决定采取</w:t>
      </w:r>
      <w:r>
        <w:rPr>
          <w:rFonts w:hint="eastAsia" w:asciiTheme="minorEastAsia" w:hAnsiTheme="minorEastAsia" w:eastAsiaTheme="minorEastAsia"/>
          <w:color w:val="auto"/>
          <w:szCs w:val="21"/>
          <w:highlight w:val="none"/>
          <w:lang w:val="en-US" w:eastAsia="zh-CN"/>
        </w:rPr>
        <w:t>以下处理方式</w:t>
      </w:r>
      <w:r>
        <w:rPr>
          <w:rFonts w:hint="eastAsia" w:asciiTheme="minorEastAsia" w:hAnsiTheme="minorEastAsia" w:eastAsiaTheme="minorEastAsia"/>
          <w:color w:val="auto"/>
          <w:szCs w:val="21"/>
          <w:highlight w:val="none"/>
          <w:lang w:eastAsia="zh-CN"/>
        </w:rPr>
        <w:t>：</w:t>
      </w:r>
    </w:p>
    <w:p w14:paraId="64594582">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1）全额赎回</w:t>
      </w:r>
    </w:p>
    <w:p w14:paraId="431AAD56">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当私募基金管理人认为有能力支付基金份额持有人的</w:t>
      </w:r>
      <w:r>
        <w:rPr>
          <w:rFonts w:hint="eastAsia" w:asciiTheme="minorEastAsia" w:hAnsiTheme="minorEastAsia" w:eastAsiaTheme="minorEastAsia"/>
          <w:color w:val="auto"/>
          <w:szCs w:val="21"/>
          <w:highlight w:val="none"/>
          <w:lang w:val="en-US" w:eastAsia="zh-CN"/>
        </w:rPr>
        <w:t>全部</w:t>
      </w:r>
      <w:r>
        <w:rPr>
          <w:rFonts w:hint="eastAsia" w:asciiTheme="minorEastAsia" w:hAnsiTheme="minorEastAsia" w:eastAsiaTheme="minorEastAsia"/>
          <w:color w:val="auto"/>
          <w:szCs w:val="21"/>
          <w:highlight w:val="none"/>
        </w:rPr>
        <w:t>赎回申请时，按正常赎回程序执行。</w:t>
      </w:r>
    </w:p>
    <w:p w14:paraId="6F583316">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2）部分延期赎回</w:t>
      </w:r>
    </w:p>
    <w:p w14:paraId="5C1C5391">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当私募基金管理人认为支付基金份额持有人的赎回申请有困难或认为</w:t>
      </w:r>
      <w:r>
        <w:rPr>
          <w:rFonts w:hint="eastAsia" w:asciiTheme="minorEastAsia" w:hAnsiTheme="minorEastAsia" w:eastAsiaTheme="minorEastAsia"/>
          <w:color w:val="auto"/>
          <w:szCs w:val="21"/>
          <w:highlight w:val="none"/>
          <w:lang w:val="en-US" w:eastAsia="zh-CN"/>
        </w:rPr>
        <w:t>因</w:t>
      </w:r>
      <w:r>
        <w:rPr>
          <w:rFonts w:hint="eastAsia" w:asciiTheme="minorEastAsia" w:hAnsiTheme="minorEastAsia" w:eastAsiaTheme="minorEastAsia"/>
          <w:color w:val="auto"/>
          <w:szCs w:val="21"/>
          <w:highlight w:val="none"/>
        </w:rPr>
        <w:t>支付基金份额持有人的赎回申请而进行的财产变现可能会对基金资产净值造成较大波动时，私募基金管理人在当日接受赎回比例不低于上一工作日基金总份额的约定比例</w:t>
      </w:r>
      <w:r>
        <w:rPr>
          <w:rFonts w:asciiTheme="minorEastAsia" w:hAnsiTheme="minorEastAsia" w:eastAsiaTheme="minorEastAsia"/>
          <w:color w:val="auto"/>
          <w:szCs w:val="21"/>
          <w:highlight w:val="none"/>
        </w:rPr>
        <w:t>RJ的前提下，对其余赎回申请延期办理。对于当日的赎回申请，应当按单个账户赎回申请量占赎回申请总量的比例，确定当日受理的赎回份额；未能赎回部分，基金份额持有人在提交赎回申请时可以选择是否延期赎回或取消赎回。选择延期赎回的，将自动转入下一个</w:t>
      </w:r>
      <w:r>
        <w:rPr>
          <w:rFonts w:hint="eastAsia" w:asciiTheme="minorEastAsia" w:hAnsiTheme="minorEastAsia" w:eastAsiaTheme="minorEastAsia"/>
          <w:bCs/>
          <w:color w:val="auto"/>
          <w:szCs w:val="21"/>
          <w:highlight w:val="none"/>
          <w:lang w:val="en-US" w:eastAsia="zh-CN"/>
        </w:rPr>
        <w:t>开放</w:t>
      </w:r>
      <w:r>
        <w:rPr>
          <w:rFonts w:hint="eastAsia" w:asciiTheme="minorEastAsia" w:hAnsiTheme="minorEastAsia" w:eastAsiaTheme="minorEastAsia"/>
          <w:bCs/>
          <w:color w:val="auto"/>
          <w:szCs w:val="21"/>
          <w:highlight w:val="none"/>
        </w:rPr>
        <w:t>日</w:t>
      </w:r>
      <w:r>
        <w:rPr>
          <w:rFonts w:asciiTheme="minorEastAsia" w:hAnsiTheme="minorEastAsia" w:eastAsiaTheme="minorEastAsia"/>
          <w:color w:val="auto"/>
          <w:szCs w:val="21"/>
          <w:highlight w:val="none"/>
        </w:rPr>
        <w:t>继续赎回，直到全部赎回为止；选择取消赎回的，当日未获受理的部分赎回申请将被撤销。延期的赎回申请与下一</w:t>
      </w:r>
      <w:r>
        <w:rPr>
          <w:rFonts w:hint="eastAsia" w:asciiTheme="minorEastAsia" w:hAnsiTheme="minorEastAsia" w:eastAsiaTheme="minorEastAsia"/>
          <w:bCs/>
          <w:color w:val="auto"/>
          <w:szCs w:val="21"/>
          <w:highlight w:val="none"/>
          <w:lang w:val="en-US" w:eastAsia="zh-CN"/>
        </w:rPr>
        <w:t>开放</w:t>
      </w:r>
      <w:r>
        <w:rPr>
          <w:rFonts w:hint="eastAsia" w:asciiTheme="minorEastAsia" w:hAnsiTheme="minorEastAsia" w:eastAsiaTheme="minorEastAsia"/>
          <w:bCs/>
          <w:color w:val="auto"/>
          <w:szCs w:val="21"/>
          <w:highlight w:val="none"/>
        </w:rPr>
        <w:t>日</w:t>
      </w:r>
      <w:r>
        <w:rPr>
          <w:rFonts w:asciiTheme="minorEastAsia" w:hAnsiTheme="minorEastAsia" w:eastAsiaTheme="minorEastAsia"/>
          <w:color w:val="auto"/>
          <w:szCs w:val="21"/>
          <w:highlight w:val="none"/>
        </w:rPr>
        <w:t>赎回申请一并处理，无优先权并以该下一</w:t>
      </w:r>
      <w:r>
        <w:rPr>
          <w:rFonts w:hint="eastAsia" w:asciiTheme="minorEastAsia" w:hAnsiTheme="minorEastAsia" w:eastAsiaTheme="minorEastAsia"/>
          <w:bCs/>
          <w:color w:val="auto"/>
          <w:szCs w:val="21"/>
          <w:highlight w:val="none"/>
          <w:lang w:val="en-US" w:eastAsia="zh-CN"/>
        </w:rPr>
        <w:t>开放</w:t>
      </w:r>
      <w:r>
        <w:rPr>
          <w:rFonts w:hint="eastAsia" w:asciiTheme="minorEastAsia" w:hAnsiTheme="minorEastAsia" w:eastAsiaTheme="minorEastAsia"/>
          <w:bCs/>
          <w:color w:val="auto"/>
          <w:szCs w:val="21"/>
          <w:highlight w:val="none"/>
        </w:rPr>
        <w:t>日</w:t>
      </w:r>
      <w:r>
        <w:rPr>
          <w:rFonts w:asciiTheme="minorEastAsia" w:hAnsiTheme="minorEastAsia" w:eastAsiaTheme="minorEastAsia"/>
          <w:color w:val="auto"/>
          <w:szCs w:val="21"/>
          <w:highlight w:val="none"/>
        </w:rPr>
        <w:t>的</w:t>
      </w:r>
      <w:r>
        <w:rPr>
          <w:rFonts w:hint="eastAsia" w:asciiTheme="minorEastAsia" w:hAnsiTheme="minorEastAsia" w:eastAsiaTheme="minorEastAsia"/>
          <w:color w:val="auto"/>
          <w:szCs w:val="21"/>
          <w:highlight w:val="none"/>
          <w:lang w:val="en-US" w:eastAsia="zh-CN"/>
        </w:rPr>
        <w:t>各类别</w:t>
      </w:r>
      <w:r>
        <w:rPr>
          <w:rFonts w:asciiTheme="minorEastAsia" w:hAnsiTheme="minorEastAsia" w:eastAsiaTheme="minorEastAsia"/>
          <w:color w:val="auto"/>
          <w:szCs w:val="21"/>
          <w:highlight w:val="none"/>
        </w:rPr>
        <w:t>基金份额净值为基础计算赎回金额，并以此类推，直到全部赎回为止。本基金不就延期赎回份额的相应款项计算利息。如基金份额持有人在提交赎回申请时未作明确选择，基金份额持有人未能赎回部分作自动延期赎回处理。</w:t>
      </w:r>
    </w:p>
    <w:p w14:paraId="59E90DDD">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Cs/>
          <w:color w:val="auto"/>
          <w:szCs w:val="21"/>
          <w:highlight w:val="none"/>
        </w:rPr>
        <w:t>（</w:t>
      </w:r>
      <w:r>
        <w:rPr>
          <w:rFonts w:asciiTheme="minorEastAsia" w:hAnsiTheme="minorEastAsia" w:eastAsiaTheme="minorEastAsia"/>
          <w:bCs/>
          <w:color w:val="auto"/>
          <w:szCs w:val="21"/>
          <w:highlight w:val="none"/>
        </w:rPr>
        <w:t>3</w:t>
      </w:r>
      <w:r>
        <w:rPr>
          <w:rFonts w:hint="eastAsia" w:asciiTheme="minorEastAsia" w:hAnsiTheme="minorEastAsia" w:eastAsiaTheme="minorEastAsia"/>
          <w:bCs/>
          <w:color w:val="auto"/>
          <w:szCs w:val="21"/>
          <w:highlight w:val="none"/>
        </w:rPr>
        <w:t>）</w:t>
      </w:r>
      <w:r>
        <w:rPr>
          <w:rFonts w:hint="eastAsia" w:asciiTheme="minorEastAsia" w:hAnsiTheme="minorEastAsia" w:eastAsiaTheme="minorEastAsia"/>
          <w:bCs/>
          <w:color w:val="auto"/>
          <w:szCs w:val="21"/>
          <w:highlight w:val="none"/>
          <w:lang w:val="en-US" w:eastAsia="zh-CN"/>
        </w:rPr>
        <w:t>连续巨额</w:t>
      </w:r>
      <w:r>
        <w:rPr>
          <w:rFonts w:hint="eastAsia" w:asciiTheme="minorEastAsia" w:hAnsiTheme="minorEastAsia" w:eastAsiaTheme="minorEastAsia"/>
          <w:bCs/>
          <w:color w:val="auto"/>
          <w:szCs w:val="21"/>
          <w:highlight w:val="none"/>
        </w:rPr>
        <w:t>赎回：连续</w:t>
      </w:r>
      <w:r>
        <w:rPr>
          <w:rFonts w:asciiTheme="minorEastAsia" w:hAnsiTheme="minorEastAsia" w:eastAsiaTheme="minorEastAsia"/>
          <w:bCs/>
          <w:color w:val="auto"/>
          <w:szCs w:val="21"/>
          <w:highlight w:val="none"/>
        </w:rPr>
        <w:t>2</w:t>
      </w:r>
      <w:r>
        <w:rPr>
          <w:rFonts w:hint="eastAsia" w:asciiTheme="minorEastAsia" w:hAnsiTheme="minorEastAsia" w:eastAsiaTheme="minorEastAsia"/>
          <w:bCs/>
          <w:color w:val="auto"/>
          <w:szCs w:val="21"/>
          <w:highlight w:val="none"/>
        </w:rPr>
        <w:t>（含）个开放日以上发生巨额赎回，如私募基金管理人认为有必要，可暂停接受基金的赎回申请；已经接受的赎回申请可以延缓支付赎回款项，但不得超过</w:t>
      </w:r>
      <w:r>
        <w:rPr>
          <w:rFonts w:asciiTheme="minorEastAsia" w:hAnsiTheme="minorEastAsia" w:eastAsiaTheme="minorEastAsia"/>
          <w:bCs/>
          <w:color w:val="auto"/>
          <w:szCs w:val="21"/>
          <w:highlight w:val="none"/>
        </w:rPr>
        <w:t>20</w:t>
      </w:r>
      <w:r>
        <w:rPr>
          <w:rFonts w:hint="eastAsia" w:asciiTheme="minorEastAsia" w:hAnsiTheme="minorEastAsia" w:eastAsiaTheme="minorEastAsia"/>
          <w:bCs/>
          <w:color w:val="auto"/>
          <w:szCs w:val="21"/>
          <w:highlight w:val="none"/>
        </w:rPr>
        <w:t>个交易日，并应当以书面或其他形式通知赎回申请基金份额持有人。</w:t>
      </w:r>
    </w:p>
    <w:p w14:paraId="7B3DFA0B">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巨额赎回部分延期赎回的通知：当发生巨额赎回并且私募基金管理人决定部分延期赎回时，私募基金管理人应当选择电子邮件、电话、手机短信等方式在开放日结束后三个交易日内通知基金份额持有人，并说明相关处理方法。</w:t>
      </w:r>
    </w:p>
    <w:p w14:paraId="3DD837FE">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w:t>
      </w:r>
      <w:r>
        <w:rPr>
          <w:rFonts w:hint="eastAsia" w:asciiTheme="minorEastAsia" w:hAnsiTheme="minorEastAsia" w:eastAsiaTheme="minorEastAsia"/>
          <w:color w:val="auto"/>
          <w:szCs w:val="21"/>
          <w:highlight w:val="none"/>
          <w:lang w:val="en-US" w:eastAsia="zh-CN"/>
        </w:rPr>
        <w:t>二</w:t>
      </w:r>
      <w:r>
        <w:rPr>
          <w:rFonts w:hint="eastAsia" w:asciiTheme="minorEastAsia" w:hAnsiTheme="minorEastAsia" w:eastAsiaTheme="minorEastAsia"/>
          <w:color w:val="auto"/>
          <w:szCs w:val="21"/>
          <w:highlight w:val="none"/>
        </w:rPr>
        <w:t>）发生全部份额赎回时的特殊处理</w:t>
      </w:r>
    </w:p>
    <w:p w14:paraId="2DECFC28">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48"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bCs/>
          <w:color w:val="auto"/>
          <w:szCs w:val="21"/>
          <w:highlight w:val="none"/>
        </w:rPr>
        <w:t>如本基金全体份额持有人申请赎回所持有的基金份额，致使所有基金份额被赎回，且无在途申购申请的，</w:t>
      </w:r>
      <w:r>
        <w:rPr>
          <w:rFonts w:hint="eastAsia" w:asciiTheme="minorEastAsia" w:hAnsiTheme="minorEastAsia" w:eastAsiaTheme="minorEastAsia"/>
          <w:color w:val="auto"/>
          <w:szCs w:val="21"/>
          <w:highlight w:val="none"/>
        </w:rPr>
        <w:t>私募基金管理人应当拒绝接受该等赎回申请，按照合同约定终止基金运作并进行清算。</w:t>
      </w:r>
    </w:p>
    <w:p w14:paraId="45CB514A">
      <w:pPr>
        <w:tabs>
          <w:tab w:val="left" w:pos="0"/>
          <w:tab w:val="left" w:pos="720"/>
          <w:tab w:val="left" w:pos="1440"/>
          <w:tab w:val="left" w:pos="2160"/>
          <w:tab w:val="left" w:pos="2880"/>
          <w:tab w:val="left" w:pos="3600"/>
          <w:tab w:val="left" w:pos="4320"/>
        </w:tabs>
        <w:autoSpaceDE w:val="0"/>
        <w:autoSpaceDN w:val="0"/>
        <w:adjustRightInd w:val="0"/>
        <w:snapToGrid w:val="0"/>
        <w:spacing w:before="93" w:beforeLines="30" w:after="93" w:afterLines="30" w:line="348" w:lineRule="auto"/>
        <w:ind w:firstLine="420" w:firstLineChars="200"/>
        <w:rPr>
          <w:rFonts w:hint="eastAsia" w:asciiTheme="minorEastAsia" w:hAnsiTheme="minorEastAsia" w:eastAsiaTheme="minorEastAsia"/>
          <w:color w:val="auto"/>
          <w:szCs w:val="21"/>
          <w:highlight w:val="none"/>
        </w:rPr>
      </w:pPr>
      <w:r>
        <w:rPr>
          <w:rStyle w:val="9"/>
          <w:rFonts w:hint="eastAsia" w:asciiTheme="minorEastAsia" w:hAnsiTheme="minorEastAsia" w:eastAsiaTheme="minorEastAsia"/>
          <w:color w:val="auto"/>
          <w:highlight w:val="none"/>
        </w:rPr>
        <w:t>本基金存续期间不开放赎回的，不适用上述约定。</w:t>
      </w:r>
    </w:p>
    <w:p w14:paraId="71096D6E">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w:t>
      </w:r>
      <w:r>
        <w:rPr>
          <w:rFonts w:hint="eastAsia" w:asciiTheme="minorEastAsia" w:hAnsiTheme="minorEastAsia" w:eastAsiaTheme="minorEastAsia"/>
          <w:color w:val="auto"/>
          <w:szCs w:val="21"/>
          <w:highlight w:val="none"/>
          <w:lang w:val="en-US" w:eastAsia="zh-CN"/>
        </w:rPr>
        <w:t>三</w:t>
      </w:r>
      <w:r>
        <w:rPr>
          <w:rFonts w:hint="eastAsia" w:asciiTheme="minorEastAsia" w:hAnsiTheme="minorEastAsia" w:eastAsiaTheme="minorEastAsia"/>
          <w:color w:val="auto"/>
          <w:szCs w:val="21"/>
          <w:highlight w:val="none"/>
        </w:rPr>
        <w:t>）基金的转让</w:t>
      </w:r>
    </w:p>
    <w:p w14:paraId="2DD5E08C">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可以通过现时或将来法律、法规或业务规则允许的方式办理基金份额转让业务，并应当遵守业务办理机构和交易场所的各项规定。业务办理机构和交易场所如开展份额转让业务，在份额登记机构参与完成测试联通后方可进行基金份额转让。</w:t>
      </w:r>
    </w:p>
    <w:p w14:paraId="2579E35C">
      <w:pPr>
        <w:autoSpaceDE w:val="0"/>
        <w:autoSpaceDN w:val="0"/>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基金份额转让须按照中国基金业协会要求进行份额登记。转让期间及转让后，持有基金份额的合格投资者数量合计不得超过</w:t>
      </w:r>
      <w:r>
        <w:rPr>
          <w:rFonts w:asciiTheme="minorEastAsia" w:hAnsiTheme="minorEastAsia" w:eastAsiaTheme="minorEastAsia"/>
          <w:color w:val="auto"/>
          <w:szCs w:val="21"/>
          <w:highlight w:val="none"/>
        </w:rPr>
        <w:t>200人，且基金份额持有人仅可向符合《私募办法》规定的合格投资者转让基金份额。</w:t>
      </w:r>
      <w:r>
        <w:rPr>
          <w:rFonts w:hint="eastAsia" w:asciiTheme="minorEastAsia" w:hAnsiTheme="minorEastAsia" w:eastAsiaTheme="minorEastAsia"/>
          <w:color w:val="auto"/>
          <w:szCs w:val="21"/>
          <w:highlight w:val="none"/>
        </w:rPr>
        <w:t>此外，任意一类基金份额的受让人需符合本合同“基金的基本情况”章节之“基金的份额分类”中该类别基金份额的分类标准，本条由管理人自行监控，托管人及份额登记机构对此不承担任何审核、复核职责。</w:t>
      </w:r>
      <w:r>
        <w:rPr>
          <w:rFonts w:asciiTheme="minorEastAsia" w:hAnsiTheme="minorEastAsia" w:eastAsiaTheme="minorEastAsia"/>
          <w:color w:val="auto"/>
          <w:szCs w:val="21"/>
          <w:highlight w:val="none"/>
        </w:rPr>
        <w:t>如果份额转让因不符合法律法规或业务办理机构的规则未办理成功的，基金份额持有人应当自行承担相应风险和损失。</w:t>
      </w:r>
    </w:p>
    <w:p w14:paraId="6A1ACD4F">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32" w:name="_Toc15424"/>
      <w:bookmarkStart w:id="33" w:name="_Toc459392410"/>
      <w:bookmarkStart w:id="34" w:name="_Toc110605409"/>
      <w:r>
        <w:rPr>
          <w:rFonts w:hint="eastAsia" w:asciiTheme="minorEastAsia" w:hAnsiTheme="minorEastAsia" w:eastAsiaTheme="minorEastAsia"/>
          <w:b/>
          <w:color w:val="auto"/>
          <w:sz w:val="28"/>
          <w:szCs w:val="28"/>
          <w:highlight w:val="none"/>
        </w:rPr>
        <w:t>八、当事人及权利义务</w:t>
      </w:r>
      <w:bookmarkEnd w:id="19"/>
      <w:bookmarkEnd w:id="32"/>
      <w:bookmarkEnd w:id="33"/>
      <w:bookmarkEnd w:id="34"/>
    </w:p>
    <w:p w14:paraId="4776BEE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（一）基金份额持有人</w:t>
      </w:r>
    </w:p>
    <w:p w14:paraId="67A95860">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1、基金份额持有人概况</w:t>
      </w:r>
    </w:p>
    <w:p w14:paraId="0EE2D737">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基金投资者签署本合同，履行出资义务并取得基金份额，即成为本基金份额持有人。基金份额持有人的详细情况在合同签署页列示。本基金设定为均等份额。除本合同另有约定外，每份份额具有同等的合法权益。</w:t>
      </w:r>
    </w:p>
    <w:p w14:paraId="1267ABA2">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2、基金份额持有人的权利</w:t>
      </w:r>
    </w:p>
    <w:p w14:paraId="6A654690">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（1）取得基金财产收益；</w:t>
      </w:r>
    </w:p>
    <w:p w14:paraId="293D3C86">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（2）取得清算后的剩余基金财产；</w:t>
      </w:r>
    </w:p>
    <w:p w14:paraId="362780CA">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（3）按照本合同的约定申购、赎回和转让基金份额；</w:t>
      </w:r>
    </w:p>
    <w:p w14:paraId="2806F6C7">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（4）根据本合同的约定，参加或申请召集基金份额持有人大会，行使相关职权；</w:t>
      </w:r>
    </w:p>
    <w:p w14:paraId="01826D1F">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（5）监督基金管理人履行投资管理及基金托管人履行托管义务的情况；</w:t>
      </w:r>
    </w:p>
    <w:p w14:paraId="34FB9753">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（6）按照本合同约定的时间和方式获得基金的信息披露资料；</w:t>
      </w:r>
    </w:p>
    <w:p w14:paraId="5113D8C4">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（7）因基金管理人、基金托管人违反本合同的约定导致合法权益受到损害的，有权得到赔偿；</w:t>
      </w:r>
    </w:p>
    <w:p w14:paraId="40CEA8EB">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（8）国家有关法律法规、监管机构及本合同规定的其他权利。</w:t>
      </w:r>
    </w:p>
    <w:p w14:paraId="5A52C6E0">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3、基金份额持有人的义务</w:t>
      </w:r>
    </w:p>
    <w:p w14:paraId="18710F46">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（1）认真阅读本合同，保证投资资金的来源及用途合法；</w:t>
      </w:r>
    </w:p>
    <w:p w14:paraId="19EA0A94">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接受合格投资者确认程序，如实填写风险识别能力和承担能力调查问卷，如实承诺资产或者收入情况，并对其真实性、准确性和完整性负责，承诺为合格投资者；以合伙企业、契约等非法人形式汇集多数投资者资金直接或者间接投资于本基金的，应向基金管理人充分披露上述情况及最终投资者的信息，</w:t>
      </w:r>
      <w:r>
        <w:rPr>
          <w:rFonts w:hint="eastAsia" w:hAnsi="宋体"/>
          <w:color w:val="auto"/>
          <w:szCs w:val="21"/>
          <w:highlight w:val="none"/>
        </w:rPr>
        <w:t>但根据法律法规规定、部门规章、行业自律指引规定等可豁免情形的除外</w:t>
      </w:r>
      <w:r>
        <w:rPr>
          <w:rFonts w:hint="eastAsia" w:asciiTheme="minorEastAsia" w:hAnsiTheme="minorEastAsia" w:eastAsiaTheme="minorEastAsia"/>
          <w:color w:val="auto"/>
          <w:szCs w:val="21"/>
          <w:highlight w:val="none"/>
        </w:rPr>
        <w:t>；</w:t>
      </w:r>
    </w:p>
    <w:p w14:paraId="4B5D3FC7">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（3）认真阅读并签署风险揭示书；</w:t>
      </w:r>
    </w:p>
    <w:p w14:paraId="752D9A09">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（4）保证其经办人享有签署包括本合同在内的基金相关文件的权利，并就签署行为已履行必要的批准或授权手续，且履行上述文件不会违反任何对其有约束力的法律法规、公司章程、合同协议的约定；</w:t>
      </w:r>
    </w:p>
    <w:p w14:paraId="65F4F3D8">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（5）按照本合同约定缴纳基金份额的认购、申购款项，承担本合同约定的管理费、托管费及其他相关费用；</w:t>
      </w:r>
    </w:p>
    <w:p w14:paraId="6C26A242">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（6）按本合同约定承担基金的投资损失；</w:t>
      </w:r>
    </w:p>
    <w:p w14:paraId="732DE02C">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（7）向基金管理人或基金代销机构提供法律法规规定的信息资料及身份证明文件，配合基金管理人或其代销机构的尽职调查与反洗钱工作；</w:t>
      </w:r>
    </w:p>
    <w:p w14:paraId="0405D634">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（8）保守商业秘密，不得泄露基金的投资计划或意向等；</w:t>
      </w:r>
    </w:p>
    <w:p w14:paraId="64311572">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（9）不得违反本合同的约定干涉基金管理人的投资行为；</w:t>
      </w:r>
    </w:p>
    <w:p w14:paraId="6E020642">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（10）不得从事任何有损基金及其他基金份额持有人、基金管理人管理的其他基金及基金托管人托管的其他基金合法权益的活动；</w:t>
      </w:r>
    </w:p>
    <w:p w14:paraId="3F03CD98">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（11）申购、赎回、分配等基金交易过程中因任何原因获得不当得利的，应予返还；</w:t>
      </w:r>
    </w:p>
    <w:p w14:paraId="7458FC62">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（12）保证其享有签署包括本合同在内的基金相关文件的权利，并就签署行为已履行必要的批准或授权手续，且履行上述文件不会违反任何对其有约束力的法律法规、公司章程、合同协议的约定；</w:t>
      </w:r>
    </w:p>
    <w:p w14:paraId="489A17CC">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（13）国家有关法律法规、监管机构及本合同规定的其他义务。</w:t>
      </w:r>
    </w:p>
    <w:p w14:paraId="287B01E1">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（二）基金管理人</w:t>
      </w:r>
    </w:p>
    <w:p w14:paraId="1BCBC4F2">
      <w:pPr>
        <w:pStyle w:val="15"/>
        <w:adjustRightInd w:val="0"/>
        <w:snapToGrid w:val="0"/>
        <w:spacing w:before="93" w:beforeLines="30" w:after="93" w:afterLines="3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1、基金管理人概况</w:t>
      </w:r>
    </w:p>
    <w:p w14:paraId="231A9EBF">
      <w:pPr>
        <w:adjustRightInd w:val="0"/>
        <w:snapToGrid w:val="0"/>
        <w:spacing w:before="93" w:beforeLines="30" w:after="93" w:afterLines="30" w:line="348" w:lineRule="auto"/>
        <w:ind w:firstLine="420" w:firstLineChars="200"/>
        <w:rPr>
          <w:rFonts w:hint="eastAsia" w:asciiTheme="minorEastAsia" w:hAnsiTheme="minorEastAsia" w:eastAsiaTheme="minorEastAsia"/>
          <w:color w:val="auto"/>
          <w:szCs w:val="21"/>
          <w:highlight w:val="none"/>
          <w:lang w:eastAsia="zh-CN"/>
        </w:rPr>
      </w:pPr>
      <w:r>
        <w:rPr>
          <w:rFonts w:asciiTheme="minorEastAsia" w:hAnsiTheme="minorEastAsia" w:eastAsiaTheme="minorEastAsia"/>
          <w:color w:val="auto"/>
          <w:szCs w:val="21"/>
          <w:highlight w:val="none"/>
        </w:rPr>
        <w:t>名称：</w:t>
      </w:r>
      <w:r>
        <w:rPr>
          <w:rFonts w:hint="eastAsia" w:asciiTheme="minorEastAsia" w:hAnsiTheme="minorEastAsia" w:eastAsiaTheme="minorEastAsia"/>
          <w:color w:val="auto"/>
          <w:szCs w:val="21"/>
          <w:highlight w:val="none"/>
          <w:lang w:eastAsia="zh-CN"/>
        </w:rPr>
        <w:t>石云科技股份有限公司</w:t>
      </w:r>
    </w:p>
    <w:p w14:paraId="23463328">
      <w:pPr>
        <w:adjustRightInd w:val="0"/>
        <w:snapToGrid w:val="0"/>
        <w:spacing w:before="93" w:beforeLines="30" w:after="93" w:afterLines="30" w:line="348"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住所：上海市闵行区平阳路258号一层D1188室 </w:t>
      </w:r>
    </w:p>
    <w:p w14:paraId="5A0F614D">
      <w:pPr>
        <w:adjustRightInd w:val="0"/>
        <w:snapToGrid w:val="0"/>
        <w:spacing w:before="93" w:beforeLines="30" w:after="93" w:afterLines="30" w:line="348"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通讯地址：上海市浦东新区浦东南路3618号E101、E201-E205</w:t>
      </w:r>
    </w:p>
    <w:p w14:paraId="14F1D23F">
      <w:pPr>
        <w:adjustRightInd w:val="0"/>
        <w:snapToGrid w:val="0"/>
        <w:spacing w:before="93" w:beforeLines="30" w:after="93" w:afterLines="30" w:line="348"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联系人：石中玉</w:t>
      </w:r>
    </w:p>
    <w:p w14:paraId="6DC08819">
      <w:pPr>
        <w:adjustRightInd w:val="0"/>
        <w:snapToGrid w:val="0"/>
        <w:spacing w:before="93" w:beforeLines="30" w:after="93" w:afterLines="30" w:line="348"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联系电话：021-58337673</w:t>
      </w:r>
    </w:p>
    <w:p w14:paraId="2DFB201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联系邮箱：operation@yibeiinv.com</w:t>
      </w:r>
    </w:p>
    <w:p w14:paraId="0B39E48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2、基金管理人的权利</w:t>
      </w:r>
    </w:p>
    <w:p w14:paraId="11C2ED8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（1）按照本合同的约定，独立管理和运用基金财产；</w:t>
      </w:r>
    </w:p>
    <w:p w14:paraId="1F18443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（2）按照本合同的约定，及时、足额获得基金管理人管理费用及业绩报酬（如有）；</w:t>
      </w:r>
    </w:p>
    <w:p w14:paraId="339FACF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（3）按照有关规定和本合同约定行使因基金财产投资所产生的权利；</w:t>
      </w:r>
    </w:p>
    <w:p w14:paraId="5A1202E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（4）根据本合同及其他有关规定，监督基金托管人；对于基金托管人违反本合同或有关法律法规规定的行为，对基金财产及其他当事人的利益造成重大损失的，应当及时采取措施制止；</w:t>
      </w:r>
    </w:p>
    <w:p w14:paraId="6526C10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基金管理人为保护投资者权益，可以在法律法规规定范围内，根据市场情况对本基金的认购、申购业务规则（包括但不限于总规模、单个基金投资者首次认购、申购金额、每次申购金额及持有的本基金总金额限制等）进行调整；</w:t>
      </w:r>
    </w:p>
    <w:p w14:paraId="557E498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（6）以基金管理人的名义，代表基金与其他第三方签署基金投资相关协议文件、行使诉讼权利或者实施其他法律行为；</w:t>
      </w:r>
    </w:p>
    <w:p w14:paraId="15D8E53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（7）自行销售或者委托有基金销售资格的机构销售基金，制定和调整有关基金销售的业务规则，并对代销机构的销售行为进行必要的监督；</w:t>
      </w:r>
    </w:p>
    <w:p w14:paraId="58E0645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基金管理人有权委托兴业证券股份有限公司作为私募基金服务机构为本基金提供估值核算等服务，并对其代理行为进行必要的监督和检查。基金管理人与私募基金服务机构另行签署运营外包服务及募集账户监督服务协议及补充协议（如有），对相关权利、义务进行约定；</w:t>
      </w:r>
    </w:p>
    <w:p w14:paraId="12095DE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（9）国家有关法律法规、监管机构及本合同规定的其他权利。</w:t>
      </w:r>
    </w:p>
    <w:p w14:paraId="0B797A5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3、基金管理人的义务</w:t>
      </w:r>
    </w:p>
    <w:p w14:paraId="58EBDBA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（1）履行基金管理人登记和基金备案手续；</w:t>
      </w:r>
    </w:p>
    <w:p w14:paraId="1F3858A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（2）按照诚实信用、勤勉尽责的原则履行受托人义务，管理和运用基金财产；</w:t>
      </w:r>
    </w:p>
    <w:p w14:paraId="7F47DD8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（3）除依据法律法规另有规定外，不得委托第三人运作基金财产；</w:t>
      </w:r>
    </w:p>
    <w:p w14:paraId="72DA061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（4）制作或委托代销机构制作调查问卷，对投资者的风险识别能力和风险承担能力进行评估，向符合法律法规规定的合格投资者非公开募集资金；</w:t>
      </w:r>
    </w:p>
    <w:p w14:paraId="6DD4BA9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（5）制作风险揭示书，向投资者充分揭示相关风险；</w:t>
      </w:r>
    </w:p>
    <w:p w14:paraId="7D82AB5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（6）配备足够的具有专业能力的人员进行投资分析、决策，以专业化的经营方式管理和运作基金财产；</w:t>
      </w:r>
    </w:p>
    <w:p w14:paraId="3FDA56B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（7）建立健全内部制度，保证所管理的基金财产与其管理的其他基金财产和基金管理人的固有财产相互独立，对所管理的不同财产分别管理，分别记账、分别投资；</w:t>
      </w:r>
    </w:p>
    <w:p w14:paraId="723E5E0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（8）按规定开设和注销基金的证券资金账户、期货账户等投资所需账户；</w:t>
      </w:r>
    </w:p>
    <w:p w14:paraId="350C41F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（9）不得利用基金财产或者职务之便，为本人或者投资者以外的人牟取利益，进行利益输送；</w:t>
      </w:r>
    </w:p>
    <w:p w14:paraId="67864EB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（10）自行担任或者委托其他机构担任基金的基金份额登记机构，委托其他基金份额登记机构办理注册登记业务时，对基金份额登记机构的行为进行必要的监督；</w:t>
      </w:r>
    </w:p>
    <w:p w14:paraId="1926019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（11）按照本合同的约定接受基金份额持有人和基金托管人的监督；</w:t>
      </w:r>
    </w:p>
    <w:p w14:paraId="5B15BD8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（12）根据相关法规及本合同的约定，向基金托管人提供基金交易数据、投资文件及基金其他相关数据与文件，并确保提供材料的合法、真实、完整和有效；</w:t>
      </w:r>
    </w:p>
    <w:p w14:paraId="2B79AAF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（13）按照本合同约定负责基金会计核算并编制基金财务会计报告；</w:t>
      </w:r>
    </w:p>
    <w:p w14:paraId="19654F2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（14）</w:t>
      </w:r>
      <w:r>
        <w:rPr>
          <w:rFonts w:hint="eastAsia" w:ascii="宋体" w:hAnsi="宋体"/>
          <w:color w:val="auto"/>
          <w:szCs w:val="21"/>
          <w:highlight w:val="none"/>
        </w:rPr>
        <w:t>按照本合同约定计算并向基金投资者披露基金份额净值、各类别基金份额净值或者投资收益情况</w:t>
      </w:r>
      <w:r>
        <w:rPr>
          <w:rFonts w:hint="eastAsia" w:asciiTheme="minorEastAsia" w:hAnsiTheme="minorEastAsia" w:eastAsiaTheme="minorEastAsia"/>
          <w:color w:val="auto"/>
          <w:szCs w:val="21"/>
          <w:highlight w:val="none"/>
        </w:rPr>
        <w:t>；</w:t>
      </w:r>
    </w:p>
    <w:p w14:paraId="349F4D7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（15）根据法律法规和本合同的规定，对基金份额持有人进行必要的信息披露，揭示基金财产运作情况，包括编制和向基金份额持有人提供基金定期报告；</w:t>
      </w:r>
    </w:p>
    <w:p w14:paraId="56EC1FB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（16）确定基金份额申购、赎回价格，采取适当、合理的措施确定基金份额交易价格的计算方法符合法律法规的规定和本合同的约定；</w:t>
      </w:r>
    </w:p>
    <w:p w14:paraId="510EF7A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（17）保守商业秘密，不得泄露基金的投资计划或意向等，法律法规另有规定的除外；</w:t>
      </w:r>
    </w:p>
    <w:p w14:paraId="09FCA82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（18）保存基金投资业务活动的全部会计资料，并妥善保存有关的合同、交易记录及其他相关资料，保存期限自基金清算终止之日起不得少于10年；</w:t>
      </w:r>
    </w:p>
    <w:p w14:paraId="1152849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（19）公平对待所管理的不同基金财产，不得从事任何有损基金财产及其他当事人利益的活动；</w:t>
      </w:r>
    </w:p>
    <w:p w14:paraId="03E481F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（20）按照基金合同约定的预警止损机制（如有）进行操作，并在预警止损机制不再生效（如有）或再次生效时（如有）及时通知基金份额持有人；</w:t>
      </w:r>
    </w:p>
    <w:p w14:paraId="4C715F0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）按照本合同的约定确定基金财产分配方案，及时向基金份额持有人分配收益；</w:t>
      </w:r>
    </w:p>
    <w:p w14:paraId="0DE1386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）组织并参加基金财产清算小组，参与基金财产的保管、清理、估价、变现和分配；</w:t>
      </w:r>
    </w:p>
    <w:p w14:paraId="69BA19D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）建立并保存投资者名册；</w:t>
      </w:r>
    </w:p>
    <w:p w14:paraId="7C8D92A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）面临解散、依法被撤销或者被依法宣告破产时，及时报告中国基金业协会并通知基金托管人和基金投资者；</w:t>
      </w:r>
    </w:p>
    <w:p w14:paraId="1347F38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5）应确保本基金</w:t>
      </w:r>
      <w:r>
        <w:rPr>
          <w:rFonts w:hint="eastAsia" w:asciiTheme="minorEastAsia" w:hAnsiTheme="minorEastAsia" w:eastAsiaTheme="minorEastAsia"/>
          <w:color w:val="auto"/>
          <w:szCs w:val="21"/>
          <w:highlight w:val="none"/>
        </w:rPr>
        <w:t>的</w:t>
      </w:r>
      <w:r>
        <w:rPr>
          <w:rFonts w:asciiTheme="minorEastAsia" w:hAnsiTheme="minorEastAsia" w:eastAsiaTheme="minorEastAsia"/>
          <w:color w:val="auto"/>
          <w:szCs w:val="21"/>
          <w:highlight w:val="none"/>
        </w:rPr>
        <w:t>宣传资料</w:t>
      </w:r>
      <w:r>
        <w:rPr>
          <w:rFonts w:hint="eastAsia" w:asciiTheme="minorEastAsia" w:hAnsiTheme="minorEastAsia" w:eastAsiaTheme="minorEastAsia"/>
          <w:color w:val="auto"/>
          <w:szCs w:val="21"/>
          <w:highlight w:val="none"/>
        </w:rPr>
        <w:t>或招募说明书</w:t>
      </w:r>
      <w:r>
        <w:rPr>
          <w:rFonts w:asciiTheme="minorEastAsia" w:hAnsiTheme="minorEastAsia" w:eastAsiaTheme="minorEastAsia"/>
          <w:color w:val="auto"/>
          <w:szCs w:val="21"/>
          <w:highlight w:val="none"/>
        </w:rPr>
        <w:t>真实、准确、完整，不得进行虚假宣传。制作的宣传材料</w:t>
      </w:r>
      <w:r>
        <w:rPr>
          <w:rFonts w:hint="eastAsia" w:asciiTheme="minorEastAsia" w:hAnsiTheme="minorEastAsia" w:eastAsiaTheme="minorEastAsia"/>
          <w:color w:val="auto"/>
          <w:szCs w:val="21"/>
          <w:highlight w:val="none"/>
        </w:rPr>
        <w:t>如</w:t>
      </w:r>
      <w:r>
        <w:rPr>
          <w:rFonts w:asciiTheme="minorEastAsia" w:hAnsiTheme="minorEastAsia" w:eastAsiaTheme="minorEastAsia"/>
          <w:color w:val="auto"/>
          <w:szCs w:val="21"/>
          <w:highlight w:val="none"/>
        </w:rPr>
        <w:t>涉及基金托管人的，仅可表述为“</w:t>
      </w:r>
      <w:r>
        <w:rPr>
          <w:rFonts w:hint="eastAsia" w:asciiTheme="minorEastAsia" w:hAnsiTheme="minorEastAsia" w:eastAsiaTheme="minorEastAsia"/>
          <w:color w:val="auto"/>
          <w:szCs w:val="21"/>
          <w:highlight w:val="none"/>
        </w:rPr>
        <w:t>华福证券</w:t>
      </w:r>
      <w:r>
        <w:rPr>
          <w:rFonts w:asciiTheme="minorEastAsia" w:hAnsiTheme="minorEastAsia" w:eastAsiaTheme="minorEastAsia"/>
          <w:color w:val="auto"/>
          <w:szCs w:val="21"/>
          <w:highlight w:val="none"/>
        </w:rPr>
        <w:t>为本</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的基金托管人”，不得</w:t>
      </w:r>
      <w:r>
        <w:rPr>
          <w:rFonts w:hint="eastAsia" w:asciiTheme="minorEastAsia" w:hAnsiTheme="minorEastAsia" w:eastAsiaTheme="minorEastAsia"/>
          <w:color w:val="auto"/>
          <w:szCs w:val="21"/>
          <w:highlight w:val="none"/>
        </w:rPr>
        <w:t>利用基金托管人商标、品牌及企业名称对本产品</w:t>
      </w:r>
      <w:r>
        <w:rPr>
          <w:rFonts w:asciiTheme="minorEastAsia" w:hAnsiTheme="minorEastAsia" w:eastAsiaTheme="minorEastAsia"/>
          <w:color w:val="auto"/>
          <w:szCs w:val="21"/>
          <w:highlight w:val="none"/>
        </w:rPr>
        <w:t>进行任何</w:t>
      </w:r>
      <w:r>
        <w:rPr>
          <w:rFonts w:hint="eastAsia" w:asciiTheme="minorEastAsia" w:hAnsiTheme="minorEastAsia" w:eastAsiaTheme="minorEastAsia"/>
          <w:color w:val="auto"/>
          <w:szCs w:val="21"/>
          <w:highlight w:val="none"/>
        </w:rPr>
        <w:t>商业</w:t>
      </w:r>
      <w:r>
        <w:rPr>
          <w:rFonts w:asciiTheme="minorEastAsia" w:hAnsiTheme="minorEastAsia" w:eastAsiaTheme="minorEastAsia"/>
          <w:color w:val="auto"/>
          <w:szCs w:val="21"/>
          <w:highlight w:val="none"/>
        </w:rPr>
        <w:t>宣传</w:t>
      </w:r>
      <w:r>
        <w:rPr>
          <w:rFonts w:hint="eastAsia" w:asciiTheme="minorEastAsia" w:hAnsiTheme="minorEastAsia" w:eastAsiaTheme="minorEastAsia"/>
          <w:color w:val="auto"/>
          <w:szCs w:val="21"/>
          <w:highlight w:val="none"/>
        </w:rPr>
        <w:t>或背书</w:t>
      </w:r>
      <w:r>
        <w:rPr>
          <w:rFonts w:asciiTheme="minorEastAsia" w:hAnsiTheme="minorEastAsia" w:eastAsiaTheme="minorEastAsia"/>
          <w:color w:val="auto"/>
          <w:szCs w:val="21"/>
          <w:highlight w:val="none"/>
        </w:rPr>
        <w:t>，基金托管人有权对基金管理人及本基金宣传材料进行检查，</w:t>
      </w:r>
      <w:r>
        <w:rPr>
          <w:rFonts w:hint="eastAsia" w:asciiTheme="minorEastAsia" w:hAnsiTheme="minorEastAsia" w:eastAsiaTheme="minorEastAsia"/>
          <w:color w:val="auto"/>
          <w:szCs w:val="21"/>
          <w:highlight w:val="none"/>
        </w:rPr>
        <w:t>如基金托管人发现</w:t>
      </w:r>
      <w:r>
        <w:rPr>
          <w:rFonts w:asciiTheme="minorEastAsia" w:hAnsiTheme="minorEastAsia" w:eastAsiaTheme="minorEastAsia"/>
          <w:color w:val="auto"/>
          <w:szCs w:val="21"/>
          <w:highlight w:val="none"/>
        </w:rPr>
        <w:t>基金管理人违反上述约定的，基金托管人有权向基金管理人追责</w:t>
      </w:r>
      <w:r>
        <w:rPr>
          <w:rFonts w:hint="eastAsia" w:asciiTheme="minorEastAsia" w:hAnsiTheme="minorEastAsia" w:eastAsiaTheme="minorEastAsia"/>
          <w:color w:val="auto"/>
          <w:szCs w:val="21"/>
          <w:highlight w:val="none"/>
        </w:rPr>
        <w:t>。基金投资者因基金宣传资料而作出的投资决策，属个人行为，基金托管人不因此决策造成的损失承担任何责任</w:t>
      </w:r>
      <w:r>
        <w:rPr>
          <w:rFonts w:asciiTheme="minorEastAsia" w:hAnsiTheme="minorEastAsia" w:eastAsiaTheme="minorEastAsia"/>
          <w:color w:val="auto"/>
          <w:szCs w:val="21"/>
          <w:highlight w:val="none"/>
        </w:rPr>
        <w:t>；</w:t>
      </w:r>
    </w:p>
    <w:p w14:paraId="45CDCB6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本合同的签署采用纸质合同的方式进行的，</w:t>
      </w:r>
      <w:r>
        <w:rPr>
          <w:rFonts w:hint="eastAsia" w:asciiTheme="minorEastAsia" w:hAnsiTheme="minorEastAsia" w:eastAsiaTheme="minorEastAsia"/>
          <w:color w:val="auto"/>
          <w:szCs w:val="21"/>
          <w:highlight w:val="none"/>
        </w:rPr>
        <w:t>基金管理人应</w:t>
      </w:r>
      <w:r>
        <w:rPr>
          <w:rFonts w:asciiTheme="minorEastAsia" w:hAnsiTheme="minorEastAsia" w:eastAsiaTheme="minorEastAsia"/>
          <w:color w:val="auto"/>
          <w:szCs w:val="21"/>
          <w:highlight w:val="none"/>
        </w:rPr>
        <w:t>妥善保管</w:t>
      </w:r>
      <w:r>
        <w:rPr>
          <w:rFonts w:hint="eastAsia" w:asciiTheme="minorEastAsia" w:hAnsiTheme="minorEastAsia" w:eastAsiaTheme="minorEastAsia"/>
          <w:color w:val="auto"/>
          <w:szCs w:val="21"/>
          <w:highlight w:val="none"/>
        </w:rPr>
        <w:t>本合同原件、按本合同约定的时间</w:t>
      </w:r>
      <w:r>
        <w:rPr>
          <w:rFonts w:asciiTheme="minorEastAsia" w:hAnsiTheme="minorEastAsia" w:eastAsiaTheme="minorEastAsia"/>
          <w:color w:val="auto"/>
          <w:szCs w:val="21"/>
          <w:highlight w:val="none"/>
        </w:rPr>
        <w:t>向基金托管人移交基金投资者签署的</w:t>
      </w:r>
      <w:r>
        <w:rPr>
          <w:rFonts w:hint="eastAsia" w:asciiTheme="minorEastAsia" w:hAnsiTheme="minorEastAsia" w:eastAsiaTheme="minorEastAsia"/>
          <w:color w:val="auto"/>
          <w:szCs w:val="21"/>
          <w:highlight w:val="none"/>
        </w:rPr>
        <w:t>本</w:t>
      </w:r>
      <w:r>
        <w:rPr>
          <w:rFonts w:asciiTheme="minorEastAsia" w:hAnsiTheme="minorEastAsia" w:eastAsiaTheme="minorEastAsia"/>
          <w:color w:val="auto"/>
          <w:szCs w:val="21"/>
          <w:highlight w:val="none"/>
        </w:rPr>
        <w:t>合同原件，因基金管理人未妥善保管或及时向基金托管人移交</w:t>
      </w:r>
      <w:r>
        <w:rPr>
          <w:rFonts w:hint="eastAsia" w:asciiTheme="minorEastAsia" w:hAnsiTheme="minorEastAsia" w:eastAsiaTheme="minorEastAsia"/>
          <w:color w:val="auto"/>
          <w:szCs w:val="21"/>
          <w:highlight w:val="none"/>
        </w:rPr>
        <w:t>本</w:t>
      </w:r>
      <w:r>
        <w:rPr>
          <w:rFonts w:asciiTheme="minorEastAsia" w:hAnsiTheme="minorEastAsia" w:eastAsiaTheme="minorEastAsia"/>
          <w:color w:val="auto"/>
          <w:szCs w:val="21"/>
          <w:highlight w:val="none"/>
        </w:rPr>
        <w:t>合同原件导致基金托管人损失的，基金管理人应予以赔偿</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如导致</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投资者损失的，应由基金管理人</w:t>
      </w:r>
      <w:r>
        <w:rPr>
          <w:rFonts w:hint="eastAsia" w:asciiTheme="minorEastAsia" w:hAnsiTheme="minorEastAsia" w:eastAsiaTheme="minorEastAsia"/>
          <w:color w:val="auto"/>
          <w:szCs w:val="21"/>
          <w:highlight w:val="none"/>
        </w:rPr>
        <w:t>予以赔偿</w:t>
      </w:r>
      <w:r>
        <w:rPr>
          <w:rFonts w:asciiTheme="minorEastAsia" w:hAnsiTheme="minorEastAsia" w:eastAsiaTheme="minorEastAsia"/>
          <w:color w:val="auto"/>
          <w:szCs w:val="21"/>
          <w:highlight w:val="none"/>
        </w:rPr>
        <w:t>；</w:t>
      </w:r>
    </w:p>
    <w:p w14:paraId="6DD78A0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7</w:t>
      </w:r>
      <w:r>
        <w:rPr>
          <w:rFonts w:hint="eastAsia" w:asciiTheme="minorEastAsia" w:hAnsiTheme="minorEastAsia" w:eastAsiaTheme="minorEastAsia"/>
          <w:color w:val="auto"/>
          <w:szCs w:val="21"/>
          <w:highlight w:val="none"/>
        </w:rPr>
        <w:t>）在本基金发生变更、展期、终止等情形时，按中国基金业协会规定进行备案；</w:t>
      </w:r>
    </w:p>
    <w:p w14:paraId="7914C22F">
      <w:pPr>
        <w:adjustRightInd w:val="0"/>
        <w:snapToGrid w:val="0"/>
        <w:spacing w:before="93" w:beforeLines="30" w:after="93" w:afterLines="30" w:line="360" w:lineRule="auto"/>
        <w:ind w:firstLine="420" w:firstLineChars="200"/>
        <w:rPr>
          <w:rFonts w:hint="eastAsia" w:asciiTheme="minorEastAsia" w:hAnsiTheme="minorEastAsia" w:eastAsiaTheme="minorEastAsia"/>
          <w:b w:val="0"/>
          <w:bCs w:val="0"/>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8</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b w:val="0"/>
          <w:bCs w:val="0"/>
          <w:color w:val="auto"/>
          <w:szCs w:val="21"/>
          <w:highlight w:val="none"/>
        </w:rPr>
        <w:t>管理人管理的私募证券投资基金接受其他私募基金或者资产管理产品投资的，应当授权其基金托管人将经复核的基金估值信息提供给上层基金托管人；</w:t>
      </w:r>
    </w:p>
    <w:p w14:paraId="7002CE84">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29</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b w:val="0"/>
          <w:bCs w:val="0"/>
          <w:color w:val="auto"/>
          <w:szCs w:val="21"/>
          <w:highlight w:val="none"/>
        </w:rPr>
        <w:t>基金管理人应当授权服务机构将基金份额登记信息在基金份额确认后2个工作日内提供给该基金托管人；</w:t>
      </w:r>
    </w:p>
    <w:p w14:paraId="17F5640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30</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国家有关法律法规、监管机构及本合同规定的其他义务。</w:t>
      </w:r>
    </w:p>
    <w:p w14:paraId="3DA497B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（三）基金托管人</w:t>
      </w:r>
    </w:p>
    <w:p w14:paraId="215DD7D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1、基金托管人概况</w:t>
      </w:r>
    </w:p>
    <w:p w14:paraId="73DB317A">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名称：</w:t>
      </w:r>
      <w:r>
        <w:rPr>
          <w:rFonts w:hint="eastAsia" w:asciiTheme="minorEastAsia" w:hAnsiTheme="minorEastAsia" w:eastAsiaTheme="minorEastAsia"/>
          <w:color w:val="auto"/>
          <w:szCs w:val="21"/>
          <w:highlight w:val="none"/>
          <w:lang w:eastAsia="zh-CN"/>
        </w:rPr>
        <w:t>招商证券股份有限公司</w:t>
      </w:r>
    </w:p>
    <w:p w14:paraId="4A43EC1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住址：福州市鼓楼区鼓屏路27号1#楼3层</w:t>
      </w:r>
    </w:p>
    <w:p w14:paraId="745B357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通讯地址：</w:t>
      </w:r>
      <w:r>
        <w:rPr>
          <w:color w:val="auto"/>
          <w:highlight w:val="none"/>
        </w:rPr>
        <w:t>福建省福州市台江区江滨中大道380号宝地</w:t>
      </w:r>
      <w:r>
        <w:rPr>
          <w:rFonts w:hint="eastAsia"/>
          <w:color w:val="auto"/>
          <w:highlight w:val="none"/>
          <w:lang w:val="en-US" w:eastAsia="zh-CN"/>
        </w:rPr>
        <w:t>广场</w:t>
      </w:r>
      <w:r>
        <w:rPr>
          <w:color w:val="auto"/>
          <w:highlight w:val="none"/>
        </w:rPr>
        <w:t>18楼</w:t>
      </w:r>
    </w:p>
    <w:p w14:paraId="2245FC2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联系电话：0</w:t>
      </w:r>
      <w:r>
        <w:rPr>
          <w:rFonts w:asciiTheme="minorEastAsia" w:hAnsiTheme="minorEastAsia" w:eastAsiaTheme="minorEastAsia"/>
          <w:color w:val="auto"/>
          <w:szCs w:val="21"/>
          <w:highlight w:val="none"/>
        </w:rPr>
        <w:t>21</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20655027</w:t>
      </w:r>
    </w:p>
    <w:p w14:paraId="7D617F7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网址：www.hfzq.com.cn</w:t>
      </w:r>
    </w:p>
    <w:p w14:paraId="5520493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2、基金托管人的权利</w:t>
      </w:r>
    </w:p>
    <w:p w14:paraId="34AA219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（1）按照本合同的约定，及时、足额获得基金托管费用；</w:t>
      </w:r>
    </w:p>
    <w:p w14:paraId="4FF0C9C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依据法律法规规定和本合同约定，监督基金管理人对基金财产的投资运作，对于基金管理人违反法律法规规定和本合同约定、对基金财产及其他当事人的利益造成重大损失的情形，有权报告中国基金业协会并采取必要措施；</w:t>
      </w:r>
    </w:p>
    <w:p w14:paraId="7860B73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（3）按照本合同的约定，依法保管基金财产；</w:t>
      </w:r>
    </w:p>
    <w:p w14:paraId="523F879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（4）除法律法规另有规定的情况外，基金托管人对因基金管理人原因造成的基金财产损失不承担责任；</w:t>
      </w:r>
    </w:p>
    <w:p w14:paraId="70D8BF2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（5）国家有关法律法规、监管机构及本合同规定的其他权利。</w:t>
      </w:r>
    </w:p>
    <w:p w14:paraId="697685E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3、基金托管人的义务</w:t>
      </w:r>
    </w:p>
    <w:p w14:paraId="0621987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（1）按照本合同的约定安全保管基金财产；</w:t>
      </w:r>
    </w:p>
    <w:p w14:paraId="7616306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（2）具有符合要求的营业场所，配备足够的、合格专职人员，负责基金财产托管事宜；</w:t>
      </w:r>
    </w:p>
    <w:p w14:paraId="6DDAC7E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（3）对所托管的不同基金财产分别设置账户，确保基金财产的完整与独立；</w:t>
      </w:r>
    </w:p>
    <w:p w14:paraId="34FA754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（4）除依据法律法规规定和本合同的约定外，不得为基金托管人及任何第三人谋取利益，不得委托第三人托管基金财产；</w:t>
      </w:r>
    </w:p>
    <w:p w14:paraId="0F6BB1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（5）按规定开设和注销基金的托管资金账户、证券账户（一码通账户）等投资所需账户；</w:t>
      </w:r>
    </w:p>
    <w:p w14:paraId="04E5DEE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（6）复核基金份额净值</w:t>
      </w:r>
      <w:r>
        <w:rPr>
          <w:rFonts w:hint="eastAsia" w:ascii="宋体" w:hAnsi="宋体"/>
          <w:color w:val="auto"/>
          <w:szCs w:val="21"/>
          <w:highlight w:val="none"/>
        </w:rPr>
        <w:t>、各类别基金份额净值</w:t>
      </w:r>
      <w:r>
        <w:rPr>
          <w:rFonts w:hint="eastAsia" w:asciiTheme="minorEastAsia" w:hAnsiTheme="minorEastAsia" w:eastAsiaTheme="minorEastAsia"/>
          <w:color w:val="auto"/>
          <w:szCs w:val="21"/>
          <w:highlight w:val="none"/>
        </w:rPr>
        <w:t>；</w:t>
      </w:r>
    </w:p>
    <w:p w14:paraId="4EC2005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（7）办理与基金托管业务有关的信息披露事项；</w:t>
      </w:r>
    </w:p>
    <w:p w14:paraId="24986B0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（8）根据相关法律法规和本合同约定复核基金管理人编制的基金定期报告，并定期出具书面意见；</w:t>
      </w:r>
    </w:p>
    <w:p w14:paraId="2FFE565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（9）按照本合同的约定，根据基金管理人或其授权人的资金划拨指令，及时办理清算、交割事宜；</w:t>
      </w:r>
    </w:p>
    <w:p w14:paraId="0DC6C8E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（10）按照法律法规规定，妥善保存基金管理业务活动有关合同、凭证等文件资料；</w:t>
      </w:r>
    </w:p>
    <w:p w14:paraId="0370A1D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（11）公平对待所托管的不同基金财产，不得从事任何有损基金财产及其他当事人利益的活动；</w:t>
      </w:r>
    </w:p>
    <w:p w14:paraId="23862FF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（12）保守商业秘密，除法律法规规定和本合同约定外，不得向他人泄露本基金的有关信息；</w:t>
      </w:r>
    </w:p>
    <w:p w14:paraId="3FBC5F1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（13）根据相关法律法规要求的保存期限，保存基金投资业务活动的全部会计资料，并妥善保存有关的合同、交易记录及其他相关资料；</w:t>
      </w:r>
    </w:p>
    <w:p w14:paraId="4500EC1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（14）</w:t>
      </w:r>
      <w:r>
        <w:rPr>
          <w:rFonts w:hint="eastAsia" w:ascii="宋体" w:hAnsi="宋体"/>
          <w:b/>
          <w:color w:val="auto"/>
          <w:highlight w:val="none"/>
        </w:rPr>
        <w:t>基金托管人仅根据经核对一致的估值数据，以基金托管人承诺监督的投资范围和投资限制为限（具体详见“</w:t>
      </w:r>
      <w:r>
        <w:rPr>
          <w:rFonts w:hint="eastAsia" w:ascii="宋体" w:hAnsi="宋体"/>
          <w:b/>
          <w:color w:val="auto"/>
          <w:highlight w:val="none"/>
          <w:lang w:val="en-US" w:eastAsia="zh-CN"/>
        </w:rPr>
        <w:t>越权交易</w:t>
      </w:r>
      <w:r>
        <w:rPr>
          <w:rFonts w:hint="eastAsia" w:ascii="宋体" w:hAnsi="宋体"/>
          <w:b/>
          <w:color w:val="auto"/>
          <w:highlight w:val="none"/>
        </w:rPr>
        <w:t>”章节）对基金的直接投资进行监督</w:t>
      </w:r>
      <w:r>
        <w:rPr>
          <w:rFonts w:hint="eastAsia" w:ascii="宋体" w:hAnsi="宋体"/>
          <w:color w:val="auto"/>
          <w:highlight w:val="none"/>
        </w:rPr>
        <w:t>，</w:t>
      </w:r>
      <w:r>
        <w:rPr>
          <w:rFonts w:hint="eastAsia" w:asciiTheme="minorEastAsia" w:hAnsiTheme="minorEastAsia" w:eastAsiaTheme="minorEastAsia"/>
          <w:color w:val="auto"/>
          <w:szCs w:val="21"/>
          <w:highlight w:val="none"/>
        </w:rPr>
        <w:t>发现基金管理人的投资指令违反法律法规、及本合同约定的，应当拒绝执行，立即通知基金管理人；发现基金管理人依据交易程序已经生效的投资指令违反法律法规、及本合同约定的，应当立即通知基金管理人；</w:t>
      </w:r>
    </w:p>
    <w:p w14:paraId="1FA9FF3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（15）按照本合同约定制作相关账册并与基金管理人核对。</w:t>
      </w:r>
    </w:p>
    <w:p w14:paraId="4A20F8E7">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35" w:name="_Toc13490"/>
      <w:bookmarkStart w:id="36" w:name="_Toc110605410"/>
      <w:bookmarkStart w:id="37" w:name="_Toc459392411"/>
      <w:r>
        <w:rPr>
          <w:rFonts w:hint="eastAsia" w:asciiTheme="minorEastAsia" w:hAnsiTheme="minorEastAsia" w:eastAsiaTheme="minorEastAsia"/>
          <w:b/>
          <w:color w:val="auto"/>
          <w:sz w:val="28"/>
          <w:szCs w:val="28"/>
          <w:highlight w:val="none"/>
        </w:rPr>
        <w:t>九、基金份额持有人大会及日常机构</w:t>
      </w:r>
      <w:bookmarkEnd w:id="35"/>
      <w:bookmarkEnd w:id="36"/>
      <w:bookmarkEnd w:id="37"/>
    </w:p>
    <w:p w14:paraId="6F5C2E4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由基金份额持有人组成，基金份额持有人的合法授权代表有权代表基金份额持有人出席会议并表决。基金份额持有人大会不得直接参与或者干涉基金的投资管理活动。基金份额持有人持有的每一基金份额拥有平等的投票权。</w:t>
      </w:r>
    </w:p>
    <w:p w14:paraId="55F2EF3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本基金份额持有人大会不设日常机构。</w:t>
      </w:r>
    </w:p>
    <w:p w14:paraId="08166A1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（一）基金份额持有人大会的召开事由</w:t>
      </w:r>
    </w:p>
    <w:p w14:paraId="54FF6ED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1、当出现或需要决定下列事由之一的，应当召开基金份额持有人大会：</w:t>
      </w:r>
    </w:p>
    <w:p w14:paraId="7D95AFB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（1）延长本合同期限；</w:t>
      </w:r>
    </w:p>
    <w:p w14:paraId="5EE99D6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（2）提前终止本合同（按照本合同约定的提前终止条件提前终止的情形除外）；</w:t>
      </w:r>
    </w:p>
    <w:p w14:paraId="6D33AF9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（3）更换基金管理人、基金托管人、基金管理人提请聘用或更换投资顾问；</w:t>
      </w:r>
    </w:p>
    <w:p w14:paraId="5A94674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（4）转换基金运作方式（法律法规和中国证监会另有约定的除外）；</w:t>
      </w:r>
    </w:p>
    <w:p w14:paraId="39D4B4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（5）提高基金管理人、基金托管人、投资顾问的报酬标准（法律法规和中国证监会另有约定的除外）；</w:t>
      </w:r>
    </w:p>
    <w:p w14:paraId="1EA022A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（6）变更基金投资目标、投资策略（法律法规和中国证监会另有约定的除外）；</w:t>
      </w:r>
    </w:p>
    <w:p w14:paraId="3BD82B4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（7）变更基金份额持有人大会程序；</w:t>
      </w:r>
    </w:p>
    <w:p w14:paraId="7D75A85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（8）基金管理人或基金托管人要求召开基金份额持有人大会；</w:t>
      </w:r>
    </w:p>
    <w:p w14:paraId="7F19A34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（9）单独或合计持有本基金总份额50%以上（含50%）基金份额的基金份额持有人（以基金管理人收到提议当日的基金份额计算，下同）就同一事项书面要求召开基金份额持有人大会；</w:t>
      </w:r>
    </w:p>
    <w:p w14:paraId="3E82A9A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（10）本合同约定的其他应当</w:t>
      </w:r>
      <w:r>
        <w:rPr>
          <w:rFonts w:asciiTheme="minorEastAsia" w:hAnsiTheme="minorEastAsia" w:eastAsiaTheme="minorEastAsia"/>
          <w:color w:val="auto"/>
          <w:szCs w:val="21"/>
          <w:highlight w:val="none"/>
        </w:rPr>
        <w:t>召开基金份额持有人大会的</w:t>
      </w:r>
      <w:r>
        <w:rPr>
          <w:rFonts w:hint="eastAsia" w:asciiTheme="minorEastAsia" w:hAnsiTheme="minorEastAsia" w:eastAsiaTheme="minorEastAsia"/>
          <w:color w:val="auto"/>
          <w:szCs w:val="21"/>
          <w:highlight w:val="none"/>
        </w:rPr>
        <w:t>事项；</w:t>
      </w:r>
    </w:p>
    <w:p w14:paraId="22C3E82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（11）私募基金管理人</w:t>
      </w:r>
      <w:r>
        <w:rPr>
          <w:rFonts w:hint="eastAsia" w:asciiTheme="minorEastAsia" w:hAnsiTheme="minorEastAsia" w:eastAsiaTheme="minorEastAsia"/>
          <w:color w:val="auto"/>
          <w:szCs w:val="21"/>
          <w:highlight w:val="none"/>
          <w:lang w:val="en-US" w:eastAsia="zh-CN"/>
        </w:rPr>
        <w:t>失联、</w:t>
      </w:r>
      <w:r>
        <w:rPr>
          <w:rFonts w:hint="eastAsia" w:asciiTheme="minorEastAsia" w:hAnsiTheme="minorEastAsia" w:eastAsiaTheme="minorEastAsia"/>
          <w:color w:val="auto"/>
          <w:szCs w:val="21"/>
          <w:highlight w:val="none"/>
        </w:rPr>
        <w:t>依法解散、被依法撤销、被依法宣告破产、被依法</w:t>
      </w:r>
      <w:r>
        <w:rPr>
          <w:rFonts w:hint="eastAsia" w:asciiTheme="minorEastAsia" w:hAnsiTheme="minorEastAsia" w:eastAsiaTheme="minorEastAsia"/>
          <w:color w:val="auto"/>
          <w:szCs w:val="21"/>
          <w:highlight w:val="none"/>
          <w:lang w:val="en-US" w:eastAsia="zh-CN"/>
        </w:rPr>
        <w:t>注销</w:t>
      </w:r>
      <w:r>
        <w:rPr>
          <w:rFonts w:hint="eastAsia" w:asciiTheme="minorEastAsia" w:hAnsiTheme="minorEastAsia" w:eastAsiaTheme="minorEastAsia"/>
          <w:color w:val="auto"/>
          <w:szCs w:val="21"/>
          <w:highlight w:val="none"/>
        </w:rPr>
        <w:t>私募基金管理人</w:t>
      </w:r>
      <w:r>
        <w:rPr>
          <w:rFonts w:hint="eastAsia" w:asciiTheme="minorEastAsia" w:hAnsiTheme="minorEastAsia" w:eastAsiaTheme="minorEastAsia"/>
          <w:color w:val="auto"/>
          <w:szCs w:val="21"/>
          <w:highlight w:val="none"/>
          <w:lang w:val="en-US" w:eastAsia="zh-CN"/>
        </w:rPr>
        <w:t>登记</w:t>
      </w:r>
      <w:r>
        <w:rPr>
          <w:rFonts w:hint="eastAsia" w:asciiTheme="minorEastAsia" w:hAnsiTheme="minorEastAsia" w:eastAsiaTheme="minorEastAsia"/>
          <w:color w:val="auto"/>
          <w:szCs w:val="21"/>
          <w:highlight w:val="none"/>
        </w:rPr>
        <w:t>等原因导致基金管理人客观上丧失继续管理私募投资基金的能力</w:t>
      </w:r>
      <w:r>
        <w:rPr>
          <w:rFonts w:hint="eastAsia" w:ascii="宋体" w:hAnsi="宋体"/>
          <w:color w:val="auto"/>
          <w:szCs w:val="21"/>
          <w:highlight w:val="none"/>
          <w:lang w:val="en-US" w:eastAsia="zh-CN"/>
        </w:rPr>
        <w:t>或</w:t>
      </w:r>
      <w:r>
        <w:rPr>
          <w:rFonts w:hint="eastAsia" w:ascii="宋体" w:hAnsi="宋体"/>
          <w:color w:val="auto"/>
          <w:szCs w:val="21"/>
          <w:highlight w:val="none"/>
        </w:rPr>
        <w:t>私募基金管理人</w:t>
      </w:r>
      <w:r>
        <w:rPr>
          <w:rFonts w:hint="eastAsia" w:ascii="宋体" w:hAnsi="宋体"/>
          <w:color w:val="auto"/>
          <w:szCs w:val="21"/>
          <w:highlight w:val="none"/>
          <w:lang w:val="en-US" w:eastAsia="zh-CN"/>
        </w:rPr>
        <w:t>怠于履行管理职责</w:t>
      </w:r>
      <w:r>
        <w:rPr>
          <w:rFonts w:hint="eastAsia" w:asciiTheme="minorEastAsia" w:hAnsiTheme="minorEastAsia" w:eastAsiaTheme="minorEastAsia"/>
          <w:color w:val="auto"/>
          <w:szCs w:val="21"/>
          <w:highlight w:val="none"/>
        </w:rPr>
        <w:t>，且管理人未按合同约定履行义务组织清算的；</w:t>
      </w:r>
    </w:p>
    <w:p w14:paraId="03FFBF2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（12）法律法规、监管部门规定的其他应当</w:t>
      </w:r>
      <w:r>
        <w:rPr>
          <w:rFonts w:asciiTheme="minorEastAsia" w:hAnsiTheme="minorEastAsia" w:eastAsiaTheme="minorEastAsia"/>
          <w:color w:val="auto"/>
          <w:szCs w:val="21"/>
          <w:highlight w:val="none"/>
        </w:rPr>
        <w:t>召开基金份额持有人大会的事项</w:t>
      </w:r>
      <w:r>
        <w:rPr>
          <w:rFonts w:hint="eastAsia" w:asciiTheme="minorEastAsia" w:hAnsiTheme="minorEastAsia" w:eastAsiaTheme="minorEastAsia"/>
          <w:color w:val="auto"/>
          <w:szCs w:val="21"/>
          <w:highlight w:val="none"/>
        </w:rPr>
        <w:t>。</w:t>
      </w:r>
    </w:p>
    <w:p w14:paraId="4E3FF56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针对前款所列事项，基金份额持有人以书面形式一致表示同意的（包括通过签署补充协议的方式）,可以不召开基金份额持有人大会直接作出决议,并由全体基金份额持有人在决议文件上签名、盖章。</w:t>
      </w:r>
    </w:p>
    <w:p w14:paraId="087C084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2、以下事项可由基金管理人自行决定，不需召开基金份额持有人大会：</w:t>
      </w:r>
    </w:p>
    <w:p w14:paraId="05B2E0E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（1）调低基金管理人的管理费、业绩报酬、申购费、销售服务费的费率及比例；</w:t>
      </w:r>
    </w:p>
    <w:p w14:paraId="209A36B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（2）投资经理的变更；</w:t>
      </w:r>
    </w:p>
    <w:p w14:paraId="5D53A18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（3）对本基金的认购、申购业务规则（包括但不限于总规模、单个基金投资者首次认购、申购金额、每次申购金额及持有的本基金总金额限制等）进行调整；</w:t>
      </w:r>
    </w:p>
    <w:p w14:paraId="6D60F0D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（4）本合同约定的其他事项；</w:t>
      </w:r>
    </w:p>
    <w:p w14:paraId="7F76677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（5）法律法规、监管部门规定可以由基金管理人自行决定的事项。</w:t>
      </w:r>
    </w:p>
    <w:p w14:paraId="1B3A7E4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3、以下事项可由基金管理人和基金托管人协商后修改，不需召开基金份额持有人大会：</w:t>
      </w:r>
    </w:p>
    <w:p w14:paraId="1D55C70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（1）调低基金托管人及</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服务机构的费用报酬标准；</w:t>
      </w:r>
    </w:p>
    <w:p w14:paraId="165857D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（2）因相应的法律法规或监管机构对本合同内容与格式要求发生变动而应当对本合同进行变更；</w:t>
      </w:r>
    </w:p>
    <w:p w14:paraId="55E96D8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（3）对本合同的修改对基金份额持有人利益无实质性不利影响或修改不涉及本合同当事人权利义务关系发生变化；</w:t>
      </w:r>
    </w:p>
    <w:p w14:paraId="269F837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（4）本合同约定的其他事项；</w:t>
      </w:r>
    </w:p>
    <w:p w14:paraId="4800CF1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（5）法律法规、监管部门规定可由基金管理人和基金托管人协商决定的其他事项。</w:t>
      </w:r>
    </w:p>
    <w:p w14:paraId="25B364A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4、除上述1-3项规定的事项之外，基金管理人有权决定是否召开基金份额持有人大会审议。</w:t>
      </w:r>
    </w:p>
    <w:p w14:paraId="45B499B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（二）会议召集人及召集方式</w:t>
      </w:r>
    </w:p>
    <w:p w14:paraId="4C8A235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1、除法律法规规定或本合同另有约定外，基金份额持有人大会由基金管理人召集。</w:t>
      </w:r>
    </w:p>
    <w:p w14:paraId="1A57D97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代表基金份额50%以上（含50%）的基金份额持有人就同一事项书面要求召开基金份额持有人大会，应当向基金管理人提出书面提议。基金管理人应当自收到书面提议之日起10日内决定是否召集，并书面告知提出提议的基金份额持有人代表。基金管理人决定召集的，应当自出具书面决定之日起30日内召开；基金管理人决定不召集或怠于履行召集职责（包括管理人客观上丧失继续管理基金能力无法召集、管理人在规定期限内对书面提议不予回复等情形），代表基金份额50%以上（含50%）的基金份额持有人有权自行召集。基金份额持有人依法自行召集基金份额持有人大会的，应于会议召开前10个工作日通知基金管理人。基金份额持有人自行召集基金份额持有人大会的，基金管理人应当予以配合，不得阻碍、干扰。</w:t>
      </w:r>
    </w:p>
    <w:p w14:paraId="0FE336A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3、基金份额持有人会议的召集人负责选择确定开会时间、地点、方式和权益登记日。</w:t>
      </w:r>
    </w:p>
    <w:p w14:paraId="750DB50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（三）召开基金份额持有人大会的通知时间、通知内容、通知方式</w:t>
      </w:r>
    </w:p>
    <w:p w14:paraId="5159508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1、召开基金份额持有人大会，召集人最迟应于会议召开前10个工作日通知全体基金份额持有人，基金份额持有人大会通知应至少载明以下内容：</w:t>
      </w:r>
    </w:p>
    <w:p w14:paraId="6936532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（1）会议召开的时间、地点和出席方式；</w:t>
      </w:r>
    </w:p>
    <w:p w14:paraId="4824B82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（2）会议拟审议的主要事项、议事程序和表决方式；</w:t>
      </w:r>
    </w:p>
    <w:p w14:paraId="3F5FC41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（3）有权出席基金份额持有人大会的基金份额持有人的权益登记日；</w:t>
      </w:r>
    </w:p>
    <w:p w14:paraId="0E9045A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（4）授权委托书的内容要求（包括但不限于授权代表身份、代理权限和代理有效期限等）、送达的期限、地点；</w:t>
      </w:r>
    </w:p>
    <w:p w14:paraId="19D6BEF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（5）会务联系人姓名、电话及其他联系方式；</w:t>
      </w:r>
    </w:p>
    <w:p w14:paraId="309D0E2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（6）出席会议者必须准备的文件和必须履行的手续；</w:t>
      </w:r>
    </w:p>
    <w:p w14:paraId="597F82A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（7）召集人需要通知的其他事项。</w:t>
      </w:r>
    </w:p>
    <w:p w14:paraId="5383BBD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2、采取通讯方式开会并进行表决的情况下，由会议召集人决定通讯方式和书面表决方式，并在会议通知中说明本次基金份额持有人大会所采取的具体通讯方式、委托的公证机关</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如有</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及其联系方式和联系人、书面表决意见的寄交截止时间和收取方式等事项。</w:t>
      </w:r>
    </w:p>
    <w:p w14:paraId="0C81B30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（四）基金份额持有人出席会议的方式</w:t>
      </w:r>
    </w:p>
    <w:p w14:paraId="169C9D6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基金份额持有人大会可通过现场开会方式、通讯开会方式或法律法规及监管部门允许的其他方式召开，会议的召开方式由会议召集人确定。</w:t>
      </w:r>
    </w:p>
    <w:p w14:paraId="7BB12D7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1、现场开会。由基金份额持有人亲自或委派授权代表出席，现场开会时基金管理人的授权代表应当出席。基金管理人不派代表列席的，不影响表决效力。</w:t>
      </w:r>
    </w:p>
    <w:p w14:paraId="7FC089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2、通讯开会。通讯开会系指基金份额持有人以通讯</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非</w:t>
      </w:r>
      <w:r>
        <w:rPr>
          <w:rFonts w:asciiTheme="minorEastAsia" w:hAnsiTheme="minorEastAsia" w:eastAsiaTheme="minorEastAsia"/>
          <w:color w:val="auto"/>
          <w:szCs w:val="21"/>
          <w:highlight w:val="none"/>
        </w:rPr>
        <w:t>现场）</w:t>
      </w:r>
      <w:r>
        <w:rPr>
          <w:rFonts w:hint="eastAsia" w:asciiTheme="minorEastAsia" w:hAnsiTheme="minorEastAsia" w:eastAsiaTheme="minorEastAsia"/>
          <w:color w:val="auto"/>
          <w:szCs w:val="21"/>
          <w:highlight w:val="none"/>
        </w:rPr>
        <w:t>的</w:t>
      </w:r>
      <w:r>
        <w:rPr>
          <w:rFonts w:asciiTheme="minorEastAsia" w:hAnsiTheme="minorEastAsia" w:eastAsiaTheme="minorEastAsia"/>
          <w:color w:val="auto"/>
          <w:szCs w:val="21"/>
          <w:highlight w:val="none"/>
        </w:rPr>
        <w:t>形式召开会议，并</w:t>
      </w:r>
      <w:r>
        <w:rPr>
          <w:rFonts w:hint="eastAsia" w:asciiTheme="minorEastAsia" w:hAnsiTheme="minorEastAsia" w:eastAsiaTheme="minorEastAsia"/>
          <w:color w:val="auto"/>
          <w:szCs w:val="21"/>
          <w:highlight w:val="none"/>
        </w:rPr>
        <w:t>将其对表决事项的投票以书面形式或会议规定的其他形式在约定的表决截止日以前按约定收取方式送达。通讯开会应以书面方式或会议规定的其他形式进行表决。</w:t>
      </w:r>
    </w:p>
    <w:p w14:paraId="1553910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3、基金份额持有人授权他人代为出席会议并表决的，授权方式应采用书面方式。</w:t>
      </w:r>
    </w:p>
    <w:p w14:paraId="6DED595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4、基金份额持有人大会应当有代表2/3以上（含2/3）基金份额总数的基金份额持有人参加，方可召开。未能满足上述条件的情况下，则召集人可另行确定并通知重新开会的时间。</w:t>
      </w:r>
    </w:p>
    <w:p w14:paraId="18EF69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（五）议事内容与程序</w:t>
      </w:r>
    </w:p>
    <w:p w14:paraId="3CEC217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1、议事内容及提案权</w:t>
      </w:r>
    </w:p>
    <w:p w14:paraId="7EE69AD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议事内容为关系基金份额持有人利益的重大事项。</w:t>
      </w:r>
    </w:p>
    <w:p w14:paraId="4254E05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基金份额持有人大会的召集人发出召集会议的通知后，对原有提案的修改应当在基金份额持有人大会召开前及时公告。</w:t>
      </w:r>
    </w:p>
    <w:p w14:paraId="35E7B5D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基金份额持有人大会不得对未事先公告的议事内容进行表决。</w:t>
      </w:r>
    </w:p>
    <w:p w14:paraId="5F80C0B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2、议事程序</w:t>
      </w:r>
    </w:p>
    <w:p w14:paraId="117DCA4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（1）现场开会</w:t>
      </w:r>
    </w:p>
    <w:p w14:paraId="56FC53F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出席大会的基金份额持有人所持表决权的二分之一以上（含二分之一）选举产生一名基金份额持有人作为该次基金份额持有人大会的主持人。基金管理人拒不出席或主持基金份额持有人大会，不影响基金份额持有人大会作出的决议的效力。</w:t>
      </w:r>
    </w:p>
    <w:p w14:paraId="10CB49B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会议召集人应当制作出席会议人员的签名册。签名册载明参加会议人员姓名（或单位名称）、身份证明文件号码、持有或代表有表决权的基金份额、委托人姓名（或单位名称）和联系方式等事项。会议主持人应指定专人制作会议纪要，会议纪要应详细记录大会召开时间、地点、出席人名单、议题和大会讨论和通过或否决的决议，并由会议主持人签名。</w:t>
      </w:r>
    </w:p>
    <w:p w14:paraId="4C6D977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（2）通讯开会</w:t>
      </w:r>
    </w:p>
    <w:p w14:paraId="65DF3DF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在通讯开会的情况下，首先由召集人提前10日公布提案，在所通知的表决截止日期后2个工作日内由召集人统计全部有效表决并形成决议。</w:t>
      </w:r>
    </w:p>
    <w:p w14:paraId="1543F89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（六）表决</w:t>
      </w:r>
    </w:p>
    <w:p w14:paraId="6107DA2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议事内容：基金份额持有人大会不得对事先未通知的议事内容进行表决。若出现基金管理人被基金业协会公告失联或私募基金管理人依法解散、被依法撤销、被依法宣告破产、被依法</w:t>
      </w:r>
      <w:r>
        <w:rPr>
          <w:rFonts w:hint="eastAsia" w:asciiTheme="minorEastAsia" w:hAnsiTheme="minorEastAsia" w:eastAsiaTheme="minorEastAsia"/>
          <w:color w:val="auto"/>
          <w:szCs w:val="21"/>
          <w:highlight w:val="none"/>
          <w:lang w:val="en-US" w:eastAsia="zh-CN"/>
        </w:rPr>
        <w:t>注销</w:t>
      </w:r>
      <w:r>
        <w:rPr>
          <w:rFonts w:hint="eastAsia" w:asciiTheme="minorEastAsia" w:hAnsiTheme="minorEastAsia" w:eastAsiaTheme="minorEastAsia"/>
          <w:color w:val="auto"/>
          <w:szCs w:val="21"/>
          <w:highlight w:val="none"/>
        </w:rPr>
        <w:t>私募基金管理人</w:t>
      </w:r>
      <w:r>
        <w:rPr>
          <w:rFonts w:hint="eastAsia" w:asciiTheme="minorEastAsia" w:hAnsiTheme="minorEastAsia" w:eastAsiaTheme="minorEastAsia"/>
          <w:color w:val="auto"/>
          <w:szCs w:val="21"/>
          <w:highlight w:val="none"/>
          <w:lang w:val="en-US" w:eastAsia="zh-CN"/>
        </w:rPr>
        <w:t>登记</w:t>
      </w:r>
      <w:r>
        <w:rPr>
          <w:rFonts w:hint="eastAsia" w:asciiTheme="minorEastAsia" w:hAnsiTheme="minorEastAsia" w:eastAsiaTheme="minorEastAsia"/>
          <w:color w:val="auto"/>
          <w:szCs w:val="21"/>
          <w:highlight w:val="none"/>
        </w:rPr>
        <w:t>等原因导致职责终止</w:t>
      </w:r>
      <w:r>
        <w:rPr>
          <w:rFonts w:hint="eastAsia" w:ascii="宋体" w:hAnsi="宋体"/>
          <w:color w:val="auto"/>
          <w:szCs w:val="21"/>
          <w:highlight w:val="none"/>
        </w:rPr>
        <w:t>或者</w:t>
      </w:r>
      <w:r>
        <w:rPr>
          <w:rFonts w:hint="eastAsia" w:ascii="宋体" w:hAnsi="宋体"/>
          <w:color w:val="auto"/>
          <w:szCs w:val="21"/>
          <w:highlight w:val="none"/>
          <w:lang w:val="en-US" w:eastAsia="zh-CN"/>
        </w:rPr>
        <w:t>私募基金</w:t>
      </w:r>
      <w:r>
        <w:rPr>
          <w:rFonts w:hint="eastAsia" w:ascii="宋体" w:hAnsi="宋体"/>
          <w:color w:val="auto"/>
          <w:szCs w:val="21"/>
          <w:highlight w:val="none"/>
        </w:rPr>
        <w:t>管理人怠于履行管理职责</w:t>
      </w:r>
      <w:r>
        <w:rPr>
          <w:rFonts w:hint="eastAsia" w:ascii="宋体" w:hAnsi="宋体"/>
          <w:color w:val="auto"/>
          <w:szCs w:val="21"/>
          <w:highlight w:val="none"/>
          <w:lang w:eastAsia="zh-CN"/>
        </w:rPr>
        <w:t>，</w:t>
      </w:r>
      <w:r>
        <w:rPr>
          <w:rFonts w:hint="eastAsia" w:asciiTheme="minorEastAsia" w:hAnsiTheme="minorEastAsia" w:eastAsiaTheme="minorEastAsia"/>
          <w:color w:val="auto"/>
          <w:szCs w:val="21"/>
          <w:highlight w:val="none"/>
        </w:rPr>
        <w:t>且管理人未按合同约定履行义务组织清算的情形，基金份额持有人会议须做出本基金财产处置方案、基金清算方案等方案</w:t>
      </w:r>
      <w:r>
        <w:rPr>
          <w:rFonts w:hint="eastAsia" w:ascii="宋体" w:hAnsi="宋体"/>
          <w:color w:val="auto"/>
          <w:szCs w:val="21"/>
          <w:highlight w:val="none"/>
          <w:lang w:val="en-US" w:eastAsia="zh-CN"/>
        </w:rPr>
        <w:t>或</w:t>
      </w:r>
      <w:r>
        <w:rPr>
          <w:rFonts w:hint="eastAsia" w:ascii="宋体" w:hAnsi="宋体"/>
          <w:color w:val="auto"/>
          <w:szCs w:val="21"/>
          <w:highlight w:val="none"/>
        </w:rPr>
        <w:t>作出决议更换管理人</w:t>
      </w:r>
      <w:r>
        <w:rPr>
          <w:rFonts w:hint="eastAsia" w:ascii="宋体" w:hAnsi="宋体"/>
          <w:color w:val="auto"/>
          <w:szCs w:val="21"/>
          <w:highlight w:val="none"/>
          <w:lang w:val="en-US" w:eastAsia="zh-CN"/>
        </w:rPr>
        <w:t>以</w:t>
      </w:r>
      <w:r>
        <w:rPr>
          <w:rFonts w:hint="eastAsia" w:ascii="宋体" w:hAnsi="宋体"/>
          <w:color w:val="auto"/>
          <w:szCs w:val="21"/>
          <w:highlight w:val="none"/>
        </w:rPr>
        <w:t>继续维持本基金运营</w:t>
      </w:r>
      <w:r>
        <w:rPr>
          <w:rFonts w:hint="eastAsia" w:asciiTheme="minorEastAsia" w:hAnsiTheme="minorEastAsia" w:eastAsiaTheme="minorEastAsia"/>
          <w:color w:val="auto"/>
          <w:szCs w:val="21"/>
          <w:highlight w:val="none"/>
        </w:rPr>
        <w:t>。</w:t>
      </w:r>
    </w:p>
    <w:p w14:paraId="47A4EB8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基金份额持有人所持每份基金份额享有一票表决权。</w:t>
      </w:r>
      <w:r>
        <w:rPr>
          <w:rFonts w:hint="eastAsia" w:ascii="宋体" w:hAnsi="宋体" w:eastAsia="宋体" w:cs="Times New Roman"/>
          <w:b w:val="0"/>
          <w:color w:val="auto"/>
          <w:szCs w:val="21"/>
          <w:highlight w:val="none"/>
        </w:rPr>
        <w:t>如</w:t>
      </w:r>
      <w:r>
        <w:rPr>
          <w:rFonts w:hint="eastAsia" w:ascii="宋体" w:hAnsi="宋体" w:cs="Times New Roman"/>
          <w:b w:val="0"/>
          <w:color w:val="auto"/>
          <w:szCs w:val="21"/>
          <w:highlight w:val="none"/>
          <w:lang w:val="en-US" w:eastAsia="zh-CN"/>
        </w:rPr>
        <w:t>基金</w:t>
      </w:r>
      <w:r>
        <w:rPr>
          <w:rFonts w:hint="eastAsia" w:ascii="宋体" w:hAnsi="宋体" w:eastAsia="宋体" w:cs="Times New Roman"/>
          <w:b w:val="0"/>
          <w:color w:val="auto"/>
          <w:szCs w:val="21"/>
          <w:highlight w:val="none"/>
        </w:rPr>
        <w:t>管理人出现客观上丧失继续管理本基金能力</w:t>
      </w:r>
      <w:r>
        <w:rPr>
          <w:rFonts w:hint="eastAsia" w:ascii="宋体" w:hAnsi="宋体" w:cs="Times New Roman"/>
          <w:b w:val="0"/>
          <w:color w:val="auto"/>
          <w:szCs w:val="21"/>
          <w:highlight w:val="none"/>
          <w:lang w:val="en-US" w:eastAsia="zh-CN"/>
        </w:rPr>
        <w:t>或怠于履行管理职责</w:t>
      </w:r>
      <w:r>
        <w:rPr>
          <w:rFonts w:hint="eastAsia" w:ascii="宋体" w:hAnsi="宋体" w:eastAsia="宋体" w:cs="Times New Roman"/>
          <w:b w:val="0"/>
          <w:color w:val="auto"/>
          <w:szCs w:val="21"/>
          <w:highlight w:val="none"/>
        </w:rPr>
        <w:t>的情形时，管理人以自有资金投资本基金的，其持有的基金份额对基金份额持有人大会决议事项不再享有表决权，本章节中有关持有人大会召集、表决等条款中基金份额（或称</w:t>
      </w:r>
      <w:r>
        <w:rPr>
          <w:rFonts w:hint="eastAsia" w:ascii="宋体" w:hAnsi="宋体" w:cs="Times New Roman"/>
          <w:b w:val="0"/>
          <w:color w:val="auto"/>
          <w:szCs w:val="21"/>
          <w:highlight w:val="none"/>
          <w:lang w:val="en-US" w:eastAsia="zh-CN"/>
        </w:rPr>
        <w:t>表决权</w:t>
      </w:r>
      <w:r>
        <w:rPr>
          <w:rFonts w:hint="eastAsia" w:ascii="宋体" w:hAnsi="宋体" w:eastAsia="宋体" w:cs="Times New Roman"/>
          <w:b w:val="0"/>
          <w:color w:val="auto"/>
          <w:szCs w:val="21"/>
          <w:highlight w:val="none"/>
        </w:rPr>
        <w:t>）均为剔除管理人持有的基金份额以外的基金份额（或称</w:t>
      </w:r>
      <w:r>
        <w:rPr>
          <w:rFonts w:hint="eastAsia" w:ascii="宋体" w:hAnsi="宋体" w:cs="Times New Roman"/>
          <w:b w:val="0"/>
          <w:color w:val="auto"/>
          <w:szCs w:val="21"/>
          <w:highlight w:val="none"/>
          <w:lang w:val="en-US" w:eastAsia="zh-CN"/>
        </w:rPr>
        <w:t>表决权</w:t>
      </w:r>
      <w:r>
        <w:rPr>
          <w:rFonts w:hint="eastAsia" w:ascii="宋体" w:hAnsi="宋体" w:eastAsia="宋体" w:cs="Times New Roman"/>
          <w:b w:val="0"/>
          <w:color w:val="auto"/>
          <w:szCs w:val="21"/>
          <w:highlight w:val="none"/>
        </w:rPr>
        <w:t>）</w:t>
      </w:r>
      <w:r>
        <w:rPr>
          <w:rFonts w:hint="eastAsia" w:ascii="宋体" w:hAnsi="宋体" w:cs="Times New Roman"/>
          <w:b w:val="0"/>
          <w:color w:val="auto"/>
          <w:szCs w:val="21"/>
          <w:highlight w:val="none"/>
          <w:lang w:eastAsia="zh-CN"/>
        </w:rPr>
        <w:t>。</w:t>
      </w:r>
    </w:p>
    <w:p w14:paraId="3504E99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决议须经出席会议的基金份额持有人或其代理人所持表决权的2/3以上（含2/3）通过方为有效。如根据相关法律法规存在合理要求需要更换基金管理人、托管人的，应当经出席会议的基金份额持有人或其代理人全体通过方为有效。</w:t>
      </w:r>
    </w:p>
    <w:p w14:paraId="782C262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基金份额持有人大会采取记名方式进行投票表决。</w:t>
      </w:r>
    </w:p>
    <w:p w14:paraId="720E5B0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基金份额持有人大会的各项提案或同一项提案内并列的各项议题应当分开审议、逐项表决。</w:t>
      </w:r>
    </w:p>
    <w:p w14:paraId="46833B2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（七）计票</w:t>
      </w:r>
    </w:p>
    <w:p w14:paraId="7770B92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1、现场开会</w:t>
      </w:r>
    </w:p>
    <w:p w14:paraId="2E03750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如大会由基金管理人召集，基金份额持有人大会的主持人应当在会议开始后宣布在出席会议的基金份额持有人和代理人中选举一名基金份额持有人代表与大会召集人的一名授权代表共同担任监票人；如大会由基金份额持有人自行召集，基金份额持有人大会的主持人应当在会议开始后宣布在出席会议的基金份额持有人中选举一名基金份额持有人代表担任监票人。基金管理人不出席大会的，不影响计票的效力。</w:t>
      </w:r>
    </w:p>
    <w:p w14:paraId="1D0D3F1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（2）监票人应当在基金份额持有人表决后立即进行清点并由大会主持人当场公布计票结果。</w:t>
      </w:r>
    </w:p>
    <w:p w14:paraId="743ABDD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9053E4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（4）基金管理人或基金托管人拒不出席大会的，不影响计票的效力。</w:t>
      </w:r>
    </w:p>
    <w:p w14:paraId="542A203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2、通讯开会</w:t>
      </w:r>
    </w:p>
    <w:p w14:paraId="30CE992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在通讯开会的情况下，计票方式为：由大会召集人授权的两名监督员进行计票。符合会议通知约定的表决意见视为有效表决，表决意见模糊不清或相互矛盾的视为弃权表决。</w:t>
      </w:r>
    </w:p>
    <w:p w14:paraId="3837651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（八）生效与公告</w:t>
      </w:r>
    </w:p>
    <w:p w14:paraId="6D888E4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基金份额持有人大会决议自表决通过之日起生效。</w:t>
      </w:r>
    </w:p>
    <w:p w14:paraId="6EE0C13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基金管理人、基金托管人和基金份额持有人应当执行生效的基金份额持有人大会的决议。</w:t>
      </w:r>
    </w:p>
    <w:p w14:paraId="78D43C7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生效的基金份额持有人大会决议对全体基金份额持有人、基金管理人、基金托管人均有约束力。</w:t>
      </w:r>
    </w:p>
    <w:p w14:paraId="2D716AB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（九）基金份额持有人大会决议的披露</w:t>
      </w:r>
    </w:p>
    <w:p w14:paraId="423949B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基金份额持有人大会决定的事项，应在生效之日起5个工作日通过在基金管理人网站公告或电子邮件、传真等形式通知全体基金份额持有人和其他相关当事人。</w:t>
      </w:r>
    </w:p>
    <w:p w14:paraId="1DE977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本基金存续期间，上述关于基金份额持有人大会召开事由、召开条件、议事程序、表决条件等规定，凡是直接引用法律法规或监管部门规定的部分，如将来法律法规或监管部门的规定修改导致相关内容被取消或变更，或者相关部分与届时有效的法律法规或监管部门的规定相冲突，则基金管理人经与基金托管人协商一致并提前公告后，可直接对本部分的相关内容进行修改和调整，无需召开基金份额持有人大会审议。</w:t>
      </w:r>
    </w:p>
    <w:p w14:paraId="12D5B56A">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38" w:name="_Toc17835"/>
      <w:bookmarkStart w:id="39" w:name="_Toc110605411"/>
      <w:bookmarkStart w:id="40" w:name="_Toc459392412"/>
      <w:bookmarkStart w:id="41" w:name="_Toc194741908"/>
      <w:r>
        <w:rPr>
          <w:rFonts w:hint="eastAsia" w:asciiTheme="minorEastAsia" w:hAnsiTheme="minorEastAsia" w:eastAsiaTheme="minorEastAsia"/>
          <w:b/>
          <w:color w:val="auto"/>
          <w:sz w:val="28"/>
          <w:szCs w:val="28"/>
          <w:highlight w:val="none"/>
        </w:rPr>
        <w:t>十、基金份额的登记</w:t>
      </w:r>
      <w:bookmarkEnd w:id="38"/>
      <w:bookmarkEnd w:id="39"/>
      <w:bookmarkEnd w:id="40"/>
    </w:p>
    <w:p w14:paraId="71F1E3B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42" w:name="_Toc459392413"/>
      <w:r>
        <w:rPr>
          <w:rFonts w:hint="eastAsia" w:asciiTheme="minorEastAsia" w:hAnsiTheme="minorEastAsia" w:eastAsiaTheme="minorEastAsia"/>
          <w:color w:val="auto"/>
          <w:szCs w:val="21"/>
          <w:highlight w:val="none"/>
        </w:rPr>
        <w:t>（一）本基金的份额登记业务由私募基金管理人或私募基金管理人委托可办理私募基金份额登记业务的机构代为办理。私募基金管理人委托其他机构代为办理私募基金份额登记业务的，应当与有关机构签订委托代理协议，并订明份额登记机构的名称、外包业务备案编号、代为办理私募基金份额登记机构的权限和职责等。</w:t>
      </w:r>
    </w:p>
    <w:p w14:paraId="777A118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（二）本私募基金由私募基金管理人委托兴业证券股份有限公司（外包业务备案编号：</w:t>
      </w:r>
      <w:r>
        <w:rPr>
          <w:rFonts w:asciiTheme="minorEastAsia" w:hAnsiTheme="minorEastAsia" w:eastAsiaTheme="minorEastAsia"/>
          <w:color w:val="auto"/>
          <w:szCs w:val="21"/>
          <w:highlight w:val="none"/>
        </w:rPr>
        <w:t>A00019</w:t>
      </w:r>
      <w:r>
        <w:rPr>
          <w:rFonts w:hint="eastAsia" w:asciiTheme="minorEastAsia" w:hAnsiTheme="minorEastAsia" w:eastAsiaTheme="minorEastAsia"/>
          <w:color w:val="auto"/>
          <w:szCs w:val="21"/>
          <w:highlight w:val="none"/>
        </w:rPr>
        <w:t>）担任份额登记机构。双方签署运营外包服务及募集账户监督服务协议以确认相关权限和职责。份额登记机构应履行如下注册登记职责：</w:t>
      </w:r>
    </w:p>
    <w:p w14:paraId="37413A2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管理人或代销机构保管基金份额持有人账户资料、交易资料、基金投资者资料表，并将投资者资料提供给份额登记机构。份额登记机构根据管理人以及代销机构提供的基金投资者资料登记基金份额持有人账户信息（若需要）、交易信息、基金投资者资料信息（若需要），并根据基金管理的需要将确认信息提供给基金管理人；</w:t>
      </w:r>
    </w:p>
    <w:p w14:paraId="74CA938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2、配备足够的专业人员办理本基金的注册登记业务；</w:t>
      </w:r>
    </w:p>
    <w:p w14:paraId="62B3E67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3、严格按照法律法规和本合同规定的条件办理本基金的注册登记业务；</w:t>
      </w:r>
    </w:p>
    <w:p w14:paraId="126AE42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4、严格按照法律法规和本基金合同规定计算业绩报酬给基金管理人；</w:t>
      </w:r>
    </w:p>
    <w:p w14:paraId="7F78C36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5、接受基金管理人的监督；</w:t>
      </w:r>
    </w:p>
    <w:p w14:paraId="7EF46A8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6、全体基金份额持有人同意私募基金管理人、份额登记机构或其他份额登记义务人应当按照中国基金业协会的规定办理基金份额登记数据的备份；</w:t>
      </w:r>
    </w:p>
    <w:p w14:paraId="65B5B04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7、按照法律法规的要求，保存基金投资者资料表及相关的申购和赎回等业务记录，保存期限自本基金清算终止之日起不得少于20年；</w:t>
      </w:r>
    </w:p>
    <w:p w14:paraId="315EF94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8、对基金份额持有人的账户信息负有保密义务，因违反该保密义务对基金份额持有人或基金带来的损失，须承担相应的赔偿责任，但司法强制检查情形及法律法规或监管机构另有规定的和本合同约定的其他情形除外；</w:t>
      </w:r>
    </w:p>
    <w:p w14:paraId="5E42B43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9、法律法规及中国证监会规定的和本合同规定的其他职责。</w:t>
      </w:r>
    </w:p>
    <w:p w14:paraId="472C3FD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（三）基金管理人依法应承担的责任不因委托而免除。</w:t>
      </w:r>
    </w:p>
    <w:p w14:paraId="7577DEB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如因基金管理人所管理基金的交易经纪服务商原因，未及时向本基金估值核算机构、基金托管人提供数据的，影响出具公允估值结果的，基金管理人有义务配合催收。在交易服务商提供完整数据前，份额登记机构有权暂停产品开放或推迟本交易申请确认时间，由此给本基金财产或基金份额持有人造成损失的，相关责任由责任方承担，份额登记机构、估值核算机构、私募基金托管人不因此承担任何责任。</w:t>
      </w:r>
    </w:p>
    <w:p w14:paraId="64B7E555">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43" w:name="_Toc18878"/>
      <w:bookmarkStart w:id="44" w:name="_Toc110605412"/>
      <w:r>
        <w:rPr>
          <w:rFonts w:hint="eastAsia" w:asciiTheme="minorEastAsia" w:hAnsiTheme="minorEastAsia" w:eastAsiaTheme="minorEastAsia"/>
          <w:b/>
          <w:color w:val="auto"/>
          <w:sz w:val="28"/>
          <w:szCs w:val="28"/>
          <w:highlight w:val="none"/>
        </w:rPr>
        <w:t>十一、基金的投资</w:t>
      </w:r>
      <w:bookmarkEnd w:id="42"/>
      <w:bookmarkEnd w:id="43"/>
      <w:bookmarkEnd w:id="44"/>
    </w:p>
    <w:p w14:paraId="459EB6FA">
      <w:pPr>
        <w:tabs>
          <w:tab w:val="left" w:pos="14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（一）投资经理：本基金的投资经理由基金管理人指定。</w:t>
      </w:r>
    </w:p>
    <w:p w14:paraId="3C86E6CC">
      <w:pPr>
        <w:tabs>
          <w:tab w:val="left" w:pos="14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1、本基金的投资经理：</w:t>
      </w:r>
    </w:p>
    <w:p w14:paraId="68809353">
      <w:pPr>
        <w:tabs>
          <w:tab w:val="left" w:pos="142"/>
        </w:tabs>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王敏敏</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eastAsia="zh-CN"/>
        </w:rPr>
        <w:t>石云科技股份有限公司</w:t>
      </w:r>
      <w:r>
        <w:rPr>
          <w:rFonts w:hint="eastAsia" w:asciiTheme="minorEastAsia" w:hAnsiTheme="minorEastAsia" w:eastAsiaTheme="minorEastAsia"/>
          <w:color w:val="auto"/>
          <w:szCs w:val="21"/>
          <w:highlight w:val="none"/>
        </w:rPr>
        <w:t>投资经理，曾任海外量化公司投资部总监，具备十年以上丰富的量化投资经验。</w:t>
      </w:r>
    </w:p>
    <w:p w14:paraId="05507290">
      <w:pPr>
        <w:tabs>
          <w:tab w:val="left" w:pos="142"/>
        </w:tabs>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李森林</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eastAsia="zh-CN"/>
        </w:rPr>
        <w:t>石云科技股份有限公司</w:t>
      </w:r>
      <w:r>
        <w:rPr>
          <w:rFonts w:hint="eastAsia" w:asciiTheme="minorEastAsia" w:hAnsiTheme="minorEastAsia" w:eastAsiaTheme="minorEastAsia"/>
          <w:color w:val="auto"/>
          <w:szCs w:val="21"/>
          <w:highlight w:val="none"/>
        </w:rPr>
        <w:t>投资经理，曾任海外量化公司研究部总监，具备十年以上丰富的量化投资经验。</w:t>
      </w:r>
    </w:p>
    <w:p w14:paraId="275049CF">
      <w:pPr>
        <w:tabs>
          <w:tab w:val="left" w:pos="142"/>
        </w:tabs>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本基金设置两名投资经理，投资经理分工安排合理性、管理方式、分工安排、调整机制如下：</w:t>
      </w:r>
    </w:p>
    <w:p w14:paraId="522E596E">
      <w:pPr>
        <w:tabs>
          <w:tab w:val="left" w:pos="142"/>
        </w:tabs>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①合理性：【</w:t>
      </w:r>
      <w:r>
        <w:rPr>
          <w:rFonts w:hint="eastAsia" w:asciiTheme="minorEastAsia" w:hAnsiTheme="minorEastAsia" w:eastAsiaTheme="minorEastAsia"/>
          <w:color w:val="auto"/>
          <w:szCs w:val="21"/>
          <w:highlight w:val="none"/>
          <w:lang w:eastAsia="zh-CN"/>
        </w:rPr>
        <w:t>王敏敏</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eastAsia="zh-CN"/>
        </w:rPr>
        <w:t>李森林</w:t>
      </w:r>
      <w:r>
        <w:rPr>
          <w:rFonts w:hint="eastAsia" w:asciiTheme="minorEastAsia" w:hAnsiTheme="minorEastAsia" w:eastAsiaTheme="minorEastAsia"/>
          <w:color w:val="auto"/>
          <w:szCs w:val="21"/>
          <w:highlight w:val="none"/>
        </w:rPr>
        <w:t>】均是本基金管理人投资决策委员会的核心成员，在日常基金投资管理工作中根据各自分工进行配合协作，在特别情况下亦互为 AB 角进行工作支持，实际工作场景中可根据情况调整内部分工以确保基金投资的正常运作。</w:t>
      </w:r>
    </w:p>
    <w:p w14:paraId="238D186B">
      <w:pPr>
        <w:tabs>
          <w:tab w:val="left" w:pos="142"/>
        </w:tabs>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②管理方式：公司已建立清晰的决策流程，确保投资决策的效率和一致性。</w:t>
      </w:r>
    </w:p>
    <w:p w14:paraId="509495A0">
      <w:pPr>
        <w:tabs>
          <w:tab w:val="left" w:pos="142"/>
        </w:tabs>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③分工安排：其中【</w:t>
      </w:r>
      <w:r>
        <w:rPr>
          <w:rFonts w:hint="eastAsia" w:asciiTheme="minorEastAsia" w:hAnsiTheme="minorEastAsia" w:eastAsiaTheme="minorEastAsia"/>
          <w:color w:val="auto"/>
          <w:szCs w:val="21"/>
          <w:highlight w:val="none"/>
          <w:lang w:eastAsia="zh-CN"/>
        </w:rPr>
        <w:t>王敏敏</w:t>
      </w:r>
      <w:r>
        <w:rPr>
          <w:rFonts w:hint="eastAsia" w:asciiTheme="minorEastAsia" w:hAnsiTheme="minorEastAsia" w:eastAsiaTheme="minorEastAsia"/>
          <w:color w:val="auto"/>
          <w:szCs w:val="21"/>
          <w:highlight w:val="none"/>
        </w:rPr>
        <w:t>】主要负责确定本基金之投资目标、投资范围、投资策略等与投资相关的重要事宜，统筹安排量化投资策略的评估和应用，以及下达投资指令等日常投资管理工作。【</w:t>
      </w:r>
      <w:r>
        <w:rPr>
          <w:rFonts w:hint="eastAsia" w:asciiTheme="minorEastAsia" w:hAnsiTheme="minorEastAsia" w:eastAsiaTheme="minorEastAsia"/>
          <w:color w:val="auto"/>
          <w:szCs w:val="21"/>
          <w:highlight w:val="none"/>
          <w:lang w:eastAsia="zh-CN"/>
        </w:rPr>
        <w:t>李森林</w:t>
      </w:r>
      <w:r>
        <w:rPr>
          <w:rFonts w:hint="eastAsia" w:asciiTheme="minorEastAsia" w:hAnsiTheme="minorEastAsia" w:eastAsiaTheme="minorEastAsia"/>
          <w:color w:val="auto"/>
          <w:szCs w:val="21"/>
          <w:highlight w:val="none"/>
        </w:rPr>
        <w:t>】主要负责确定本基金投资过程中的具体量化投资策略，策略的持续研发和优化升级等日常投资管理工作。</w:t>
      </w:r>
    </w:p>
    <w:p w14:paraId="322765F7">
      <w:pPr>
        <w:tabs>
          <w:tab w:val="left" w:pos="142"/>
        </w:tabs>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④调整机制：公司定期评估投资经理的表现和团队合作的效率，根据评估结果进行必要的调整，以提高团队的整体表现。</w:t>
      </w:r>
    </w:p>
    <w:p w14:paraId="6D2B6411">
      <w:pPr>
        <w:tabs>
          <w:tab w:val="left" w:pos="142"/>
        </w:tabs>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以上投资经理已取得基金从业资格并在基金业协会完成注册。</w:t>
      </w:r>
    </w:p>
    <w:p w14:paraId="2C60332C">
      <w:pPr>
        <w:tabs>
          <w:tab w:val="left" w:pos="14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2、投资经理的变更</w:t>
      </w:r>
    </w:p>
    <w:p w14:paraId="4629E706">
      <w:pPr>
        <w:tabs>
          <w:tab w:val="left" w:pos="142"/>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基金管理人若需要变更投资经理，需事前通过电子邮件或其他管理人认可的方式取得基金份额持有人同意。私募基金管理人应在变更投资经理后三个工作日内通过私募基金管理人网站公告或以电话、短信、电子邮件等任一方式告知基金份额持有人。</w:t>
      </w:r>
      <w:r>
        <w:rPr>
          <w:rFonts w:hint="eastAsia" w:asciiTheme="minorEastAsia" w:hAnsiTheme="minorEastAsia" w:eastAsiaTheme="minorEastAsia"/>
          <w:color w:val="auto"/>
          <w:szCs w:val="21"/>
          <w:highlight w:val="none"/>
          <w:lang w:val="en-US" w:eastAsia="zh-CN"/>
        </w:rPr>
        <w:t>投资经理发生变更的，私募基金管理人设置临时开放日允许</w:t>
      </w:r>
      <w:r>
        <w:rPr>
          <w:rFonts w:hint="eastAsia" w:ascii="宋体" w:hAnsi="宋体"/>
          <w:color w:val="auto"/>
          <w:szCs w:val="21"/>
          <w:highlight w:val="none"/>
          <w:lang w:val="en-US" w:eastAsia="zh-CN"/>
        </w:rPr>
        <w:t>不同意变更的</w:t>
      </w:r>
      <w:r>
        <w:rPr>
          <w:rFonts w:hint="eastAsia" w:asciiTheme="minorEastAsia" w:hAnsiTheme="minorEastAsia" w:eastAsiaTheme="minorEastAsia"/>
          <w:color w:val="auto"/>
          <w:szCs w:val="21"/>
          <w:highlight w:val="none"/>
          <w:lang w:val="en-US" w:eastAsia="zh-CN"/>
        </w:rPr>
        <w:t>基金份额持有人赎回</w:t>
      </w:r>
      <w:r>
        <w:rPr>
          <w:rFonts w:hint="eastAsia" w:asciiTheme="minorEastAsia" w:hAnsiTheme="minorEastAsia" w:eastAsiaTheme="minorEastAsia"/>
          <w:b w:val="0"/>
          <w:bCs w:val="0"/>
          <w:color w:val="auto"/>
          <w:szCs w:val="21"/>
          <w:highlight w:val="none"/>
        </w:rPr>
        <w:t>（本基金的管理人及其员工的份额持有期低于6个月（</w:t>
      </w:r>
      <w:r>
        <w:rPr>
          <w:rFonts w:hint="eastAsia" w:asciiTheme="minorEastAsia" w:hAnsiTheme="minorEastAsia" w:eastAsiaTheme="minorEastAsia"/>
          <w:b w:val="0"/>
          <w:bCs w:val="0"/>
          <w:color w:val="auto"/>
          <w:szCs w:val="21"/>
          <w:highlight w:val="none"/>
          <w:lang w:eastAsia="zh-CN"/>
        </w:rPr>
        <w:t>180个自然日</w:t>
      </w:r>
      <w:r>
        <w:rPr>
          <w:rFonts w:hint="eastAsia" w:asciiTheme="minorEastAsia" w:hAnsiTheme="minorEastAsia" w:eastAsiaTheme="minorEastAsia"/>
          <w:b w:val="0"/>
          <w:bCs w:val="0"/>
          <w:color w:val="auto"/>
          <w:szCs w:val="21"/>
          <w:highlight w:val="none"/>
        </w:rPr>
        <w:t>）、其他投资者的份额持有期低于3个月（</w:t>
      </w:r>
      <w:r>
        <w:rPr>
          <w:rFonts w:hint="eastAsia" w:asciiTheme="minorEastAsia" w:hAnsiTheme="minorEastAsia" w:eastAsiaTheme="minorEastAsia"/>
          <w:b w:val="0"/>
          <w:bCs w:val="0"/>
          <w:color w:val="auto"/>
          <w:szCs w:val="21"/>
          <w:highlight w:val="none"/>
          <w:lang w:eastAsia="zh-CN"/>
        </w:rPr>
        <w:t>90个自然日</w:t>
      </w:r>
      <w:r>
        <w:rPr>
          <w:rFonts w:hint="eastAsia" w:asciiTheme="minorEastAsia" w:hAnsiTheme="minorEastAsia" w:eastAsiaTheme="minorEastAsia"/>
          <w:b w:val="0"/>
          <w:bCs w:val="0"/>
          <w:color w:val="auto"/>
          <w:szCs w:val="21"/>
          <w:highlight w:val="none"/>
        </w:rPr>
        <w:t>）</w:t>
      </w:r>
      <w:r>
        <w:rPr>
          <w:rFonts w:hint="eastAsia" w:ascii="宋体" w:hAnsi="宋体"/>
          <w:b w:val="0"/>
          <w:bCs w:val="0"/>
          <w:color w:val="auto"/>
          <w:szCs w:val="21"/>
          <w:highlight w:val="none"/>
          <w:lang w:eastAsia="zh-CN"/>
        </w:rPr>
        <w:t>（</w:t>
      </w:r>
      <w:r>
        <w:rPr>
          <w:rFonts w:hint="eastAsia" w:ascii="宋体" w:hAnsi="宋体"/>
          <w:b w:val="0"/>
          <w:bCs w:val="0"/>
          <w:color w:val="auto"/>
          <w:szCs w:val="21"/>
          <w:highlight w:val="none"/>
          <w:lang w:val="en-US" w:eastAsia="zh-CN"/>
        </w:rPr>
        <w:t>如本基金对其他投资者设置份额锁定期</w:t>
      </w:r>
      <w:r>
        <w:rPr>
          <w:rFonts w:hint="eastAsia" w:ascii="宋体" w:hAnsi="宋体"/>
          <w:b w:val="0"/>
          <w:bCs w:val="0"/>
          <w:color w:val="auto"/>
          <w:szCs w:val="21"/>
          <w:highlight w:val="none"/>
          <w:lang w:eastAsia="zh-CN"/>
        </w:rPr>
        <w:t>）</w:t>
      </w:r>
      <w:r>
        <w:rPr>
          <w:rFonts w:hint="eastAsia" w:asciiTheme="minorEastAsia" w:hAnsiTheme="minorEastAsia" w:eastAsiaTheme="minorEastAsia"/>
          <w:b w:val="0"/>
          <w:bCs w:val="0"/>
          <w:color w:val="auto"/>
          <w:szCs w:val="21"/>
          <w:highlight w:val="none"/>
        </w:rPr>
        <w:t>的，不得赎回该等基金份额）</w:t>
      </w:r>
      <w:r>
        <w:rPr>
          <w:rFonts w:hint="eastAsia" w:asciiTheme="minorEastAsia" w:hAnsiTheme="minorEastAsia" w:eastAsiaTheme="minorEastAsia"/>
          <w:color w:val="auto"/>
          <w:szCs w:val="21"/>
          <w:highlight w:val="none"/>
          <w:lang w:val="en-US" w:eastAsia="zh-CN"/>
        </w:rPr>
        <w:t>。</w:t>
      </w:r>
    </w:p>
    <w:p w14:paraId="261262E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（二）投资目标：</w:t>
      </w:r>
    </w:p>
    <w:p w14:paraId="500F74F4">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本基金在深入研究的基础上构建投资组合，力争获得投资回报。</w:t>
      </w:r>
    </w:p>
    <w:p w14:paraId="6C00D81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（三）投资范围：</w:t>
      </w:r>
    </w:p>
    <w:p w14:paraId="3E328D57">
      <w:pPr>
        <w:adjustRightInd w:val="0"/>
        <w:snapToGrid w:val="0"/>
        <w:spacing w:before="93" w:beforeLines="30" w:after="93" w:afterLines="30" w:line="360" w:lineRule="auto"/>
        <w:ind w:firstLine="420" w:firstLineChars="200"/>
        <w:rPr>
          <w:rFonts w:hint="eastAsia" w:eastAsia="宋体" w:asciiTheme="minorEastAsia" w:hAnsiTheme="minorEastAsia"/>
          <w:color w:val="auto"/>
          <w:szCs w:val="21"/>
          <w:highlight w:val="none"/>
          <w:lang w:val="en-US" w:eastAsia="zh-CN"/>
        </w:rPr>
      </w:pPr>
      <w:r>
        <w:rPr>
          <w:rFonts w:hint="eastAsia" w:asciiTheme="minorEastAsia" w:hAnsiTheme="minorEastAsia" w:eastAsiaTheme="minorEastAsia"/>
          <w:color w:val="auto"/>
          <w:szCs w:val="21"/>
          <w:highlight w:val="none"/>
          <w:lang w:val="en-US" w:eastAsia="zh-CN"/>
        </w:rPr>
        <w:t>1、权益类：</w:t>
      </w:r>
      <w:r>
        <w:rPr>
          <w:rFonts w:hint="eastAsia" w:asciiTheme="minorEastAsia" w:hAnsiTheme="minorEastAsia" w:eastAsiaTheme="minorEastAsia"/>
          <w:color w:val="auto"/>
          <w:szCs w:val="21"/>
          <w:highlight w:val="none"/>
        </w:rPr>
        <w:t>国内依法</w:t>
      </w:r>
      <w:r>
        <w:rPr>
          <w:rFonts w:hint="eastAsia" w:ascii="宋体" w:hAnsi="宋体"/>
          <w:color w:val="auto"/>
          <w:szCs w:val="21"/>
          <w:highlight w:val="none"/>
        </w:rPr>
        <w:t>发行上市的股票</w:t>
      </w:r>
      <w:r>
        <w:rPr>
          <w:rFonts w:hint="eastAsia" w:ascii="宋体" w:hAnsi="宋体"/>
          <w:color w:val="auto"/>
          <w:szCs w:val="21"/>
          <w:highlight w:val="none"/>
          <w:lang w:eastAsia="zh-CN"/>
        </w:rPr>
        <w:t>（</w:t>
      </w:r>
      <w:r>
        <w:rPr>
          <w:rFonts w:hint="eastAsia" w:ascii="宋体" w:hAnsi="宋体"/>
          <w:color w:val="auto"/>
          <w:szCs w:val="21"/>
          <w:highlight w:val="none"/>
          <w:lang w:val="en-US" w:eastAsia="zh-CN"/>
        </w:rPr>
        <w:t>含</w:t>
      </w:r>
      <w:r>
        <w:rPr>
          <w:rFonts w:hint="eastAsia" w:ascii="宋体" w:hAnsi="宋体"/>
          <w:color w:val="auto"/>
          <w:szCs w:val="21"/>
          <w:highlight w:val="none"/>
        </w:rPr>
        <w:t>新股申购</w:t>
      </w:r>
      <w:r>
        <w:rPr>
          <w:rFonts w:hint="eastAsia" w:ascii="宋体" w:hAnsi="宋体"/>
          <w:color w:val="auto"/>
          <w:szCs w:val="21"/>
          <w:highlight w:val="none"/>
          <w:lang w:eastAsia="zh-CN"/>
        </w:rPr>
        <w:t>，</w:t>
      </w:r>
      <w:r>
        <w:rPr>
          <w:rFonts w:hint="eastAsia" w:ascii="宋体" w:hAnsi="宋体"/>
          <w:color w:val="auto"/>
          <w:szCs w:val="21"/>
          <w:highlight w:val="none"/>
          <w:lang w:val="en-US" w:eastAsia="zh-CN"/>
        </w:rPr>
        <w:t>不含优先股</w:t>
      </w:r>
      <w:r>
        <w:rPr>
          <w:rFonts w:hint="eastAsia" w:ascii="宋体" w:hAnsi="宋体"/>
          <w:color w:val="auto"/>
          <w:szCs w:val="21"/>
          <w:highlight w:val="none"/>
          <w:lang w:eastAsia="zh-CN"/>
        </w:rPr>
        <w:t>）</w:t>
      </w:r>
      <w:r>
        <w:rPr>
          <w:rFonts w:hint="eastAsia" w:ascii="宋体" w:hAnsi="宋体" w:cs="Times New Roman"/>
          <w:color w:val="auto"/>
          <w:sz w:val="21"/>
          <w:szCs w:val="21"/>
          <w:highlight w:val="none"/>
          <w:lang w:eastAsia="zh-CN"/>
        </w:rPr>
        <w:t>。</w:t>
      </w:r>
    </w:p>
    <w:p w14:paraId="0F52EEF0">
      <w:pPr>
        <w:adjustRightInd w:val="0"/>
        <w:snapToGrid w:val="0"/>
        <w:spacing w:before="93" w:beforeLines="30" w:after="93" w:afterLines="30" w:line="360" w:lineRule="auto"/>
        <w:ind w:firstLine="420" w:firstLineChars="200"/>
        <w:rPr>
          <w:rFonts w:hint="eastAsia" w:eastAsia="宋体" w:asciiTheme="minorEastAsia" w:hAnsiTheme="minorEastAsia"/>
          <w:color w:val="auto"/>
          <w:szCs w:val="21"/>
          <w:highlight w:val="none"/>
          <w:lang w:val="en-US" w:eastAsia="zh-CN"/>
        </w:rPr>
      </w:pPr>
      <w:r>
        <w:rPr>
          <w:rFonts w:hint="eastAsia" w:asciiTheme="minorEastAsia" w:hAnsiTheme="minorEastAsia" w:eastAsiaTheme="minorEastAsia"/>
          <w:color w:val="auto"/>
          <w:szCs w:val="21"/>
          <w:highlight w:val="none"/>
          <w:lang w:val="en-US" w:eastAsia="zh-CN"/>
        </w:rPr>
        <w:t>2、固定收益类：</w:t>
      </w:r>
      <w:r>
        <w:rPr>
          <w:rFonts w:hint="eastAsia" w:ascii="宋体" w:hAnsi="宋体"/>
          <w:color w:val="auto"/>
          <w:szCs w:val="21"/>
          <w:highlight w:val="none"/>
        </w:rPr>
        <w:t>债券通用质押式回购</w:t>
      </w:r>
      <w:r>
        <w:rPr>
          <w:rFonts w:hint="eastAsia" w:ascii="宋体" w:hAnsi="宋体"/>
          <w:color w:val="auto"/>
          <w:szCs w:val="21"/>
          <w:highlight w:val="none"/>
          <w:lang w:eastAsia="zh-CN"/>
        </w:rPr>
        <w:t>。</w:t>
      </w:r>
    </w:p>
    <w:p w14:paraId="36ED7D59">
      <w:pPr>
        <w:adjustRightInd w:val="0"/>
        <w:snapToGrid w:val="0"/>
        <w:spacing w:before="93" w:beforeLines="30" w:after="93" w:afterLines="30" w:line="360" w:lineRule="auto"/>
        <w:ind w:firstLine="420" w:firstLineChars="200"/>
        <w:rPr>
          <w:rFonts w:hint="eastAsia" w:ascii="宋体" w:hAnsi="宋体"/>
          <w:color w:val="auto"/>
          <w:szCs w:val="21"/>
          <w:highlight w:val="none"/>
          <w:lang w:eastAsia="zh-CN"/>
        </w:rPr>
      </w:pPr>
      <w:r>
        <w:rPr>
          <w:rFonts w:hint="eastAsia" w:asciiTheme="minorEastAsia" w:hAnsiTheme="minorEastAsia" w:eastAsiaTheme="minorEastAsia"/>
          <w:color w:val="auto"/>
          <w:szCs w:val="21"/>
          <w:highlight w:val="none"/>
          <w:lang w:val="en-US" w:eastAsia="zh-CN"/>
        </w:rPr>
        <w:t>3、期货和衍生品类：</w:t>
      </w:r>
      <w:r>
        <w:rPr>
          <w:rFonts w:hint="eastAsia" w:ascii="宋体" w:hAnsi="宋体"/>
          <w:color w:val="auto"/>
          <w:szCs w:val="21"/>
          <w:highlight w:val="none"/>
        </w:rPr>
        <w:t>金融期货、商品期货、场内期权</w:t>
      </w:r>
      <w:r>
        <w:rPr>
          <w:rFonts w:hint="eastAsia" w:ascii="宋体" w:hAnsi="宋体"/>
          <w:color w:val="auto"/>
          <w:szCs w:val="21"/>
          <w:highlight w:val="none"/>
          <w:lang w:eastAsia="zh-CN"/>
        </w:rPr>
        <w:t>。</w:t>
      </w:r>
    </w:p>
    <w:p w14:paraId="03C7AAD8">
      <w:pPr>
        <w:adjustRightInd w:val="0"/>
        <w:snapToGrid w:val="0"/>
        <w:spacing w:before="93" w:beforeLines="30" w:after="93" w:afterLines="30" w:line="360" w:lineRule="auto"/>
        <w:ind w:firstLine="420" w:firstLineChars="200"/>
        <w:rPr>
          <w:rFonts w:hint="default" w:ascii="宋体" w:hAnsi="宋体"/>
          <w:color w:val="auto"/>
          <w:szCs w:val="21"/>
          <w:highlight w:val="none"/>
          <w:lang w:val="en-US" w:eastAsia="zh-CN"/>
        </w:rPr>
      </w:pPr>
      <w:r>
        <w:rPr>
          <w:rFonts w:hint="eastAsia" w:ascii="宋体" w:hAnsi="宋体"/>
          <w:color w:val="auto"/>
          <w:szCs w:val="21"/>
          <w:highlight w:val="none"/>
          <w:lang w:val="en-US" w:eastAsia="zh-CN"/>
        </w:rPr>
        <w:t>4、现金管理类：银行活期存款、国债、货币市场基金等中国证监会认可的现金管理工具。</w:t>
      </w:r>
    </w:p>
    <w:p w14:paraId="1B59BE16">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Theme="minorEastAsia" w:hAnsiTheme="minorEastAsia" w:eastAsiaTheme="minorEastAsia"/>
          <w:color w:val="auto"/>
          <w:szCs w:val="21"/>
          <w:highlight w:val="none"/>
          <w:lang w:val="en-US" w:eastAsia="zh-CN"/>
        </w:rPr>
        <w:t>5、其他：</w:t>
      </w:r>
      <w:r>
        <w:rPr>
          <w:rFonts w:hint="eastAsia" w:ascii="宋体" w:hAnsi="宋体"/>
          <w:color w:val="auto"/>
          <w:szCs w:val="21"/>
          <w:highlight w:val="none"/>
        </w:rPr>
        <w:t>公开募集的证券投资基金</w:t>
      </w:r>
      <w:r>
        <w:rPr>
          <w:rFonts w:hint="eastAsia" w:ascii="宋体" w:hAnsi="宋体" w:cs="Times New Roman"/>
          <w:color w:val="auto"/>
          <w:sz w:val="21"/>
          <w:szCs w:val="21"/>
          <w:highlight w:val="none"/>
          <w:lang w:eastAsia="zh-CN"/>
        </w:rPr>
        <w:t>、</w:t>
      </w:r>
      <w:r>
        <w:rPr>
          <w:rFonts w:hint="eastAsia" w:ascii="宋体" w:hAnsi="宋体"/>
          <w:color w:val="auto"/>
          <w:szCs w:val="21"/>
          <w:highlight w:val="none"/>
        </w:rPr>
        <w:t>融资融券。</w:t>
      </w:r>
    </w:p>
    <w:p w14:paraId="3B0E85E1">
      <w:pPr>
        <w:adjustRightInd w:val="0"/>
        <w:snapToGrid w:val="0"/>
        <w:spacing w:before="93" w:beforeLines="30" w:after="93" w:afterLines="30"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本基金不参与期货实物交割。</w:t>
      </w:r>
    </w:p>
    <w:p w14:paraId="723E01E4">
      <w:pPr>
        <w:adjustRightInd w:val="0"/>
        <w:snapToGrid w:val="0"/>
        <w:spacing w:before="93" w:beforeLines="30" w:after="93" w:afterLines="30"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lang w:val="en-US" w:eastAsia="zh-CN"/>
        </w:rPr>
        <w:t>投资范围变更应经</w:t>
      </w:r>
      <w:r>
        <w:rPr>
          <w:rFonts w:hint="eastAsia" w:ascii="宋体" w:hAnsi="宋体" w:eastAsia="宋体"/>
          <w:color w:val="auto"/>
          <w:szCs w:val="21"/>
          <w:highlight w:val="none"/>
        </w:rPr>
        <w:t>私募基金管理人</w:t>
      </w:r>
      <w:r>
        <w:rPr>
          <w:rFonts w:hint="eastAsia" w:ascii="宋体" w:hAnsi="宋体" w:eastAsia="宋体"/>
          <w:color w:val="auto"/>
          <w:szCs w:val="21"/>
          <w:highlight w:val="none"/>
          <w:lang w:eastAsia="zh-CN"/>
        </w:rPr>
        <w:t>、</w:t>
      </w:r>
      <w:r>
        <w:rPr>
          <w:rFonts w:hint="eastAsia" w:ascii="宋体" w:hAnsi="宋体"/>
          <w:color w:val="auto"/>
          <w:szCs w:val="21"/>
          <w:highlight w:val="none"/>
          <w:lang w:val="en-US" w:eastAsia="zh-CN"/>
        </w:rPr>
        <w:t>基金份额持有人、私募基金托管人协商一致并签署生效补充协议，因</w:t>
      </w:r>
      <w:r>
        <w:rPr>
          <w:rFonts w:ascii="宋体" w:hAnsi="宋体"/>
          <w:color w:val="auto"/>
          <w:highlight w:val="none"/>
        </w:rPr>
        <w:t>法律法规</w:t>
      </w:r>
      <w:r>
        <w:rPr>
          <w:rFonts w:hint="eastAsia" w:ascii="宋体" w:hAnsi="宋体"/>
          <w:color w:val="auto"/>
          <w:highlight w:val="none"/>
        </w:rPr>
        <w:t>、中国证监会相关规定、行业指引、自律规则及有关政策</w:t>
      </w:r>
      <w:r>
        <w:rPr>
          <w:rFonts w:hint="eastAsia" w:ascii="宋体" w:hAnsi="宋体"/>
          <w:color w:val="auto"/>
          <w:szCs w:val="21"/>
          <w:highlight w:val="none"/>
          <w:lang w:val="en-US" w:eastAsia="zh-CN"/>
        </w:rPr>
        <w:t>变动的除外。投资范围变更时，私募基金管理人设置临时开放日允许不同意变更的基金份额持有人赎回</w:t>
      </w:r>
      <w:r>
        <w:rPr>
          <w:rFonts w:hint="eastAsia" w:asciiTheme="minorEastAsia" w:hAnsiTheme="minorEastAsia" w:eastAsiaTheme="minorEastAsia"/>
          <w:b w:val="0"/>
          <w:bCs w:val="0"/>
          <w:color w:val="auto"/>
          <w:szCs w:val="21"/>
          <w:highlight w:val="none"/>
        </w:rPr>
        <w:t>（本基金的管理人及其员工的份额持有期低于6个月（</w:t>
      </w:r>
      <w:r>
        <w:rPr>
          <w:rFonts w:hint="eastAsia" w:asciiTheme="minorEastAsia" w:hAnsiTheme="minorEastAsia" w:eastAsiaTheme="minorEastAsia"/>
          <w:b w:val="0"/>
          <w:bCs w:val="0"/>
          <w:color w:val="auto"/>
          <w:szCs w:val="21"/>
          <w:highlight w:val="none"/>
          <w:lang w:eastAsia="zh-CN"/>
        </w:rPr>
        <w:t>180个自然日</w:t>
      </w:r>
      <w:r>
        <w:rPr>
          <w:rFonts w:hint="eastAsia" w:asciiTheme="minorEastAsia" w:hAnsiTheme="minorEastAsia" w:eastAsiaTheme="minorEastAsia"/>
          <w:b w:val="0"/>
          <w:bCs w:val="0"/>
          <w:color w:val="auto"/>
          <w:szCs w:val="21"/>
          <w:highlight w:val="none"/>
        </w:rPr>
        <w:t>）、其他投资者的份额持有期低于3个月（</w:t>
      </w:r>
      <w:r>
        <w:rPr>
          <w:rFonts w:hint="eastAsia" w:asciiTheme="minorEastAsia" w:hAnsiTheme="minorEastAsia" w:eastAsiaTheme="minorEastAsia"/>
          <w:b w:val="0"/>
          <w:bCs w:val="0"/>
          <w:color w:val="auto"/>
          <w:szCs w:val="21"/>
          <w:highlight w:val="none"/>
          <w:lang w:eastAsia="zh-CN"/>
        </w:rPr>
        <w:t>90个自然日</w:t>
      </w:r>
      <w:r>
        <w:rPr>
          <w:rFonts w:hint="eastAsia" w:asciiTheme="minorEastAsia" w:hAnsiTheme="minorEastAsia" w:eastAsiaTheme="minorEastAsia"/>
          <w:b w:val="0"/>
          <w:bCs w:val="0"/>
          <w:color w:val="auto"/>
          <w:szCs w:val="21"/>
          <w:highlight w:val="none"/>
        </w:rPr>
        <w:t>）</w:t>
      </w:r>
      <w:r>
        <w:rPr>
          <w:rFonts w:hint="eastAsia" w:ascii="宋体" w:hAnsi="宋体"/>
          <w:b w:val="0"/>
          <w:bCs w:val="0"/>
          <w:color w:val="auto"/>
          <w:szCs w:val="21"/>
          <w:highlight w:val="none"/>
          <w:lang w:eastAsia="zh-CN"/>
        </w:rPr>
        <w:t>（</w:t>
      </w:r>
      <w:r>
        <w:rPr>
          <w:rFonts w:hint="eastAsia" w:ascii="宋体" w:hAnsi="宋体"/>
          <w:b w:val="0"/>
          <w:bCs w:val="0"/>
          <w:color w:val="auto"/>
          <w:szCs w:val="21"/>
          <w:highlight w:val="none"/>
          <w:lang w:val="en-US" w:eastAsia="zh-CN"/>
        </w:rPr>
        <w:t>如本基金对其他投资者设置份额锁定期</w:t>
      </w:r>
      <w:r>
        <w:rPr>
          <w:rFonts w:hint="eastAsia" w:ascii="宋体" w:hAnsi="宋体"/>
          <w:b w:val="0"/>
          <w:bCs w:val="0"/>
          <w:color w:val="auto"/>
          <w:szCs w:val="21"/>
          <w:highlight w:val="none"/>
          <w:lang w:eastAsia="zh-CN"/>
        </w:rPr>
        <w:t>）</w:t>
      </w:r>
      <w:r>
        <w:rPr>
          <w:rFonts w:hint="eastAsia" w:asciiTheme="minorEastAsia" w:hAnsiTheme="minorEastAsia" w:eastAsiaTheme="minorEastAsia"/>
          <w:b w:val="0"/>
          <w:bCs w:val="0"/>
          <w:color w:val="auto"/>
          <w:szCs w:val="21"/>
          <w:highlight w:val="none"/>
        </w:rPr>
        <w:t>的，不得赎回该等基金份额）</w:t>
      </w:r>
      <w:r>
        <w:rPr>
          <w:rFonts w:hint="eastAsia" w:ascii="宋体" w:hAnsi="宋体"/>
          <w:color w:val="auto"/>
          <w:szCs w:val="21"/>
          <w:highlight w:val="none"/>
          <w:lang w:val="en-US" w:eastAsia="zh-CN"/>
        </w:rPr>
        <w:t>。</w:t>
      </w:r>
    </w:p>
    <w:p w14:paraId="4DAAF0B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（四）投资策略：</w:t>
      </w:r>
    </w:p>
    <w:p w14:paraId="34A399C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采用中证500指数增强策略，使用基金管理人自研的Alpha多因子里化选股模型。在本基金的投资过程中，通过分析市场数据，构建各类选股因子。通过分析单个因子在多个维度上的综合表现，动态分配因子权重，从全市场中筛选目标建仓股票池，同时根据管理人自身研判，在合适的时机配置适当的融资头寸和股指期货、场内</w:t>
      </w:r>
      <w:r>
        <w:rPr>
          <w:rFonts w:hint="eastAsia" w:asciiTheme="minorEastAsia" w:hAnsiTheme="minorEastAsia" w:eastAsiaTheme="minorEastAsia"/>
          <w:color w:val="auto"/>
          <w:szCs w:val="21"/>
          <w:highlight w:val="none"/>
          <w:lang w:val="en-US" w:eastAsia="zh-CN"/>
        </w:rPr>
        <w:t>期权</w:t>
      </w:r>
      <w:r>
        <w:rPr>
          <w:rFonts w:hint="eastAsia" w:asciiTheme="minorEastAsia" w:hAnsiTheme="minorEastAsia" w:eastAsiaTheme="minorEastAsia"/>
          <w:color w:val="auto"/>
          <w:szCs w:val="21"/>
          <w:highlight w:val="none"/>
        </w:rPr>
        <w:t>对冲构造投资组合，并审慎、适时地运用股指期货，对于申购资金到账前的对标建仓等情况，利用股指期货的杠杆作用以及流动性较好等特点，有效管理现金流，及时调整补足投资组合的仓位，以提高组合的运作效率，降低基金资产调整的冲击成本，并更好地应对大额申购赎回等流动性风险，力争获得较为理想的投资收益回报。该策略可覆盖大多数现有市场数据来源，不依赖少数特定因子，力求因子类型分布的均衡分散和多样化，针对行业和风格偏离将从因子到组合进行双重策略风控，最终力争实现投资组合的相对理想表现。</w:t>
      </w:r>
    </w:p>
    <w:p w14:paraId="0B38BB0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（五）投资限制</w:t>
      </w:r>
    </w:p>
    <w:p w14:paraId="269E37A2">
      <w:pPr>
        <w:adjustRightInd w:val="0"/>
        <w:snapToGrid w:val="0"/>
        <w:spacing w:before="93" w:beforeLines="30" w:after="93" w:afterLines="30" w:line="360" w:lineRule="auto"/>
        <w:ind w:left="0" w:firstLine="420" w:firstLineChars="200"/>
        <w:rPr>
          <w:rFonts w:hint="eastAsia" w:ascii="宋体" w:hAnsi="宋体"/>
          <w:color w:val="auto"/>
          <w:szCs w:val="21"/>
          <w:highlight w:val="none"/>
          <w:lang w:val="en-US" w:eastAsia="zh-CN"/>
        </w:rPr>
      </w:pPr>
      <w:bookmarkStart w:id="45" w:name="_Hlk106884155"/>
      <w:r>
        <w:rPr>
          <w:rFonts w:hint="eastAsia" w:ascii="宋体" w:hAnsi="宋体"/>
          <w:color w:val="auto"/>
          <w:szCs w:val="21"/>
          <w:highlight w:val="none"/>
          <w:lang w:val="en-US" w:eastAsia="zh-CN"/>
        </w:rPr>
        <w:t>1、本基金存续期内，基金总资产与净资产的比例不得超过200%。本基金投向AA级及以下信用债(可转债除外)、流动性受限资产合计不超过基金净资产20%。</w:t>
      </w:r>
    </w:p>
    <w:p w14:paraId="2118131C">
      <w:pPr>
        <w:adjustRightInd w:val="0"/>
        <w:snapToGrid w:val="0"/>
        <w:spacing w:before="93" w:beforeLines="30" w:after="93" w:afterLines="30" w:line="360" w:lineRule="auto"/>
        <w:ind w:left="0" w:firstLine="420" w:firstLineChars="200"/>
        <w:rPr>
          <w:rFonts w:hint="eastAsia" w:ascii="宋体" w:hAnsi="宋体" w:eastAsia="宋体"/>
          <w:color w:val="auto"/>
          <w:szCs w:val="21"/>
          <w:highlight w:val="none"/>
          <w:lang w:val="en-US" w:eastAsia="zh-CN"/>
        </w:rPr>
      </w:pPr>
      <w:r>
        <w:rPr>
          <w:rFonts w:hint="eastAsia" w:ascii="宋体" w:hAnsi="宋体"/>
          <w:color w:val="auto"/>
          <w:szCs w:val="21"/>
          <w:highlight w:val="none"/>
          <w:lang w:val="en-US" w:eastAsia="zh-CN"/>
        </w:rPr>
        <w:t>2、按市值计算，本基金直接和间接投资于股票等股权类资产的比例不低于本基金已投资产80%，已投资产不包含现金管理工具。</w:t>
      </w:r>
      <w:r>
        <w:rPr>
          <w:rFonts w:hint="eastAsia"/>
          <w:color w:val="auto"/>
          <w:highlight w:val="none"/>
        </w:rPr>
        <w:t>如本基金投资其他资管产品（含私募基金）的，本条监控按照穿透合并计算进行</w:t>
      </w:r>
      <w:r>
        <w:rPr>
          <w:rFonts w:hint="eastAsia"/>
          <w:color w:val="auto"/>
          <w:highlight w:val="none"/>
          <w:lang w:eastAsia="zh-CN"/>
        </w:rPr>
        <w:t>。</w:t>
      </w:r>
    </w:p>
    <w:p w14:paraId="5FBDC9B4">
      <w:pPr>
        <w:adjustRightInd w:val="0"/>
        <w:snapToGrid w:val="0"/>
        <w:spacing w:before="93" w:beforeLines="30" w:after="93" w:afterLines="30" w:line="360" w:lineRule="auto"/>
        <w:ind w:left="0" w:firstLine="420" w:firstLineChars="200"/>
        <w:rPr>
          <w:rFonts w:hint="eastAsia" w:ascii="宋体" w:hAnsi="宋体"/>
          <w:color w:val="auto"/>
          <w:szCs w:val="21"/>
          <w:highlight w:val="none"/>
          <w:lang w:val="en-US" w:eastAsia="zh-CN"/>
        </w:rPr>
      </w:pPr>
      <w:r>
        <w:rPr>
          <w:rFonts w:hint="eastAsia" w:ascii="宋体" w:hAnsi="宋体"/>
          <w:color w:val="auto"/>
          <w:szCs w:val="21"/>
          <w:highlight w:val="none"/>
          <w:lang w:val="en-US" w:eastAsia="zh-CN"/>
        </w:rPr>
        <w:t>3、</w:t>
      </w:r>
      <w:r>
        <w:rPr>
          <w:rFonts w:hint="eastAsia" w:asciiTheme="minorEastAsia" w:hAnsiTheme="minorEastAsia" w:eastAsiaTheme="minorEastAsia"/>
          <w:color w:val="auto"/>
          <w:szCs w:val="21"/>
          <w:highlight w:val="none"/>
        </w:rPr>
        <w:t>按市值和成本孰低计算</w:t>
      </w:r>
      <w:r>
        <w:rPr>
          <w:rFonts w:hint="eastAsia" w:asciiTheme="minorEastAsia" w:hAnsiTheme="minorEastAsia" w:eastAsiaTheme="minorEastAsia"/>
          <w:color w:val="auto"/>
          <w:szCs w:val="21"/>
          <w:highlight w:val="none"/>
          <w:lang w:eastAsia="zh-CN"/>
        </w:rPr>
        <w:t>，</w:t>
      </w:r>
      <w:r>
        <w:rPr>
          <w:rFonts w:hint="eastAsia" w:ascii="宋体" w:hAnsi="宋体"/>
          <w:color w:val="auto"/>
          <w:szCs w:val="21"/>
          <w:highlight w:val="none"/>
          <w:lang w:val="en-US" w:eastAsia="zh-CN"/>
        </w:rPr>
        <w:t>本基金投资于同一资产的资金，不得超过基金净资产的25%（</w:t>
      </w:r>
      <w:r>
        <w:rPr>
          <w:rFonts w:hint="eastAsia"/>
          <w:color w:val="auto"/>
          <w:highlight w:val="none"/>
        </w:rPr>
        <w:t>银行活期存款、国债、债券通用质押式回购、中央银行票据、政策性金融债、地方政府债券、公开募集基金等中国证监会、基金业协会认可的投资品种除外</w:t>
      </w:r>
      <w:r>
        <w:rPr>
          <w:rFonts w:hint="eastAsia" w:ascii="宋体" w:hAnsi="宋体"/>
          <w:color w:val="auto"/>
          <w:szCs w:val="21"/>
          <w:highlight w:val="none"/>
          <w:lang w:val="en-US" w:eastAsia="zh-CN"/>
        </w:rPr>
        <w:t>）。</w:t>
      </w:r>
      <w:r>
        <w:rPr>
          <w:rFonts w:hint="eastAsia"/>
          <w:color w:val="auto"/>
          <w:highlight w:val="none"/>
        </w:rPr>
        <w:t>如本基金投资其他资管产品（含私募基金）的，本条监控按照穿透合并计算进行</w:t>
      </w:r>
      <w:r>
        <w:rPr>
          <w:rFonts w:hint="eastAsia"/>
          <w:color w:val="auto"/>
          <w:highlight w:val="none"/>
          <w:lang w:eastAsia="zh-CN"/>
        </w:rPr>
        <w:t>。</w:t>
      </w:r>
    </w:p>
    <w:p w14:paraId="552A2AB3">
      <w:pPr>
        <w:adjustRightInd w:val="0"/>
        <w:snapToGrid w:val="0"/>
        <w:spacing w:before="93" w:beforeLines="30" w:after="93" w:afterLines="30" w:line="360" w:lineRule="auto"/>
        <w:ind w:left="0" w:firstLine="420" w:firstLineChars="200"/>
        <w:rPr>
          <w:rFonts w:hint="eastAsia" w:ascii="宋体" w:hAnsi="宋体" w:cs="宋体"/>
          <w:color w:val="auto"/>
          <w:szCs w:val="21"/>
          <w:highlight w:val="none"/>
          <w:lang w:val="en-US" w:eastAsia="zh-CN"/>
        </w:rPr>
      </w:pPr>
      <w:r>
        <w:rPr>
          <w:rFonts w:hint="eastAsia" w:ascii="宋体" w:hAnsi="宋体"/>
          <w:color w:val="auto"/>
          <w:szCs w:val="21"/>
          <w:highlight w:val="none"/>
          <w:lang w:val="en-US" w:eastAsia="zh-CN"/>
        </w:rPr>
        <w:t>4、本基金管理人管理的全部私募证券投资基金投资于同一资产的资金，不得超过该资产</w:t>
      </w:r>
      <w:r>
        <w:rPr>
          <w:rFonts w:hint="eastAsia" w:ascii="宋体" w:hAnsi="宋体" w:cs="宋体"/>
          <w:color w:val="auto"/>
          <w:szCs w:val="21"/>
          <w:highlight w:val="none"/>
          <w:lang w:val="en-US" w:eastAsia="zh-CN"/>
        </w:rPr>
        <w:t>的25%</w:t>
      </w:r>
      <w:r>
        <w:rPr>
          <w:rFonts w:hint="eastAsia" w:ascii="宋体" w:hAnsi="宋体"/>
          <w:color w:val="auto"/>
          <w:szCs w:val="21"/>
          <w:highlight w:val="none"/>
          <w:lang w:val="en-US" w:eastAsia="zh-CN"/>
        </w:rPr>
        <w:t>（</w:t>
      </w:r>
      <w:r>
        <w:rPr>
          <w:rFonts w:hint="eastAsia"/>
          <w:color w:val="auto"/>
          <w:highlight w:val="none"/>
        </w:rPr>
        <w:t>银行活期存款、国债、债券通用质押式回购、中央银行票据、政策性金融债、地方政府债券、公开募集基金等中国证监会、基金业协会认可的投资品种除外</w:t>
      </w:r>
      <w:r>
        <w:rPr>
          <w:rFonts w:hint="eastAsia" w:ascii="宋体" w:hAnsi="宋体"/>
          <w:color w:val="auto"/>
          <w:szCs w:val="21"/>
          <w:highlight w:val="none"/>
          <w:lang w:val="en-US" w:eastAsia="zh-CN"/>
        </w:rPr>
        <w:t>）（本条由管理人自行监控）。</w:t>
      </w:r>
    </w:p>
    <w:p w14:paraId="58F70FE5">
      <w:pPr>
        <w:pStyle w:val="13"/>
        <w:numPr>
          <w:ilvl w:val="-1"/>
          <w:numId w:val="0"/>
        </w:numPr>
        <w:adjustRightInd w:val="0"/>
        <w:snapToGrid w:val="0"/>
        <w:spacing w:line="324" w:lineRule="auto"/>
        <w:ind w:left="0" w:leftChars="0" w:firstLine="420" w:firstLineChars="200"/>
        <w:rPr>
          <w:rFonts w:hint="eastAsia" w:ascii="宋体" w:hAnsi="宋体" w:eastAsia="宋体" w:cs="宋体"/>
          <w:color w:val="auto"/>
          <w:highlight w:val="none"/>
          <w:lang w:val="en-US" w:eastAsia="zh-CN"/>
        </w:rPr>
      </w:pPr>
      <w:r>
        <w:rPr>
          <w:rFonts w:hint="eastAsia" w:ascii="宋体" w:hAnsi="宋体" w:cs="Times New Roman"/>
          <w:color w:val="auto"/>
          <w:szCs w:val="21"/>
          <w:highlight w:val="none"/>
          <w:lang w:val="en-US" w:eastAsia="zh-CN"/>
        </w:rPr>
        <w:t>5、</w:t>
      </w:r>
      <w:r>
        <w:rPr>
          <w:rFonts w:hint="eastAsia" w:ascii="宋体" w:hAnsi="宋体"/>
          <w:color w:val="auto"/>
          <w:szCs w:val="21"/>
          <w:highlight w:val="none"/>
          <w:lang w:val="en-US" w:eastAsia="zh-CN"/>
        </w:rPr>
        <w:t>本基金管理人</w:t>
      </w:r>
      <w:r>
        <w:rPr>
          <w:rFonts w:hint="eastAsia" w:ascii="宋体" w:hAnsi="宋体" w:cs="Times New Roman"/>
          <w:color w:val="auto"/>
          <w:szCs w:val="21"/>
          <w:highlight w:val="none"/>
          <w:lang w:val="en-US" w:eastAsia="zh-CN"/>
        </w:rPr>
        <w:t>同一实际控制人控制的私募证券基金管理人的自有资金、管理的所有私募证券投资基金、担任投资顾问的资产管理产品合计持有单一上市公司发行的股票不得超过该上市公司可流通股票的30%，中国证监会、协会另有规定的除外</w:t>
      </w:r>
      <w:r>
        <w:rPr>
          <w:rFonts w:hint="eastAsia" w:ascii="宋体" w:hAnsi="宋体"/>
          <w:color w:val="auto"/>
          <w:szCs w:val="21"/>
          <w:highlight w:val="none"/>
          <w:lang w:val="en-US" w:eastAsia="zh-CN"/>
        </w:rPr>
        <w:t>（本条由管理人自行监控）</w:t>
      </w:r>
      <w:r>
        <w:rPr>
          <w:rFonts w:hint="eastAsia" w:ascii="宋体" w:hAnsi="宋体" w:cs="Times New Roman"/>
          <w:color w:val="auto"/>
          <w:szCs w:val="21"/>
          <w:highlight w:val="none"/>
          <w:lang w:val="en-US" w:eastAsia="zh-CN"/>
        </w:rPr>
        <w:t>。</w:t>
      </w:r>
    </w:p>
    <w:p w14:paraId="60E5A788">
      <w:pPr>
        <w:pStyle w:val="13"/>
        <w:adjustRightInd w:val="0"/>
        <w:snapToGrid w:val="0"/>
        <w:spacing w:line="360" w:lineRule="auto"/>
        <w:ind w:firstLine="422"/>
        <w:rPr>
          <w:rFonts w:hint="eastAsia"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特别申明：</w:t>
      </w:r>
    </w:p>
    <w:bookmarkEnd w:id="45"/>
    <w:p w14:paraId="3E6E9CD4">
      <w:pPr>
        <w:pStyle w:val="13"/>
        <w:adjustRightInd w:val="0"/>
        <w:snapToGrid w:val="0"/>
        <w:spacing w:before="93" w:beforeLines="30" w:after="93" w:afterLines="30" w:line="360" w:lineRule="auto"/>
        <w:ind w:firstLine="422" w:firstLineChars="200"/>
        <w:rPr>
          <w:rFonts w:hint="eastAsia"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私募证券投资基金参与场外衍生品交易的（如有），私募基金管理人应当在该基金下一估值日前将场外衍生品交易情况、交易文件等提供给私募基金托管人。私募基金管理人签订场外衍生品交易文件时，应当明确授权由交易对手方、相关交易的清算机构在该基金下一估值日前直接向私募基金托管人提供场外衍生品交易文件并持续提供估值信息。如因私募基金管理人（或交易对手方、相关交易的清算机构等）未提供/未及时向私募基金托管人提供前述材料或者向私募基金托管人提供虚假或不完整材料，导致私募基金托管人无法进行监督的，私募基金托管人免责。本基金投资场外衍生品时（如有），</w:t>
      </w:r>
      <w:r>
        <w:rPr>
          <w:rFonts w:hint="eastAsia" w:asciiTheme="minorEastAsia" w:hAnsiTheme="minorEastAsia" w:eastAsiaTheme="minorEastAsia"/>
          <w:b/>
          <w:bCs/>
          <w:color w:val="auto"/>
          <w:szCs w:val="21"/>
          <w:highlight w:val="none"/>
          <w:lang w:val="en-US" w:eastAsia="zh-CN"/>
        </w:rPr>
        <w:t>私募</w:t>
      </w:r>
      <w:r>
        <w:rPr>
          <w:rFonts w:hint="eastAsia" w:asciiTheme="minorEastAsia" w:hAnsiTheme="minorEastAsia" w:eastAsiaTheme="minorEastAsia"/>
          <w:b/>
          <w:bCs/>
          <w:color w:val="auto"/>
          <w:szCs w:val="21"/>
          <w:highlight w:val="none"/>
        </w:rPr>
        <w:t>基金管理人应确保本基金符合投资者适当性要求，确保本基金及所投资的场外衍生品符合监管要求和本合同对其特殊约定（如有）</w:t>
      </w:r>
      <w:r>
        <w:rPr>
          <w:rFonts w:hint="eastAsia" w:asciiTheme="minorEastAsia" w:hAnsiTheme="minorEastAsia" w:eastAsiaTheme="minorEastAsia"/>
          <w:b/>
          <w:bCs/>
          <w:color w:val="auto"/>
          <w:szCs w:val="21"/>
          <w:highlight w:val="none"/>
          <w:lang w:eastAsia="zh-CN"/>
        </w:rPr>
        <w:t>。</w:t>
      </w:r>
    </w:p>
    <w:p w14:paraId="0BE87C76">
      <w:pPr>
        <w:adjustRightInd w:val="0"/>
        <w:snapToGrid w:val="0"/>
        <w:spacing w:before="93" w:beforeLines="30" w:after="93" w:afterLines="30" w:line="360" w:lineRule="auto"/>
        <w:ind w:firstLine="422" w:firstLineChars="200"/>
        <w:rPr>
          <w:rFonts w:hint="eastAsia"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私募证券投资基金开展债券质押式协议回购业务的（如有），私募基金管理人（或其指定的相关清算机构等）应当在该基金下一估值日前将参与债券质押式协议回购业务的交易文件、交易对手方及质押标的等信息提供给私募基金托管人。如因私募基金管理人（或其指定的相关清算机构等）未提供/未及时向私募基金托管人提供前述材料或者向私募基金托管人提供虚假或不完整材料，导致私募基金托管人无法进行监督的，私募基金托管人免责。</w:t>
      </w:r>
    </w:p>
    <w:p w14:paraId="2D104891">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以上投资比例及限制中</w:t>
      </w:r>
      <w:r>
        <w:rPr>
          <w:rFonts w:asciiTheme="minorEastAsia" w:hAnsiTheme="minorEastAsia" w:eastAsiaTheme="minorEastAsia"/>
          <w:b/>
          <w:bCs/>
          <w:color w:val="auto"/>
          <w:szCs w:val="21"/>
          <w:highlight w:val="none"/>
        </w:rPr>
        <w:t>，如涉及新股新债申购的申报金额与数量、盘中监控、交易策略类等监控事项的，由基金管理人自行监控，基金托管人不承担投资监督职责。</w:t>
      </w:r>
    </w:p>
    <w:p w14:paraId="70B28D76">
      <w:pPr>
        <w:pStyle w:val="13"/>
        <w:adjustRightInd w:val="0"/>
        <w:snapToGrid w:val="0"/>
        <w:spacing w:before="93" w:beforeLines="30" w:after="93" w:afterLines="30" w:line="360" w:lineRule="auto"/>
        <w:ind w:firstLine="422" w:firstLineChars="200"/>
        <w:rPr>
          <w:rFonts w:hint="eastAsia" w:asciiTheme="minorEastAsia" w:hAnsiTheme="minorEastAsia" w:eastAsiaTheme="minorEastAsia"/>
          <w:b/>
          <w:bCs/>
          <w:color w:val="auto"/>
          <w:szCs w:val="21"/>
          <w:highlight w:val="none"/>
        </w:rPr>
      </w:pPr>
      <w:r>
        <w:rPr>
          <w:rFonts w:asciiTheme="minorEastAsia" w:hAnsiTheme="minorEastAsia" w:eastAsiaTheme="minorEastAsia"/>
          <w:b/>
          <w:bCs/>
          <w:color w:val="auto"/>
          <w:szCs w:val="21"/>
          <w:highlight w:val="none"/>
        </w:rPr>
        <w:t>本基金投资其他金融产品时（如有），</w:t>
      </w:r>
      <w:r>
        <w:rPr>
          <w:rFonts w:hint="eastAsia" w:asciiTheme="minorEastAsia" w:hAnsiTheme="minorEastAsia" w:eastAsiaTheme="minorEastAsia"/>
          <w:b/>
          <w:bCs/>
          <w:color w:val="auto"/>
          <w:szCs w:val="21"/>
          <w:highlight w:val="none"/>
          <w:lang w:val="en-US" w:eastAsia="zh-CN"/>
        </w:rPr>
        <w:t>私募基金管理人保证严格遵守</w:t>
      </w:r>
      <w:r>
        <w:rPr>
          <w:rFonts w:asciiTheme="minorEastAsia" w:hAnsiTheme="minorEastAsia" w:eastAsiaTheme="minorEastAsia"/>
          <w:b/>
          <w:bCs/>
          <w:color w:val="auto"/>
          <w:szCs w:val="21"/>
          <w:highlight w:val="none"/>
        </w:rPr>
        <w:t>监管</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lang w:val="en-US" w:eastAsia="zh-CN"/>
        </w:rPr>
        <w:t>自律组织等</w:t>
      </w:r>
      <w:r>
        <w:rPr>
          <w:rFonts w:asciiTheme="minorEastAsia" w:hAnsiTheme="minorEastAsia" w:eastAsiaTheme="minorEastAsia"/>
          <w:b/>
          <w:bCs/>
          <w:color w:val="auto"/>
          <w:szCs w:val="21"/>
          <w:highlight w:val="none"/>
        </w:rPr>
        <w:t>要求对下层资产进行穿透审核</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lang w:val="en-US" w:eastAsia="zh-CN"/>
        </w:rPr>
        <w:t>1、私募基金管理人负责</w:t>
      </w:r>
      <w:r>
        <w:rPr>
          <w:rFonts w:asciiTheme="minorEastAsia" w:hAnsiTheme="minorEastAsia" w:eastAsiaTheme="minorEastAsia"/>
          <w:b/>
          <w:bCs/>
          <w:color w:val="auto"/>
          <w:szCs w:val="21"/>
          <w:highlight w:val="none"/>
        </w:rPr>
        <w:t>确保该金融产品的投资范围符合监管要求</w:t>
      </w:r>
      <w:r>
        <w:rPr>
          <w:rFonts w:hint="eastAsia" w:asciiTheme="minorEastAsia" w:hAnsiTheme="minorEastAsia" w:eastAsiaTheme="minorEastAsia"/>
          <w:b/>
          <w:bCs/>
          <w:color w:val="auto"/>
          <w:szCs w:val="21"/>
          <w:highlight w:val="none"/>
          <w:lang w:eastAsia="zh-CN"/>
        </w:rPr>
        <w:t>，</w:t>
      </w:r>
      <w:r>
        <w:rPr>
          <w:rFonts w:hint="eastAsia" w:ascii="宋体" w:hAnsi="宋体"/>
          <w:b/>
          <w:bCs/>
          <w:color w:val="auto"/>
          <w:highlight w:val="none"/>
        </w:rPr>
        <w:t>如本合同对拟投资标的进行穿透约定的（如投资某基金，对该基金的投向或如何运作进行约定），私募基金管理人负责审查本合同穿透约定与该投资标的交易文件的具体约定是否一致</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lang w:val="en-US" w:eastAsia="zh-CN"/>
        </w:rPr>
        <w:t>2、私募</w:t>
      </w:r>
      <w:r>
        <w:rPr>
          <w:rFonts w:asciiTheme="minorEastAsia" w:hAnsiTheme="minorEastAsia" w:eastAsiaTheme="minorEastAsia"/>
          <w:b/>
          <w:bCs/>
          <w:color w:val="auto"/>
          <w:szCs w:val="21"/>
          <w:highlight w:val="none"/>
        </w:rPr>
        <w:t>基金管理人</w:t>
      </w:r>
      <w:r>
        <w:rPr>
          <w:rFonts w:hint="eastAsia" w:asciiTheme="minorEastAsia" w:hAnsiTheme="minorEastAsia" w:eastAsiaTheme="minorEastAsia"/>
          <w:b/>
          <w:bCs/>
          <w:color w:val="auto"/>
          <w:szCs w:val="21"/>
          <w:highlight w:val="none"/>
        </w:rPr>
        <w:t>负责</w:t>
      </w:r>
      <w:r>
        <w:rPr>
          <w:rFonts w:asciiTheme="minorEastAsia" w:hAnsiTheme="minorEastAsia" w:eastAsiaTheme="minorEastAsia"/>
          <w:b/>
          <w:bCs/>
          <w:color w:val="auto"/>
          <w:szCs w:val="21"/>
          <w:highlight w:val="none"/>
        </w:rPr>
        <w:t>按</w:t>
      </w:r>
      <w:r>
        <w:rPr>
          <w:rFonts w:hint="eastAsia" w:asciiTheme="minorEastAsia" w:hAnsiTheme="minorEastAsia" w:eastAsiaTheme="minorEastAsia"/>
          <w:b/>
          <w:bCs/>
          <w:color w:val="auto"/>
          <w:szCs w:val="21"/>
          <w:highlight w:val="none"/>
          <w:lang w:val="en-US" w:eastAsia="zh-CN"/>
        </w:rPr>
        <w:t>照</w:t>
      </w:r>
      <w:r>
        <w:rPr>
          <w:rFonts w:asciiTheme="minorEastAsia" w:hAnsiTheme="minorEastAsia" w:eastAsiaTheme="minorEastAsia"/>
          <w:b/>
          <w:bCs/>
          <w:color w:val="auto"/>
          <w:szCs w:val="21"/>
          <w:highlight w:val="none"/>
        </w:rPr>
        <w:t>穿透</w:t>
      </w:r>
      <w:r>
        <w:rPr>
          <w:rFonts w:hint="eastAsia" w:asciiTheme="minorEastAsia" w:hAnsiTheme="minorEastAsia" w:eastAsiaTheme="minorEastAsia"/>
          <w:b/>
          <w:bCs/>
          <w:color w:val="auto"/>
          <w:szCs w:val="21"/>
          <w:highlight w:val="none"/>
          <w:lang w:val="en-US" w:eastAsia="zh-CN"/>
        </w:rPr>
        <w:t>原则</w:t>
      </w:r>
      <w:r>
        <w:rPr>
          <w:rFonts w:hint="eastAsia" w:ascii="宋体" w:hAnsi="宋体"/>
          <w:b/>
          <w:bCs/>
          <w:color w:val="auto"/>
          <w:highlight w:val="none"/>
        </w:rPr>
        <w:t>合并计算</w:t>
      </w:r>
      <w:r>
        <w:rPr>
          <w:rFonts w:hint="eastAsia" w:ascii="宋体" w:hAnsi="宋体"/>
          <w:b/>
          <w:bCs/>
          <w:color w:val="auto"/>
          <w:highlight w:val="none"/>
          <w:lang w:val="en-US" w:eastAsia="zh-CN"/>
        </w:rPr>
        <w:t>已投基金的资产比例、金额以及组合投资要求</w:t>
      </w:r>
      <w:r>
        <w:rPr>
          <w:rFonts w:hint="eastAsia" w:ascii="宋体" w:hAnsi="宋体"/>
          <w:b/>
          <w:bCs/>
          <w:color w:val="auto"/>
          <w:highlight w:val="none"/>
        </w:rPr>
        <w:t>等</w:t>
      </w:r>
      <w:r>
        <w:rPr>
          <w:rFonts w:hint="eastAsia" w:ascii="宋体" w:hAnsi="宋体"/>
          <w:b/>
          <w:bCs/>
          <w:color w:val="auto"/>
          <w:highlight w:val="none"/>
          <w:lang w:val="en-US" w:eastAsia="zh-CN"/>
        </w:rPr>
        <w:t>是否符合要求</w:t>
      </w:r>
      <w:r>
        <w:rPr>
          <w:rFonts w:hint="eastAsia" w:ascii="宋体" w:hAnsi="宋体"/>
          <w:b/>
          <w:bCs/>
          <w:color w:val="auto"/>
          <w:highlight w:val="none"/>
          <w:lang w:eastAsia="zh-CN"/>
        </w:rPr>
        <w:t>，</w:t>
      </w:r>
      <w:r>
        <w:rPr>
          <w:rFonts w:hint="eastAsia" w:ascii="宋体" w:hAnsi="宋体"/>
          <w:b/>
          <w:bCs/>
          <w:color w:val="auto"/>
          <w:highlight w:val="none"/>
          <w:lang w:val="en-US" w:eastAsia="zh-CN"/>
        </w:rPr>
        <w:t>私募基金</w:t>
      </w:r>
      <w:r>
        <w:rPr>
          <w:rFonts w:hint="eastAsia" w:ascii="宋体" w:hAnsi="宋体"/>
          <w:b/>
          <w:bCs/>
          <w:color w:val="auto"/>
          <w:highlight w:val="none"/>
        </w:rPr>
        <w:t>管理人应当</w:t>
      </w:r>
      <w:r>
        <w:rPr>
          <w:rFonts w:hint="eastAsia" w:ascii="宋体" w:hAnsi="宋体"/>
          <w:b/>
          <w:bCs/>
          <w:color w:val="auto"/>
          <w:highlight w:val="none"/>
          <w:lang w:eastAsia="zh-CN"/>
        </w:rPr>
        <w:t>按照所投资</w:t>
      </w:r>
      <w:r>
        <w:rPr>
          <w:rFonts w:hint="eastAsia" w:ascii="宋体" w:hAnsi="宋体"/>
          <w:b/>
          <w:bCs/>
          <w:color w:val="auto"/>
          <w:highlight w:val="none"/>
          <w:lang w:val="en-US" w:eastAsia="zh-CN"/>
        </w:rPr>
        <w:t>金融</w:t>
      </w:r>
      <w:r>
        <w:rPr>
          <w:rFonts w:hint="eastAsia" w:ascii="宋体" w:hAnsi="宋体"/>
          <w:b/>
          <w:bCs/>
          <w:color w:val="auto"/>
          <w:highlight w:val="none"/>
          <w:lang w:eastAsia="zh-CN"/>
        </w:rPr>
        <w:t>产品披露投资组合的频率，及时更新计算本基金所投资资产的金额或比例，并至少按季度向</w:t>
      </w:r>
      <w:r>
        <w:rPr>
          <w:rFonts w:hint="eastAsia" w:ascii="宋体" w:hAnsi="宋体"/>
          <w:b/>
          <w:bCs/>
          <w:color w:val="auto"/>
          <w:highlight w:val="none"/>
          <w:lang w:val="en-US" w:eastAsia="zh-CN"/>
        </w:rPr>
        <w:t>私募基金</w:t>
      </w:r>
      <w:r>
        <w:rPr>
          <w:rFonts w:hint="eastAsia" w:ascii="宋体" w:hAnsi="宋体"/>
          <w:b/>
          <w:bCs/>
          <w:color w:val="auto"/>
          <w:highlight w:val="none"/>
          <w:lang w:eastAsia="zh-CN"/>
        </w:rPr>
        <w:t>托管人主动发送</w:t>
      </w:r>
      <w:r>
        <w:rPr>
          <w:rFonts w:hint="eastAsia" w:ascii="宋体" w:hAnsi="宋体"/>
          <w:b/>
          <w:bCs/>
          <w:color w:val="auto"/>
          <w:highlight w:val="none"/>
          <w:lang w:val="en-US" w:eastAsia="zh-CN"/>
        </w:rPr>
        <w:t>私募基金</w:t>
      </w:r>
      <w:r>
        <w:rPr>
          <w:rFonts w:hint="eastAsia" w:ascii="宋体" w:hAnsi="宋体"/>
          <w:b/>
          <w:bCs/>
          <w:color w:val="auto"/>
          <w:highlight w:val="none"/>
          <w:lang w:eastAsia="zh-CN"/>
        </w:rPr>
        <w:t>管理人计算的穿透后各类资产比例以及相关核查</w:t>
      </w:r>
      <w:r>
        <w:rPr>
          <w:rFonts w:hint="eastAsia" w:ascii="宋体" w:hAnsi="宋体"/>
          <w:b/>
          <w:bCs/>
          <w:color w:val="auto"/>
          <w:highlight w:val="none"/>
          <w:lang w:val="en-US" w:eastAsia="zh-CN"/>
        </w:rPr>
        <w:t>材料</w:t>
      </w:r>
      <w:r>
        <w:rPr>
          <w:rFonts w:hint="eastAsia" w:ascii="宋体" w:hAnsi="宋体"/>
          <w:b/>
          <w:bCs/>
          <w:color w:val="auto"/>
          <w:highlight w:val="none"/>
        </w:rPr>
        <w:t>或计算数据，</w:t>
      </w:r>
      <w:r>
        <w:rPr>
          <w:rFonts w:hint="eastAsia" w:ascii="宋体" w:hAnsi="宋体"/>
          <w:b/>
          <w:bCs/>
          <w:color w:val="auto"/>
          <w:highlight w:val="none"/>
          <w:lang w:val="en-US" w:eastAsia="zh-CN"/>
        </w:rPr>
        <w:t>私募基金</w:t>
      </w:r>
      <w:r>
        <w:rPr>
          <w:rFonts w:hint="eastAsia" w:ascii="宋体" w:hAnsi="宋体"/>
          <w:b/>
          <w:bCs/>
          <w:color w:val="auto"/>
          <w:highlight w:val="none"/>
        </w:rPr>
        <w:t>托管人仅按照</w:t>
      </w:r>
      <w:r>
        <w:rPr>
          <w:rFonts w:hint="eastAsia" w:ascii="宋体" w:hAnsi="宋体"/>
          <w:b/>
          <w:bCs/>
          <w:color w:val="auto"/>
          <w:highlight w:val="none"/>
          <w:lang w:val="en-US" w:eastAsia="zh-CN"/>
        </w:rPr>
        <w:t>私募基金</w:t>
      </w:r>
      <w:r>
        <w:rPr>
          <w:rFonts w:hint="eastAsia" w:ascii="宋体" w:hAnsi="宋体"/>
          <w:b/>
          <w:bCs/>
          <w:color w:val="auto"/>
          <w:highlight w:val="none"/>
        </w:rPr>
        <w:t>管理人提供的数据材料及提供频率进行事后监督，</w:t>
      </w:r>
      <w:r>
        <w:rPr>
          <w:rFonts w:hint="eastAsia" w:ascii="宋体" w:hAnsi="宋体"/>
          <w:b/>
          <w:bCs/>
          <w:color w:val="auto"/>
          <w:highlight w:val="none"/>
          <w:lang w:val="en-US" w:eastAsia="zh-CN"/>
        </w:rPr>
        <w:t>私募基金</w:t>
      </w:r>
      <w:r>
        <w:rPr>
          <w:rFonts w:hint="eastAsia" w:ascii="宋体" w:hAnsi="宋体"/>
          <w:b/>
          <w:bCs/>
          <w:color w:val="auto"/>
          <w:highlight w:val="none"/>
        </w:rPr>
        <w:t>管理人应对所提供数据材料的真实性</w:t>
      </w:r>
      <w:r>
        <w:rPr>
          <w:rFonts w:hint="eastAsia" w:ascii="宋体" w:hAnsi="宋体"/>
          <w:b/>
          <w:bCs/>
          <w:color w:val="auto"/>
          <w:highlight w:val="none"/>
          <w:lang w:eastAsia="zh-CN"/>
        </w:rPr>
        <w:t>、</w:t>
      </w:r>
      <w:r>
        <w:rPr>
          <w:rFonts w:hint="eastAsia" w:ascii="宋体" w:hAnsi="宋体"/>
          <w:b/>
          <w:bCs/>
          <w:color w:val="auto"/>
          <w:highlight w:val="none"/>
        </w:rPr>
        <w:t>准确性以及完整性负责</w:t>
      </w:r>
      <w:r>
        <w:rPr>
          <w:rFonts w:hint="eastAsia" w:ascii="宋体" w:hAnsi="宋体"/>
          <w:b/>
          <w:bCs/>
          <w:color w:val="auto"/>
          <w:highlight w:val="none"/>
          <w:lang w:eastAsia="zh-CN"/>
        </w:rPr>
        <w:t>，</w:t>
      </w:r>
      <w:r>
        <w:rPr>
          <w:rFonts w:hint="eastAsia" w:asciiTheme="minorEastAsia" w:hAnsiTheme="minorEastAsia" w:eastAsiaTheme="minorEastAsia"/>
          <w:b/>
          <w:bCs/>
          <w:color w:val="auto"/>
          <w:szCs w:val="21"/>
          <w:highlight w:val="none"/>
        </w:rPr>
        <w:t>如因私募基金管理人未提供/未及时向私募基金托管人提供前述材料或者向私募基金托管人提供虚假或不完整材料，导致私募基金托管人无法进行监督的，私募基金托管人免责</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rPr>
        <w:t>本基金如通过份额转让等方式投资金融产品时，</w:t>
      </w:r>
      <w:r>
        <w:rPr>
          <w:rFonts w:hint="eastAsia" w:asciiTheme="minorEastAsia" w:hAnsiTheme="minorEastAsia" w:eastAsiaTheme="minorEastAsia"/>
          <w:b/>
          <w:bCs/>
          <w:color w:val="auto"/>
          <w:szCs w:val="21"/>
          <w:highlight w:val="none"/>
          <w:lang w:val="en-US" w:eastAsia="zh-CN"/>
        </w:rPr>
        <w:t>私募基金管理人负责确保本基金投资金融产品符合嵌套层级的监管要求，</w:t>
      </w:r>
      <w:r>
        <w:rPr>
          <w:rFonts w:hint="eastAsia" w:asciiTheme="minorEastAsia" w:hAnsiTheme="minorEastAsia" w:eastAsiaTheme="minorEastAsia"/>
          <w:b/>
          <w:bCs/>
          <w:color w:val="auto"/>
          <w:szCs w:val="21"/>
          <w:highlight w:val="none"/>
        </w:rPr>
        <w:t>基金份额转让价格由</w:t>
      </w:r>
      <w:r>
        <w:rPr>
          <w:rFonts w:hint="eastAsia" w:asciiTheme="minorEastAsia" w:hAnsiTheme="minorEastAsia" w:eastAsiaTheme="minorEastAsia"/>
          <w:b/>
          <w:bCs/>
          <w:color w:val="auto"/>
          <w:szCs w:val="21"/>
          <w:highlight w:val="none"/>
          <w:lang w:val="en-US" w:eastAsia="zh-CN"/>
        </w:rPr>
        <w:t>私募</w:t>
      </w:r>
      <w:r>
        <w:rPr>
          <w:rFonts w:hint="eastAsia" w:asciiTheme="minorEastAsia" w:hAnsiTheme="minorEastAsia" w:eastAsiaTheme="minorEastAsia"/>
          <w:b/>
          <w:bCs/>
          <w:color w:val="auto"/>
          <w:szCs w:val="21"/>
          <w:highlight w:val="none"/>
        </w:rPr>
        <w:t>基金管理人负责控制和确定。</w:t>
      </w:r>
    </w:p>
    <w:p w14:paraId="7E4BBD2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由于包括但不限于证券、期货市场波动、上市公司合并、组合规模变动等基金管理人之外的原因导致的投资比例不符合本合同约定的投资限制或投资禁止政策，为被动超标。除法律法规或本合同另有约定外，基金管理人应在发生不符合法律法规或投资政策之日起的</w:t>
      </w:r>
      <w:r>
        <w:rPr>
          <w:rFonts w:hint="eastAsia" w:asciiTheme="minorEastAsia" w:hAnsiTheme="minorEastAsia" w:eastAsiaTheme="minorEastAsia"/>
          <w:color w:val="auto"/>
          <w:szCs w:val="21"/>
          <w:highlight w:val="none"/>
          <w:lang w:val="en-US" w:eastAsia="zh-CN"/>
        </w:rPr>
        <w:t>2</w:t>
      </w:r>
      <w:r>
        <w:rPr>
          <w:rFonts w:hint="eastAsia" w:asciiTheme="minorEastAsia" w:hAnsiTheme="minorEastAsia" w:eastAsiaTheme="minorEastAsia"/>
          <w:color w:val="auto"/>
          <w:szCs w:val="21"/>
          <w:highlight w:val="none"/>
        </w:rPr>
        <w:t>0个交易日内调整完毕。如发生证券停牌或其他非基金管理人可以控制的原因导致基金管理人不能履行调整义务的，则调整期限相应顺延。基金管理人应当自证券恢复交易之日起的</w:t>
      </w:r>
      <w:r>
        <w:rPr>
          <w:rFonts w:hint="eastAsia" w:asciiTheme="minorEastAsia" w:hAnsiTheme="minorEastAsia" w:eastAsiaTheme="minorEastAsia"/>
          <w:color w:val="auto"/>
          <w:szCs w:val="21"/>
          <w:highlight w:val="none"/>
          <w:lang w:val="en-US" w:eastAsia="zh-CN"/>
        </w:rPr>
        <w:t>2</w:t>
      </w:r>
      <w:r>
        <w:rPr>
          <w:rFonts w:hint="eastAsia" w:asciiTheme="minorEastAsia" w:hAnsiTheme="minorEastAsia" w:eastAsiaTheme="minorEastAsia"/>
          <w:color w:val="auto"/>
          <w:szCs w:val="21"/>
          <w:highlight w:val="none"/>
        </w:rPr>
        <w:t>0个交易日内调整完毕，法律、行政法规、金融监管部门另有规定的，从其规定。</w:t>
      </w:r>
    </w:p>
    <w:p w14:paraId="70C35403">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在本基金到期日前10个交易日内，因基金财产变现需要，本基金财产的投资比例限制可以不符合上述基金配置比例规定。</w:t>
      </w:r>
    </w:p>
    <w:p w14:paraId="7DC7A55C">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宋体" w:hAnsi="宋体"/>
          <w:color w:val="auto"/>
          <w:szCs w:val="21"/>
          <w:highlight w:val="none"/>
          <w:lang w:val="en-US" w:eastAsia="zh-CN"/>
        </w:rPr>
        <w:t>投资比例限制变更应经</w:t>
      </w:r>
      <w:r>
        <w:rPr>
          <w:rFonts w:hint="eastAsia" w:ascii="宋体" w:hAnsi="宋体" w:eastAsia="宋体"/>
          <w:color w:val="auto"/>
          <w:szCs w:val="21"/>
          <w:highlight w:val="none"/>
        </w:rPr>
        <w:t>私募基金管理人</w:t>
      </w:r>
      <w:r>
        <w:rPr>
          <w:rFonts w:hint="eastAsia" w:ascii="宋体" w:hAnsi="宋体" w:eastAsia="宋体"/>
          <w:color w:val="auto"/>
          <w:szCs w:val="21"/>
          <w:highlight w:val="none"/>
          <w:lang w:eastAsia="zh-CN"/>
        </w:rPr>
        <w:t>、</w:t>
      </w:r>
      <w:r>
        <w:rPr>
          <w:rFonts w:hint="eastAsia" w:ascii="宋体" w:hAnsi="宋体"/>
          <w:color w:val="auto"/>
          <w:szCs w:val="21"/>
          <w:highlight w:val="none"/>
          <w:lang w:val="en-US" w:eastAsia="zh-CN"/>
        </w:rPr>
        <w:t>基金份额持有人、私募基金托管人协商一致并签署生效补充协议，因</w:t>
      </w:r>
      <w:r>
        <w:rPr>
          <w:rFonts w:ascii="宋体" w:hAnsi="宋体"/>
          <w:color w:val="auto"/>
          <w:highlight w:val="none"/>
        </w:rPr>
        <w:t>法律法规</w:t>
      </w:r>
      <w:r>
        <w:rPr>
          <w:rFonts w:hint="eastAsia" w:ascii="宋体" w:hAnsi="宋体"/>
          <w:color w:val="auto"/>
          <w:highlight w:val="none"/>
        </w:rPr>
        <w:t>、中国证监会相关规定、行业指引、自律规则及有关政策</w:t>
      </w:r>
      <w:r>
        <w:rPr>
          <w:rFonts w:hint="eastAsia" w:ascii="宋体" w:hAnsi="宋体"/>
          <w:color w:val="auto"/>
          <w:szCs w:val="21"/>
          <w:highlight w:val="none"/>
          <w:lang w:val="en-US" w:eastAsia="zh-CN"/>
        </w:rPr>
        <w:t>变动的除外。投资比例限制变更时，私募基金管理人设置临时开放日允许不同意变更的基金份额持有人赎回</w:t>
      </w:r>
      <w:r>
        <w:rPr>
          <w:rFonts w:hint="eastAsia" w:asciiTheme="minorEastAsia" w:hAnsiTheme="minorEastAsia" w:eastAsiaTheme="minorEastAsia"/>
          <w:b w:val="0"/>
          <w:bCs w:val="0"/>
          <w:color w:val="auto"/>
          <w:szCs w:val="21"/>
          <w:highlight w:val="none"/>
        </w:rPr>
        <w:t>（本基金的管理人及其员工的份额持有期低于6个月（</w:t>
      </w:r>
      <w:r>
        <w:rPr>
          <w:rFonts w:hint="eastAsia" w:asciiTheme="minorEastAsia" w:hAnsiTheme="minorEastAsia" w:eastAsiaTheme="minorEastAsia"/>
          <w:b w:val="0"/>
          <w:bCs w:val="0"/>
          <w:color w:val="auto"/>
          <w:szCs w:val="21"/>
          <w:highlight w:val="none"/>
          <w:lang w:eastAsia="zh-CN"/>
        </w:rPr>
        <w:t>180个自然日</w:t>
      </w:r>
      <w:r>
        <w:rPr>
          <w:rFonts w:hint="eastAsia" w:asciiTheme="minorEastAsia" w:hAnsiTheme="minorEastAsia" w:eastAsiaTheme="minorEastAsia"/>
          <w:b w:val="0"/>
          <w:bCs w:val="0"/>
          <w:color w:val="auto"/>
          <w:szCs w:val="21"/>
          <w:highlight w:val="none"/>
        </w:rPr>
        <w:t>）、其他投资者的份额持有期低于3个月（</w:t>
      </w:r>
      <w:r>
        <w:rPr>
          <w:rFonts w:hint="eastAsia" w:asciiTheme="minorEastAsia" w:hAnsiTheme="minorEastAsia" w:eastAsiaTheme="minorEastAsia"/>
          <w:b w:val="0"/>
          <w:bCs w:val="0"/>
          <w:color w:val="auto"/>
          <w:szCs w:val="21"/>
          <w:highlight w:val="none"/>
          <w:lang w:eastAsia="zh-CN"/>
        </w:rPr>
        <w:t>90个自然日</w:t>
      </w:r>
      <w:r>
        <w:rPr>
          <w:rFonts w:hint="eastAsia" w:asciiTheme="minorEastAsia" w:hAnsiTheme="minorEastAsia" w:eastAsiaTheme="minorEastAsia"/>
          <w:b w:val="0"/>
          <w:bCs w:val="0"/>
          <w:color w:val="auto"/>
          <w:szCs w:val="21"/>
          <w:highlight w:val="none"/>
        </w:rPr>
        <w:t>）</w:t>
      </w:r>
      <w:r>
        <w:rPr>
          <w:rFonts w:hint="eastAsia" w:ascii="宋体" w:hAnsi="宋体"/>
          <w:b w:val="0"/>
          <w:bCs w:val="0"/>
          <w:color w:val="auto"/>
          <w:szCs w:val="21"/>
          <w:highlight w:val="none"/>
          <w:lang w:eastAsia="zh-CN"/>
        </w:rPr>
        <w:t>（</w:t>
      </w:r>
      <w:r>
        <w:rPr>
          <w:rFonts w:hint="eastAsia" w:ascii="宋体" w:hAnsi="宋体"/>
          <w:b w:val="0"/>
          <w:bCs w:val="0"/>
          <w:color w:val="auto"/>
          <w:szCs w:val="21"/>
          <w:highlight w:val="none"/>
          <w:lang w:val="en-US" w:eastAsia="zh-CN"/>
        </w:rPr>
        <w:t>如本基金对其他投资者设置份额锁定期</w:t>
      </w:r>
      <w:r>
        <w:rPr>
          <w:rFonts w:hint="eastAsia" w:ascii="宋体" w:hAnsi="宋体"/>
          <w:b w:val="0"/>
          <w:bCs w:val="0"/>
          <w:color w:val="auto"/>
          <w:szCs w:val="21"/>
          <w:highlight w:val="none"/>
          <w:lang w:eastAsia="zh-CN"/>
        </w:rPr>
        <w:t>）</w:t>
      </w:r>
      <w:r>
        <w:rPr>
          <w:rFonts w:hint="eastAsia" w:asciiTheme="minorEastAsia" w:hAnsiTheme="minorEastAsia" w:eastAsiaTheme="minorEastAsia"/>
          <w:b w:val="0"/>
          <w:bCs w:val="0"/>
          <w:color w:val="auto"/>
          <w:szCs w:val="21"/>
          <w:highlight w:val="none"/>
        </w:rPr>
        <w:t>的，不得赎回该等基金份额）</w:t>
      </w:r>
      <w:r>
        <w:rPr>
          <w:rFonts w:hint="eastAsia" w:ascii="宋体" w:hAnsi="宋体"/>
          <w:color w:val="auto"/>
          <w:szCs w:val="21"/>
          <w:highlight w:val="none"/>
          <w:lang w:val="en-US" w:eastAsia="zh-CN"/>
        </w:rPr>
        <w:t>。</w:t>
      </w:r>
    </w:p>
    <w:p w14:paraId="6EAF8F2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（六）投资禁止行为</w:t>
      </w:r>
    </w:p>
    <w:p w14:paraId="57C279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基金管理人不得利用基金财产从事下列行为或进行如下投资运作，若由此造成基金财产、合同当事人及第三方损失的，所有责任由基金管理人承担：</w:t>
      </w:r>
    </w:p>
    <w:p w14:paraId="53DD849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1、违反规定向他人提供担保；</w:t>
      </w:r>
    </w:p>
    <w:p w14:paraId="69E4A35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asciiTheme="minorEastAsia" w:hAnsiTheme="minorEastAsia" w:eastAsiaTheme="minorEastAsia"/>
          <w:color w:val="auto"/>
          <w:szCs w:val="21"/>
          <w:highlight w:val="none"/>
        </w:rPr>
        <w:t>从事承担无限责任的投资</w:t>
      </w:r>
      <w:r>
        <w:rPr>
          <w:rFonts w:hint="eastAsia" w:asciiTheme="minorEastAsia" w:hAnsiTheme="minorEastAsia" w:eastAsiaTheme="minorEastAsia"/>
          <w:color w:val="auto"/>
          <w:szCs w:val="21"/>
          <w:highlight w:val="none"/>
        </w:rPr>
        <w:t>；</w:t>
      </w:r>
    </w:p>
    <w:p w14:paraId="28EF90A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w:t>
      </w:r>
      <w:r>
        <w:rPr>
          <w:rFonts w:asciiTheme="minorEastAsia" w:hAnsiTheme="minorEastAsia" w:eastAsiaTheme="minorEastAsia"/>
          <w:color w:val="auto"/>
          <w:szCs w:val="21"/>
          <w:highlight w:val="none"/>
        </w:rPr>
        <w:t>从事内幕交易、操纵证券价格及其他不正当的证券交易活动</w:t>
      </w:r>
      <w:r>
        <w:rPr>
          <w:rFonts w:hint="eastAsia" w:asciiTheme="minorEastAsia" w:hAnsiTheme="minorEastAsia" w:eastAsiaTheme="minorEastAsia"/>
          <w:color w:val="auto"/>
          <w:szCs w:val="21"/>
          <w:highlight w:val="none"/>
        </w:rPr>
        <w:t>；</w:t>
      </w:r>
    </w:p>
    <w:p w14:paraId="6C2075ED">
      <w:pPr>
        <w:pStyle w:val="13"/>
        <w:numPr>
          <w:ilvl w:val="-1"/>
          <w:numId w:val="0"/>
        </w:numPr>
        <w:adjustRightInd w:val="0"/>
        <w:snapToGrid w:val="0"/>
        <w:spacing w:line="360" w:lineRule="auto"/>
        <w:ind w:left="0" w:leftChars="0"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4、基金接受资产管理产品投资或者管理人担任资产管理产品投资顾问的，管理人不得以自有资金、第三方资金直接或者间接为该资产管理产品提供风险补偿或者保本保收益安排。</w:t>
      </w:r>
    </w:p>
    <w:p w14:paraId="6584456F">
      <w:pPr>
        <w:pStyle w:val="13"/>
        <w:numPr>
          <w:ilvl w:val="-1"/>
          <w:numId w:val="0"/>
        </w:numPr>
        <w:adjustRightInd w:val="0"/>
        <w:snapToGrid w:val="0"/>
        <w:spacing w:line="360" w:lineRule="auto"/>
        <w:ind w:left="0" w:leftChars="0"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5、</w:t>
      </w:r>
      <w:r>
        <w:rPr>
          <w:rFonts w:hint="eastAsia" w:asciiTheme="minorEastAsia" w:hAnsiTheme="minorEastAsia" w:eastAsiaTheme="minorEastAsia"/>
          <w:color w:val="auto"/>
          <w:szCs w:val="21"/>
          <w:highlight w:val="none"/>
        </w:rPr>
        <w:t>不得通过场外衍生品、资产管理产品等规避私募基金监管要求。</w:t>
      </w:r>
    </w:p>
    <w:p w14:paraId="0A55022D">
      <w:pPr>
        <w:adjustRightInd w:val="0"/>
        <w:snapToGrid w:val="0"/>
        <w:spacing w:before="93" w:beforeLines="30" w:after="93" w:afterLines="30" w:line="372"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6、</w:t>
      </w:r>
      <w:r>
        <w:rPr>
          <w:rFonts w:hint="eastAsia" w:asciiTheme="minorEastAsia" w:hAnsiTheme="minorEastAsia" w:eastAsiaTheme="minorEastAsia"/>
          <w:color w:val="auto"/>
          <w:szCs w:val="21"/>
          <w:highlight w:val="none"/>
        </w:rPr>
        <w:t>不得由投资者、第三方下达投资指令或者负责投资运作，不得为投资者、证券发行人、金融机构、其他私募基金管理人、资产管理产品以及其他私募基金等第三方提供规避投资范围、杠杆约束、投资者门槛等监管要求的通道服务。</w:t>
      </w:r>
    </w:p>
    <w:p w14:paraId="7C6C332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7、</w:t>
      </w:r>
      <w:r>
        <w:rPr>
          <w:rFonts w:asciiTheme="minorEastAsia" w:hAnsiTheme="minorEastAsia" w:eastAsiaTheme="minorEastAsia"/>
          <w:color w:val="auto"/>
          <w:szCs w:val="21"/>
          <w:highlight w:val="none"/>
        </w:rPr>
        <w:t>法律法规、中国证监会以及本合同规定禁止从事的其他行为。</w:t>
      </w:r>
    </w:p>
    <w:p w14:paraId="7BE7B86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（七）关联交易</w:t>
      </w:r>
    </w:p>
    <w:p w14:paraId="050538A6">
      <w:pPr>
        <w:adjustRightInd w:val="0"/>
        <w:snapToGrid w:val="0"/>
        <w:spacing w:before="93" w:beforeLines="30" w:after="93" w:afterLines="30" w:line="360" w:lineRule="auto"/>
        <w:ind w:firstLine="420" w:firstLineChars="200"/>
        <w:rPr>
          <w:rFonts w:hint="eastAsia" w:ascii="宋体" w:hAnsi="宋体"/>
          <w:color w:val="auto"/>
          <w:szCs w:val="21"/>
          <w:highlight w:val="none"/>
          <w:lang w:val="en-US" w:eastAsia="zh-CN"/>
        </w:rPr>
      </w:pPr>
      <w:r>
        <w:rPr>
          <w:rFonts w:hint="eastAsia" w:ascii="宋体" w:hAnsi="宋体"/>
          <w:color w:val="auto"/>
          <w:szCs w:val="21"/>
          <w:highlight w:val="none"/>
          <w:lang w:val="en-US" w:eastAsia="zh-CN"/>
        </w:rPr>
        <w:t>1、关联交易的识别认定</w:t>
      </w:r>
    </w:p>
    <w:p w14:paraId="6D92C88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可运用基金财产买卖基金管理人、基金托管人及其控股股东、实际控制人或者与其有其他重大利害关系的公司发行的证券或承销期内承销的证券；或上述主体直接或间接管理或代理销售的、或提供客户服务的、或者该等主体持有的符合本基金合同投资范围规定的投资产品。基金管理人亦可与基金管理人、基金托管人及其关联方或者与上述主体有其他重大利害关系的主体进行融资融券（如有）、收益互换（如有）、场外期权（如有）等交易。基金管理人也可运用基金财产与基金管理人、投资者、基金管理人管理的其他私募投资基金、同一实际控制人下的其他管理人管理的私募投资基金、或者与上述主体有其他重大利害关系的关联方进行交易。但前述所有交易需要遵循基金份额持有人利益优先的原则和平等自愿、等价有偿的原则，建立有效的关联交易风险控制机制。如本基金将进行可能对基金份额持有人利益产生重大影响的关联交易的，基金管理人应当按照本合同的约定进行信息披露。</w:t>
      </w:r>
    </w:p>
    <w:p w14:paraId="526AF029">
      <w:pPr>
        <w:numPr>
          <w:ilvl w:val="0"/>
          <w:numId w:val="2"/>
        </w:num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宋体" w:hAnsi="宋体"/>
          <w:color w:val="auto"/>
          <w:szCs w:val="21"/>
          <w:highlight w:val="none"/>
          <w:lang w:val="en-US" w:eastAsia="zh-CN"/>
        </w:rPr>
        <w:t>关联交易的交易决策</w:t>
      </w:r>
    </w:p>
    <w:p w14:paraId="42435D9B">
      <w:pPr>
        <w:numPr>
          <w:ilvl w:val="-1"/>
          <w:numId w:val="0"/>
        </w:numPr>
        <w:adjustRightInd w:val="0"/>
        <w:snapToGrid w:val="0"/>
        <w:spacing w:before="93" w:beforeLines="30" w:after="93" w:afterLines="30" w:line="360" w:lineRule="auto"/>
        <w:ind w:firstLine="420" w:firstLineChars="0"/>
        <w:rPr>
          <w:rFonts w:hint="eastAsia" w:ascii="宋体" w:hAnsi="宋体"/>
          <w:color w:val="auto"/>
          <w:szCs w:val="21"/>
          <w:highlight w:val="none"/>
          <w:lang w:eastAsia="zh-CN"/>
        </w:rPr>
      </w:pPr>
      <w:r>
        <w:rPr>
          <w:rFonts w:hint="eastAsia" w:ascii="宋体" w:hAnsi="宋体"/>
          <w:color w:val="auto"/>
          <w:szCs w:val="21"/>
          <w:highlight w:val="none"/>
          <w:lang w:val="en-US" w:eastAsia="zh-CN"/>
        </w:rPr>
        <w:t>基金管</w:t>
      </w:r>
      <w:r>
        <w:rPr>
          <w:rFonts w:hint="eastAsia" w:ascii="宋体" w:hAnsi="宋体"/>
          <w:color w:val="auto"/>
          <w:szCs w:val="21"/>
          <w:highlight w:val="none"/>
        </w:rPr>
        <w:t>理人管理、运用基金财产开展关联交易的，管理人应当严格遵守相关法律法规规定和管理人内部的关联交易管理制度规定，对关联交易进行识别、决策、控制、审批、信披和报告。同时，管理人应严格履行内部管控机制对关联交易禁止行为、审议决策、交易定价等规范与约束</w:t>
      </w:r>
      <w:r>
        <w:rPr>
          <w:rFonts w:hint="eastAsia" w:ascii="宋体" w:hAnsi="宋体"/>
          <w:color w:val="auto"/>
          <w:szCs w:val="21"/>
          <w:highlight w:val="none"/>
          <w:lang w:eastAsia="zh-CN"/>
        </w:rPr>
        <w:t>。</w:t>
      </w:r>
    </w:p>
    <w:p w14:paraId="1AF113CA">
      <w:pPr>
        <w:numPr>
          <w:ilvl w:val="-1"/>
          <w:numId w:val="0"/>
        </w:numPr>
        <w:adjustRightInd w:val="0"/>
        <w:snapToGrid w:val="0"/>
        <w:spacing w:before="93" w:beforeLines="30" w:after="93" w:afterLines="30" w:line="360" w:lineRule="auto"/>
        <w:ind w:firstLine="420" w:firstLineChars="0"/>
        <w:rPr>
          <w:color w:val="auto"/>
          <w:highlight w:val="none"/>
        </w:rPr>
      </w:pPr>
      <w:r>
        <w:rPr>
          <w:rFonts w:hint="eastAsia" w:ascii="宋体" w:hAnsi="宋体" w:cs="Times New Roman"/>
          <w:color w:val="auto"/>
          <w:szCs w:val="21"/>
          <w:highlight w:val="none"/>
          <w:lang w:val="en-US" w:eastAsia="zh-CN"/>
        </w:rPr>
        <w:t>基金</w:t>
      </w:r>
      <w:r>
        <w:rPr>
          <w:rFonts w:hint="eastAsia" w:ascii="宋体" w:hAnsi="宋体"/>
          <w:color w:val="auto"/>
          <w:szCs w:val="21"/>
          <w:highlight w:val="none"/>
        </w:rPr>
        <w:t>管理人管理、运用基金财产开展关联交易前，管理人应当严格遵守相关法律法规规定和管理人内部的关联交易管理制度规定，对关联交易进行识别、决策、控制、审批、信披和报告。同时，管理人应严格履行内部管控机制对关联交易禁止行为、审议决策、交易定价等规范与约束。</w:t>
      </w:r>
    </w:p>
    <w:p w14:paraId="40405973">
      <w:pPr>
        <w:numPr>
          <w:ilvl w:val="0"/>
          <w:numId w:val="3"/>
        </w:numPr>
        <w:adjustRightInd w:val="0"/>
        <w:snapToGrid w:val="0"/>
        <w:spacing w:line="324" w:lineRule="auto"/>
        <w:ind w:firstLine="420" w:firstLineChars="200"/>
        <w:rPr>
          <w:rFonts w:hint="eastAsia" w:ascii="宋体" w:hAnsi="宋体"/>
          <w:color w:val="auto"/>
          <w:szCs w:val="21"/>
          <w:highlight w:val="none"/>
          <w:lang w:val="en-US" w:eastAsia="zh-CN"/>
        </w:rPr>
      </w:pPr>
      <w:r>
        <w:rPr>
          <w:rFonts w:hint="eastAsia" w:ascii="宋体" w:hAnsi="宋体"/>
          <w:color w:val="auto"/>
          <w:szCs w:val="21"/>
          <w:highlight w:val="none"/>
          <w:lang w:val="en-US" w:eastAsia="zh-CN"/>
        </w:rPr>
        <w:t>关联交易的对价确定</w:t>
      </w:r>
    </w:p>
    <w:p w14:paraId="1597858D">
      <w:pPr>
        <w:numPr>
          <w:ilvl w:val="-1"/>
          <w:numId w:val="0"/>
        </w:numPr>
        <w:adjustRightInd w:val="0"/>
        <w:snapToGrid w:val="0"/>
        <w:spacing w:line="324" w:lineRule="auto"/>
        <w:ind w:firstLine="420" w:firstLineChars="200"/>
        <w:rPr>
          <w:rFonts w:ascii="宋体" w:hAnsi="宋体"/>
          <w:color w:val="auto"/>
          <w:szCs w:val="21"/>
          <w:highlight w:val="none"/>
        </w:rPr>
      </w:pPr>
      <w:r>
        <w:rPr>
          <w:rFonts w:hint="eastAsia" w:ascii="宋体" w:hAnsi="宋体"/>
          <w:color w:val="auto"/>
          <w:szCs w:val="21"/>
          <w:highlight w:val="none"/>
          <w:lang w:val="en-US" w:eastAsia="zh-CN"/>
        </w:rPr>
        <w:t>管</w:t>
      </w:r>
      <w:r>
        <w:rPr>
          <w:rFonts w:hint="eastAsia" w:ascii="宋体" w:hAnsi="宋体"/>
          <w:color w:val="auto"/>
          <w:szCs w:val="21"/>
          <w:highlight w:val="none"/>
        </w:rPr>
        <w:t>理人管理、运用基金财产开展关联交易的，应当遵守法律法规有关规定和交易规则，按照诚实信用、公平合理等原则对关联交易对价进行控制。</w:t>
      </w:r>
    </w:p>
    <w:p w14:paraId="66CFA573">
      <w:pPr>
        <w:adjustRightInd w:val="0"/>
        <w:snapToGrid w:val="0"/>
        <w:spacing w:line="324" w:lineRule="auto"/>
        <w:ind w:firstLine="420" w:firstLineChars="200"/>
        <w:rPr>
          <w:rFonts w:ascii="宋体" w:hAnsi="宋体"/>
          <w:color w:val="auto"/>
          <w:szCs w:val="21"/>
          <w:highlight w:val="none"/>
        </w:rPr>
      </w:pPr>
      <w:r>
        <w:rPr>
          <w:rFonts w:hint="eastAsia" w:ascii="宋体" w:hAnsi="宋体"/>
          <w:color w:val="auto"/>
          <w:szCs w:val="21"/>
          <w:highlight w:val="none"/>
        </w:rPr>
        <w:t>（1）关联交易的标的资产通过竞价方式交易的，应当按交易场所或管理人内部规定的合理报价规则下的成交结果定价。</w:t>
      </w:r>
    </w:p>
    <w:p w14:paraId="0C61027C">
      <w:pPr>
        <w:adjustRightInd w:val="0"/>
        <w:snapToGrid w:val="0"/>
        <w:spacing w:line="324" w:lineRule="auto"/>
        <w:ind w:firstLine="420" w:firstLineChars="200"/>
        <w:rPr>
          <w:rFonts w:ascii="宋体" w:hAnsi="宋体"/>
          <w:color w:val="auto"/>
          <w:szCs w:val="21"/>
          <w:highlight w:val="none"/>
        </w:rPr>
      </w:pPr>
      <w:r>
        <w:rPr>
          <w:rFonts w:hint="eastAsia" w:ascii="宋体" w:hAnsi="宋体"/>
          <w:color w:val="auto"/>
          <w:szCs w:val="21"/>
          <w:highlight w:val="none"/>
        </w:rPr>
        <w:t>（2）关联交易的标的资产通过协议方式交易的，存在独立第三方评估价格或者交易场所指定价格基准的，在合理偏离范围内进行定价。</w:t>
      </w:r>
    </w:p>
    <w:p w14:paraId="54380956">
      <w:pPr>
        <w:adjustRightInd w:val="0"/>
        <w:snapToGrid w:val="0"/>
        <w:spacing w:line="324" w:lineRule="auto"/>
        <w:ind w:firstLine="420" w:firstLineChars="200"/>
        <w:rPr>
          <w:rFonts w:ascii="宋体" w:hAnsi="宋体"/>
          <w:color w:val="auto"/>
          <w:szCs w:val="21"/>
          <w:highlight w:val="none"/>
        </w:rPr>
      </w:pPr>
      <w:r>
        <w:rPr>
          <w:rFonts w:hint="eastAsia" w:ascii="宋体" w:hAnsi="宋体"/>
          <w:color w:val="auto"/>
          <w:szCs w:val="21"/>
          <w:highlight w:val="none"/>
        </w:rPr>
        <w:t>（3）关联交易的标的资产通过协议方式交易的，不存在独立第三方评估价格或者交易场所指定价格基准的，经管理人内部充分讨论后进行合理定价。</w:t>
      </w:r>
    </w:p>
    <w:p w14:paraId="551B32F7">
      <w:pPr>
        <w:adjustRightInd w:val="0"/>
        <w:snapToGrid w:val="0"/>
        <w:spacing w:before="93" w:beforeLines="30" w:after="93" w:afterLines="30" w:line="360" w:lineRule="auto"/>
        <w:ind w:firstLine="420" w:firstLineChars="200"/>
        <w:rPr>
          <w:color w:val="auto"/>
          <w:highlight w:val="none"/>
        </w:rPr>
      </w:pPr>
      <w:r>
        <w:rPr>
          <w:rFonts w:hint="eastAsia" w:ascii="宋体" w:hAnsi="宋体"/>
          <w:color w:val="auto"/>
          <w:szCs w:val="21"/>
          <w:highlight w:val="none"/>
        </w:rPr>
        <w:t>（</w:t>
      </w:r>
      <w:r>
        <w:rPr>
          <w:rFonts w:ascii="宋体" w:hAnsi="宋体"/>
          <w:color w:val="auto"/>
          <w:szCs w:val="21"/>
          <w:highlight w:val="none"/>
        </w:rPr>
        <w:t>4</w:t>
      </w:r>
      <w:r>
        <w:rPr>
          <w:rFonts w:hint="eastAsia" w:ascii="宋体" w:hAnsi="宋体"/>
          <w:color w:val="auto"/>
          <w:szCs w:val="21"/>
          <w:highlight w:val="none"/>
        </w:rPr>
        <w:t>）关联交易的标的资产定价存在重大分歧的，管理人不得参与交易</w:t>
      </w:r>
      <w:r>
        <w:rPr>
          <w:rFonts w:hint="eastAsia" w:ascii="宋体" w:hAnsi="宋体"/>
          <w:color w:val="auto"/>
          <w:szCs w:val="21"/>
          <w:highlight w:val="none"/>
          <w:lang w:eastAsia="zh-CN"/>
        </w:rPr>
        <w:t>。</w:t>
      </w:r>
    </w:p>
    <w:p w14:paraId="065C602A">
      <w:pPr>
        <w:adjustRightInd w:val="0"/>
        <w:snapToGrid w:val="0"/>
        <w:spacing w:before="93" w:beforeLines="30" w:after="93" w:afterLines="30" w:line="360" w:lineRule="auto"/>
        <w:ind w:firstLine="420" w:firstLineChars="200"/>
        <w:rPr>
          <w:rFonts w:hint="eastAsia" w:ascii="宋体" w:hAnsi="宋体"/>
          <w:color w:val="auto"/>
          <w:szCs w:val="21"/>
          <w:highlight w:val="none"/>
          <w:lang w:val="en-US" w:eastAsia="zh-CN"/>
        </w:rPr>
      </w:pPr>
      <w:r>
        <w:rPr>
          <w:rFonts w:hint="eastAsia" w:ascii="宋体" w:hAnsi="宋体"/>
          <w:color w:val="auto"/>
          <w:szCs w:val="21"/>
          <w:highlight w:val="none"/>
          <w:lang w:val="en-US" w:eastAsia="zh-CN"/>
        </w:rPr>
        <w:t>4、关联交易的信息披露</w:t>
      </w:r>
    </w:p>
    <w:p w14:paraId="77F370A3">
      <w:pPr>
        <w:adjustRightInd w:val="0"/>
        <w:snapToGrid w:val="0"/>
        <w:spacing w:before="93" w:beforeLines="30" w:after="93" w:afterLines="30" w:line="360" w:lineRule="auto"/>
        <w:ind w:firstLine="420" w:firstLineChars="200"/>
        <w:rPr>
          <w:rFonts w:hint="eastAsia" w:ascii="宋体" w:hAnsi="宋体"/>
          <w:color w:val="auto"/>
          <w:szCs w:val="21"/>
          <w:highlight w:val="none"/>
          <w:lang w:val="en-US" w:eastAsia="zh-CN"/>
        </w:rPr>
      </w:pPr>
      <w:r>
        <w:rPr>
          <w:rFonts w:hint="eastAsia" w:ascii="宋体" w:hAnsi="宋体" w:cs="Times New Roman"/>
          <w:color w:val="auto"/>
          <w:sz w:val="21"/>
          <w:szCs w:val="21"/>
          <w:highlight w:val="none"/>
          <w:lang w:val="en-US" w:eastAsia="zh-CN"/>
        </w:rPr>
        <w:t>基金管理人</w:t>
      </w:r>
      <w:r>
        <w:rPr>
          <w:rFonts w:hint="eastAsia" w:ascii="宋体" w:hAnsi="宋体" w:eastAsia="宋体"/>
          <w:color w:val="auto"/>
          <w:sz w:val="21"/>
          <w:szCs w:val="21"/>
          <w:highlight w:val="none"/>
        </w:rPr>
        <w:t>应当按照《私募投资基金信息披露管理办法》</w:t>
      </w:r>
      <w:r>
        <w:rPr>
          <w:rFonts w:hint="eastAsia" w:ascii="宋体" w:hAnsi="宋体" w:cs="Times New Roman"/>
          <w:color w:val="auto"/>
          <w:sz w:val="21"/>
          <w:szCs w:val="21"/>
          <w:highlight w:val="none"/>
          <w:lang w:val="en-US" w:eastAsia="zh-CN"/>
        </w:rPr>
        <w:t>等相关</w:t>
      </w:r>
      <w:r>
        <w:rPr>
          <w:rFonts w:hint="eastAsia" w:ascii="宋体" w:hAnsi="宋体"/>
          <w:color w:val="auto"/>
          <w:szCs w:val="21"/>
          <w:highlight w:val="none"/>
        </w:rPr>
        <w:t>法律法规</w:t>
      </w:r>
      <w:r>
        <w:rPr>
          <w:rFonts w:hint="eastAsia" w:ascii="宋体" w:hAnsi="宋体" w:eastAsia="宋体"/>
          <w:color w:val="auto"/>
          <w:sz w:val="21"/>
          <w:szCs w:val="21"/>
          <w:highlight w:val="none"/>
        </w:rPr>
        <w:t>的规定及</w:t>
      </w:r>
      <w:r>
        <w:rPr>
          <w:rFonts w:hint="eastAsia" w:ascii="宋体" w:hAnsi="宋体" w:cs="Times New Roman"/>
          <w:color w:val="auto"/>
          <w:sz w:val="21"/>
          <w:szCs w:val="21"/>
          <w:highlight w:val="none"/>
          <w:lang w:val="en-US" w:eastAsia="zh-CN"/>
        </w:rPr>
        <w:t>本</w:t>
      </w:r>
      <w:r>
        <w:rPr>
          <w:rFonts w:hint="eastAsia" w:ascii="宋体" w:hAnsi="宋体" w:eastAsia="宋体"/>
          <w:color w:val="auto"/>
          <w:sz w:val="21"/>
          <w:szCs w:val="21"/>
          <w:highlight w:val="none"/>
        </w:rPr>
        <w:t>基金合同约定</w:t>
      </w:r>
      <w:r>
        <w:rPr>
          <w:rFonts w:hint="eastAsia" w:ascii="宋体" w:hAnsi="宋体" w:cs="Times New Roman"/>
          <w:color w:val="auto"/>
          <w:sz w:val="21"/>
          <w:szCs w:val="21"/>
          <w:highlight w:val="none"/>
          <w:lang w:eastAsia="zh-CN"/>
        </w:rPr>
        <w:t>，</w:t>
      </w:r>
      <w:r>
        <w:rPr>
          <w:rFonts w:hint="eastAsia" w:ascii="宋体" w:hAnsi="宋体" w:cs="Times New Roman"/>
          <w:color w:val="auto"/>
          <w:sz w:val="21"/>
          <w:szCs w:val="21"/>
          <w:highlight w:val="none"/>
          <w:lang w:val="en-US" w:eastAsia="zh-CN"/>
        </w:rPr>
        <w:t>对包括但不限于</w:t>
      </w:r>
      <w:r>
        <w:rPr>
          <w:rFonts w:hint="eastAsia" w:ascii="宋体" w:hAnsi="宋体"/>
          <w:color w:val="auto"/>
          <w:szCs w:val="21"/>
          <w:highlight w:val="none"/>
        </w:rPr>
        <w:t>可能对基金份额持有人利益产生重大影响</w:t>
      </w:r>
      <w:r>
        <w:rPr>
          <w:rFonts w:hint="eastAsia" w:ascii="宋体" w:hAnsi="宋体"/>
          <w:color w:val="auto"/>
          <w:szCs w:val="21"/>
          <w:highlight w:val="none"/>
          <w:lang w:val="en-US" w:eastAsia="zh-CN"/>
        </w:rPr>
        <w:t>等关联交易，</w:t>
      </w:r>
      <w:r>
        <w:rPr>
          <w:rFonts w:hint="eastAsia" w:ascii="宋体" w:hAnsi="宋体"/>
          <w:color w:val="auto"/>
          <w:szCs w:val="21"/>
          <w:highlight w:val="none"/>
        </w:rPr>
        <w:t>及时、准确、真实</w:t>
      </w:r>
      <w:r>
        <w:rPr>
          <w:rFonts w:hint="eastAsia" w:ascii="宋体" w:hAnsi="宋体"/>
          <w:color w:val="auto"/>
          <w:szCs w:val="21"/>
          <w:highlight w:val="none"/>
          <w:lang w:eastAsia="zh-CN"/>
        </w:rPr>
        <w:t>、</w:t>
      </w:r>
      <w:r>
        <w:rPr>
          <w:rFonts w:hint="eastAsia" w:ascii="宋体" w:hAnsi="宋体"/>
          <w:color w:val="auto"/>
          <w:szCs w:val="21"/>
          <w:highlight w:val="none"/>
        </w:rPr>
        <w:t>完整履行关联交易相关信息披露义务，充分披露关联交易相关信息。</w:t>
      </w:r>
    </w:p>
    <w:p w14:paraId="48AB4B42">
      <w:pPr>
        <w:adjustRightInd w:val="0"/>
        <w:snapToGrid w:val="0"/>
        <w:spacing w:before="93" w:beforeLines="30" w:after="93" w:afterLines="30" w:line="360" w:lineRule="auto"/>
        <w:ind w:firstLine="420" w:firstLineChars="200"/>
        <w:rPr>
          <w:rFonts w:hint="eastAsia" w:ascii="宋体" w:hAnsi="宋体"/>
          <w:color w:val="auto"/>
          <w:szCs w:val="21"/>
          <w:highlight w:val="none"/>
          <w:lang w:val="en-US" w:eastAsia="zh-CN"/>
        </w:rPr>
      </w:pPr>
      <w:r>
        <w:rPr>
          <w:rFonts w:hint="eastAsia" w:ascii="宋体" w:hAnsi="宋体"/>
          <w:color w:val="auto"/>
          <w:szCs w:val="21"/>
          <w:highlight w:val="none"/>
          <w:lang w:val="en-US" w:eastAsia="zh-CN"/>
        </w:rPr>
        <w:t>5、关联交易的回避机制</w:t>
      </w:r>
    </w:p>
    <w:p w14:paraId="41C0EB8C">
      <w:pPr>
        <w:adjustRightInd w:val="0"/>
        <w:snapToGrid w:val="0"/>
        <w:spacing w:before="93" w:beforeLines="30" w:after="93" w:afterLines="30" w:line="360" w:lineRule="auto"/>
        <w:ind w:firstLine="420" w:firstLineChars="200"/>
        <w:rPr>
          <w:rFonts w:hint="default"/>
          <w:color w:val="auto"/>
          <w:highlight w:val="none"/>
          <w:lang w:val="en-US"/>
        </w:rPr>
      </w:pPr>
      <w:r>
        <w:rPr>
          <w:rFonts w:hint="eastAsia" w:ascii="宋体" w:hAnsi="宋体"/>
          <w:color w:val="auto"/>
          <w:szCs w:val="21"/>
          <w:highlight w:val="none"/>
          <w:lang w:val="en-US" w:eastAsia="zh-CN"/>
        </w:rPr>
        <w:t>管</w:t>
      </w:r>
      <w:r>
        <w:rPr>
          <w:rFonts w:hint="eastAsia" w:ascii="宋体" w:hAnsi="宋体"/>
          <w:color w:val="auto"/>
          <w:szCs w:val="21"/>
          <w:highlight w:val="none"/>
        </w:rPr>
        <w:t>理人内部应当建立健全关联交易管理制度，建立不得利用关联交易进行利益输送、内幕交易和操纵市场等违法违规活动的关联交易回避安排。管理人运用基金财产进行关联交易的，关联方不得以任何方式干预基金管理人投资决策，有利害关系的人员应当回避表决，不得代理其他人员行使表决权</w:t>
      </w:r>
      <w:r>
        <w:rPr>
          <w:rFonts w:hint="eastAsia" w:ascii="宋体" w:hAnsi="宋体"/>
          <w:color w:val="auto"/>
          <w:szCs w:val="21"/>
          <w:highlight w:val="none"/>
          <w:lang w:eastAsia="zh-CN"/>
        </w:rPr>
        <w:t>。</w:t>
      </w:r>
    </w:p>
    <w:p w14:paraId="30CA927E">
      <w:pPr>
        <w:pStyle w:val="16"/>
        <w:adjustRightInd w:val="0"/>
        <w:snapToGrid w:val="0"/>
        <w:spacing w:before="93" w:beforeLines="30" w:after="93" w:afterLines="30" w:line="360" w:lineRule="auto"/>
        <w:ind w:firstLine="420"/>
        <w:rPr>
          <w:rFonts w:asciiTheme="minorEastAsia" w:hAnsiTheme="minorEastAsia" w:eastAsiaTheme="minorEastAsia" w:cstheme="minorEastAsia"/>
          <w:b/>
          <w:bCs/>
          <w:color w:val="auto"/>
          <w:szCs w:val="21"/>
          <w:highlight w:val="none"/>
        </w:rPr>
      </w:pPr>
      <w:r>
        <w:rPr>
          <w:rFonts w:hint="eastAsia" w:asciiTheme="minorEastAsia" w:hAnsiTheme="minorEastAsia" w:eastAsiaTheme="minorEastAsia" w:cstheme="minorEastAsia"/>
          <w:b/>
          <w:bCs/>
          <w:color w:val="auto"/>
          <w:szCs w:val="21"/>
          <w:highlight w:val="none"/>
        </w:rPr>
        <w:t>上述关联交易</w:t>
      </w:r>
      <w:r>
        <w:rPr>
          <w:rFonts w:hint="eastAsia" w:asciiTheme="minorEastAsia" w:hAnsiTheme="minorEastAsia" w:eastAsiaTheme="minorEastAsia" w:cstheme="minorEastAsia"/>
          <w:b/>
          <w:bCs/>
          <w:color w:val="auto"/>
          <w:szCs w:val="21"/>
          <w:highlight w:val="none"/>
          <w:lang w:val="en-US" w:eastAsia="zh-CN"/>
        </w:rPr>
        <w:t>识别认定、交易</w:t>
      </w:r>
      <w:r>
        <w:rPr>
          <w:rFonts w:hint="eastAsia" w:asciiTheme="minorEastAsia" w:hAnsiTheme="minorEastAsia" w:eastAsiaTheme="minorEastAsia" w:cstheme="minorEastAsia"/>
          <w:b/>
          <w:bCs/>
          <w:color w:val="auto"/>
          <w:szCs w:val="21"/>
          <w:highlight w:val="none"/>
        </w:rPr>
        <w:t>决策</w:t>
      </w:r>
      <w:r>
        <w:rPr>
          <w:rFonts w:hint="eastAsia" w:asciiTheme="minorEastAsia" w:hAnsiTheme="minorEastAsia" w:eastAsiaTheme="minorEastAsia" w:cstheme="minorEastAsia"/>
          <w:b/>
          <w:bCs/>
          <w:color w:val="auto"/>
          <w:szCs w:val="21"/>
          <w:highlight w:val="none"/>
          <w:lang w:eastAsia="zh-CN"/>
        </w:rPr>
        <w:t>、</w:t>
      </w:r>
      <w:r>
        <w:rPr>
          <w:rFonts w:hint="eastAsia" w:asciiTheme="minorEastAsia" w:hAnsiTheme="minorEastAsia" w:eastAsiaTheme="minorEastAsia" w:cstheme="minorEastAsia"/>
          <w:b/>
          <w:bCs/>
          <w:color w:val="auto"/>
          <w:szCs w:val="21"/>
          <w:highlight w:val="none"/>
          <w:lang w:val="en-US" w:eastAsia="zh-CN"/>
        </w:rPr>
        <w:t>对价确定、</w:t>
      </w:r>
      <w:r>
        <w:rPr>
          <w:rFonts w:hint="eastAsia" w:asciiTheme="minorEastAsia" w:hAnsiTheme="minorEastAsia" w:eastAsiaTheme="minorEastAsia" w:cstheme="minorEastAsia"/>
          <w:b/>
          <w:bCs/>
          <w:color w:val="auto"/>
          <w:szCs w:val="21"/>
          <w:highlight w:val="none"/>
        </w:rPr>
        <w:t>信息披露</w:t>
      </w:r>
      <w:r>
        <w:rPr>
          <w:rFonts w:hint="eastAsia" w:asciiTheme="minorEastAsia" w:hAnsiTheme="minorEastAsia" w:eastAsiaTheme="minorEastAsia" w:cstheme="minorEastAsia"/>
          <w:b/>
          <w:bCs/>
          <w:color w:val="auto"/>
          <w:szCs w:val="21"/>
          <w:highlight w:val="none"/>
          <w:lang w:val="en-US" w:eastAsia="zh-CN"/>
        </w:rPr>
        <w:t>以及回避</w:t>
      </w:r>
      <w:r>
        <w:rPr>
          <w:rFonts w:hint="eastAsia" w:asciiTheme="minorEastAsia" w:hAnsiTheme="minorEastAsia" w:eastAsiaTheme="minorEastAsia" w:cstheme="minorEastAsia"/>
          <w:b/>
          <w:bCs/>
          <w:color w:val="auto"/>
          <w:szCs w:val="21"/>
          <w:highlight w:val="none"/>
        </w:rPr>
        <w:t>机制由基金管理人负责执行，基金托管人不对上述关联交易</w:t>
      </w:r>
      <w:r>
        <w:rPr>
          <w:rFonts w:hint="eastAsia" w:asciiTheme="minorEastAsia" w:hAnsiTheme="minorEastAsia" w:eastAsiaTheme="minorEastAsia" w:cstheme="minorEastAsia"/>
          <w:b/>
          <w:bCs/>
          <w:color w:val="auto"/>
          <w:szCs w:val="21"/>
          <w:highlight w:val="none"/>
          <w:lang w:val="en-US" w:eastAsia="zh-CN"/>
        </w:rPr>
        <w:t>事项</w:t>
      </w:r>
      <w:r>
        <w:rPr>
          <w:rFonts w:hint="eastAsia" w:asciiTheme="minorEastAsia" w:hAnsiTheme="minorEastAsia" w:eastAsiaTheme="minorEastAsia" w:cstheme="minorEastAsia"/>
          <w:b/>
          <w:bCs/>
          <w:color w:val="auto"/>
          <w:szCs w:val="21"/>
          <w:highlight w:val="none"/>
        </w:rPr>
        <w:t>承担投资监督职责，不对上述关联交易是否存在利益输送、不公平交易等情形承担监督职责，如因本基金进行任何关联交易造成基金投资者损失的，基金托管人对此不承担任何赔偿责任。</w:t>
      </w:r>
    </w:p>
    <w:p w14:paraId="1063D035">
      <w:pPr>
        <w:pStyle w:val="16"/>
        <w:adjustRightInd w:val="0"/>
        <w:snapToGrid w:val="0"/>
        <w:spacing w:before="93" w:beforeLines="30" w:after="93" w:afterLines="30" w:line="360" w:lineRule="auto"/>
        <w:ind w:firstLine="420"/>
        <w:rPr>
          <w:rFonts w:asciiTheme="minorEastAsia" w:hAnsiTheme="minorEastAsia" w:eastAsiaTheme="minorEastAsia" w:cstheme="minorEastAsia"/>
          <w:b/>
          <w:bCs/>
          <w:color w:val="auto"/>
          <w:szCs w:val="21"/>
          <w:highlight w:val="none"/>
        </w:rPr>
      </w:pPr>
      <w:r>
        <w:rPr>
          <w:rFonts w:hint="eastAsia" w:asciiTheme="minorEastAsia" w:hAnsiTheme="minorEastAsia" w:eastAsiaTheme="minorEastAsia" w:cstheme="minorEastAsia"/>
          <w:b/>
          <w:bCs/>
          <w:color w:val="auto"/>
          <w:szCs w:val="21"/>
          <w:highlight w:val="none"/>
        </w:rPr>
        <w:t>基金投资者特此声明：基金投资者签署本合同即表明其已经知晓和认可本基金的关联交易决策机制，并同意私募基金管理人可按照关联交易决策机制进行上述关联交易，而无须额外取得全体基金份额持有人同意；基金投资者承诺不得就上述声明提出任何质疑或主张。基金份额持有人不得因本基金投资收益劣于私募基金管理人及其关联方管理的其他投资产品，而向私募基金管理人或私募基金托管人提出任何损失或损害补偿的要求。</w:t>
      </w:r>
    </w:p>
    <w:p w14:paraId="65D0DFF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（八）业绩比较基准</w:t>
      </w:r>
    </w:p>
    <w:p w14:paraId="038B9DA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本基金不设业绩比较基准。</w:t>
      </w:r>
    </w:p>
    <w:p w14:paraId="28F69C2C">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（九）融资融券及其他场外证券业务的参与情况</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如有</w:t>
      </w:r>
      <w:r>
        <w:rPr>
          <w:rFonts w:hint="eastAsia" w:asciiTheme="minorEastAsia" w:hAnsiTheme="minorEastAsia" w:eastAsiaTheme="minorEastAsia"/>
          <w:color w:val="auto"/>
          <w:szCs w:val="21"/>
          <w:highlight w:val="none"/>
          <w:lang w:eastAsia="zh-CN"/>
        </w:rPr>
        <w:t>）</w:t>
      </w:r>
    </w:p>
    <w:p w14:paraId="5F2D565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基金能否参与融资融券及其他场外证券业务，依赖于本合同约定的投资范围是否包含融资融券及其他场外证券。本基金</w:t>
      </w:r>
      <w:r>
        <w:rPr>
          <w:rFonts w:hint="eastAsia" w:asciiTheme="minorEastAsia" w:hAnsiTheme="minorEastAsia" w:eastAsiaTheme="minorEastAsia"/>
          <w:color w:val="auto"/>
          <w:szCs w:val="21"/>
          <w:highlight w:val="none"/>
          <w:lang w:val="en-US" w:eastAsia="zh-CN"/>
        </w:rPr>
        <w:t>如</w:t>
      </w:r>
      <w:r>
        <w:rPr>
          <w:rFonts w:hint="eastAsia" w:asciiTheme="minorEastAsia" w:hAnsiTheme="minorEastAsia" w:eastAsiaTheme="minorEastAsia"/>
          <w:color w:val="auto"/>
          <w:szCs w:val="21"/>
          <w:highlight w:val="none"/>
        </w:rPr>
        <w:t>可参与融资融券业务，在放大投资收益的同时也放大了投资风险，同时还须支付相应的利息和费用，由此承担的风险可能远远超过普通证券交易</w:t>
      </w:r>
      <w:r>
        <w:rPr>
          <w:rFonts w:hint="eastAsia" w:ascii="宋体" w:hAnsi="宋体"/>
          <w:color w:val="auto"/>
          <w:szCs w:val="21"/>
          <w:highlight w:val="none"/>
        </w:rPr>
        <w:t>；本基金</w:t>
      </w:r>
      <w:r>
        <w:rPr>
          <w:rFonts w:hint="eastAsia" w:asciiTheme="minorEastAsia" w:hAnsiTheme="minorEastAsia" w:eastAsiaTheme="minorEastAsia"/>
          <w:color w:val="auto"/>
          <w:szCs w:val="21"/>
          <w:highlight w:val="none"/>
          <w:lang w:val="en-US" w:eastAsia="zh-CN"/>
        </w:rPr>
        <w:t>如</w:t>
      </w:r>
      <w:r>
        <w:rPr>
          <w:rFonts w:hint="eastAsia" w:ascii="宋体" w:hAnsi="宋体"/>
          <w:color w:val="auto"/>
          <w:szCs w:val="21"/>
          <w:highlight w:val="none"/>
        </w:rPr>
        <w:t>可参与场外衍生品（包括互换、场外期权等品种）的交易，投资收益受挂钩标的的市场价格、市场利率、波动率或相关性等因素的影响，导致本基金收益产生不确定性的风险</w:t>
      </w:r>
      <w:r>
        <w:rPr>
          <w:rFonts w:hint="eastAsia" w:asciiTheme="minorEastAsia" w:hAnsiTheme="minorEastAsia" w:eastAsiaTheme="minorEastAsia"/>
          <w:color w:val="auto"/>
          <w:szCs w:val="21"/>
          <w:highlight w:val="none"/>
        </w:rPr>
        <w:t>。</w:t>
      </w:r>
    </w:p>
    <w:p w14:paraId="6C6F39B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（十）风险收益特征：</w:t>
      </w:r>
    </w:p>
    <w:p w14:paraId="0105A32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本基金属于R</w:t>
      </w:r>
      <w:r>
        <w:rPr>
          <w:rFonts w:asciiTheme="minorEastAsia" w:hAnsiTheme="minorEastAsia" w:eastAsiaTheme="minorEastAsia"/>
          <w:color w:val="auto"/>
          <w:szCs w:val="21"/>
          <w:highlight w:val="none"/>
        </w:rPr>
        <w:t>4级投资品种</w:t>
      </w:r>
      <w:r>
        <w:rPr>
          <w:rFonts w:hint="default" w:asciiTheme="minorEastAsia" w:hAnsiTheme="minorEastAsia" w:eastAsiaTheme="minorEastAsia"/>
          <w:color w:val="auto"/>
          <w:szCs w:val="21"/>
          <w:highlight w:val="none"/>
          <w:lang w:eastAsia="zh-CN"/>
        </w:rPr>
        <w:t>，</w:t>
      </w:r>
      <w:r>
        <w:rPr>
          <w:rFonts w:hint="default" w:cs="Times New Roman" w:asciiTheme="minorEastAsia" w:hAnsiTheme="minorEastAsia" w:eastAsiaTheme="minorEastAsia"/>
          <w:b w:val="0"/>
          <w:bCs w:val="0"/>
          <w:color w:val="auto"/>
          <w:kern w:val="2"/>
          <w:szCs w:val="21"/>
          <w:highlight w:val="none"/>
        </w:rPr>
        <w:t>适合风险识别、评估、承受能力[C</w:t>
      </w:r>
      <w:r>
        <w:rPr>
          <w:rFonts w:cs="Times New Roman" w:asciiTheme="minorEastAsia" w:hAnsiTheme="minorEastAsia" w:eastAsiaTheme="minorEastAsia"/>
          <w:b w:val="0"/>
          <w:bCs w:val="0"/>
          <w:color w:val="auto"/>
          <w:kern w:val="2"/>
          <w:szCs w:val="21"/>
          <w:highlight w:val="none"/>
        </w:rPr>
        <w:t>4</w:t>
      </w:r>
      <w:r>
        <w:rPr>
          <w:rFonts w:hint="default" w:cs="Times New Roman" w:asciiTheme="minorEastAsia" w:hAnsiTheme="minorEastAsia" w:eastAsiaTheme="minorEastAsia"/>
          <w:b w:val="0"/>
          <w:bCs w:val="0"/>
          <w:color w:val="auto"/>
          <w:kern w:val="2"/>
          <w:szCs w:val="21"/>
          <w:highlight w:val="none"/>
        </w:rPr>
        <w:t>及以上]的普通投资者及专业投资者</w:t>
      </w:r>
      <w:r>
        <w:rPr>
          <w:rFonts w:asciiTheme="minorEastAsia" w:hAnsiTheme="minorEastAsia" w:eastAsiaTheme="minorEastAsia"/>
          <w:color w:val="auto"/>
          <w:szCs w:val="21"/>
          <w:highlight w:val="none"/>
        </w:rPr>
        <w:t>。</w:t>
      </w:r>
    </w:p>
    <w:p w14:paraId="30BEC3D8">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宋体" w:hAnsi="宋体"/>
          <w:b/>
          <w:bCs/>
          <w:color w:val="auto"/>
          <w:szCs w:val="21"/>
          <w:highlight w:val="none"/>
          <w:lang w:eastAsia="zh-CN"/>
        </w:rPr>
        <w:t>本基金合同所列示之风险收益特征与风险等级为私募基金管理人【或其委托的代理销售机构】根据内部制度以及标准确定，私募基金管理人【或其委托的代理销售机构】有权调整风险收益特征或风险等级，但是应当按照法律法规或合同约定（如有）通知全体份额持有人。私募基金托管人对基金实际投资情况是否符合以上风险收益特征不负有监督义务。</w:t>
      </w:r>
    </w:p>
    <w:p w14:paraId="78B94CF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（十一）基金的预警与止损：</w:t>
      </w:r>
    </w:p>
    <w:p w14:paraId="7ADE0548">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lang w:val="en-US" w:eastAsia="zh-CN"/>
        </w:rPr>
        <w:t>本基金不设置预警线、止损线。</w:t>
      </w:r>
    </w:p>
    <w:p w14:paraId="2A36AE0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（十二）其他</w:t>
      </w:r>
    </w:p>
    <w:p w14:paraId="0A4E37A3">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本基金投资非证券交易所或期货交易所发行、上市的投资标的时，基金份额持有人在此授权并同意：基金管理人有权代表本基金与相关方签署基金投资相关文件及协议，并以基金管理人的名义办理相关权属登记及变更手续。但基金管理人应确保向投资相关方说明真实的资金来源为本基金，并保证将投资本金及收益及时返回至本基金托管资金账户。</w:t>
      </w:r>
    </w:p>
    <w:p w14:paraId="1D6AFCF2">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46" w:name="_Toc110605413"/>
      <w:bookmarkStart w:id="47" w:name="_Toc459392414"/>
      <w:bookmarkStart w:id="48" w:name="_Toc26302"/>
      <w:r>
        <w:rPr>
          <w:rFonts w:hint="eastAsia" w:asciiTheme="minorEastAsia" w:hAnsiTheme="minorEastAsia" w:eastAsiaTheme="minorEastAsia"/>
          <w:b/>
          <w:color w:val="auto"/>
          <w:sz w:val="28"/>
          <w:szCs w:val="28"/>
          <w:highlight w:val="none"/>
        </w:rPr>
        <w:t>十二、基金的财产</w:t>
      </w:r>
      <w:bookmarkEnd w:id="41"/>
      <w:bookmarkEnd w:id="46"/>
      <w:bookmarkEnd w:id="47"/>
      <w:bookmarkEnd w:id="48"/>
    </w:p>
    <w:p w14:paraId="0B05944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（一）基金财产的保管与处分</w:t>
      </w:r>
    </w:p>
    <w:p w14:paraId="50BCB975">
      <w:pPr>
        <w:adjustRightInd w:val="0"/>
        <w:snapToGrid w:val="0"/>
        <w:spacing w:before="93" w:beforeLines="30" w:after="93" w:afterLines="30" w:line="360" w:lineRule="auto"/>
        <w:ind w:firstLine="420"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color w:val="auto"/>
          <w:szCs w:val="21"/>
          <w:highlight w:val="none"/>
        </w:rPr>
        <w:t>1、基金财产独立于基金管理人、基金托管人的固有财产。基金管理人、基金托管人不得将基金财产归入其固有财产。</w:t>
      </w:r>
    </w:p>
    <w:p w14:paraId="2D063793">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2、基金托管人仅负责保管本基金项下托管资金账户内的资金，对于除此之外的本基金项下的其他基金财产，由基金管理人保管相关财产或财产权利凭证的，基金管理人应当自行安全保管，基金托管人不承担保管责任。基金托管人依据基金管理人的划款指令将委托资金划出托管资金账户后至委托财产相关投资本金及收益以现金形式划回托管资金账户期间，基金托管人不再承担资金或资产的保管职责。</w:t>
      </w:r>
    </w:p>
    <w:p w14:paraId="12033C0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3、基金管理人、基金托管人因基金财产的管理、运用或者其他情形而取得的财产和收益归入基金财产。</w:t>
      </w:r>
    </w:p>
    <w:p w14:paraId="191A20F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管理人、基金托管人可以按照本合同的约定收取管理费、托管费以及本合同约定的其他费用。基金管理人、基金托管人以其固有财产承担法律责任，其债权人不得对基金财产行使请求冻结、扣押和其他权利。基金管理人、基金托管人因依法解散、被依法撤销或者被依法宣告破产等原因进行清算的，基金财产不属于其清算财产。</w:t>
      </w:r>
    </w:p>
    <w:p w14:paraId="1711546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5、基金管理人、基金托管人不得违反法律法规的规定和本合同约定擅自将基金财产用于抵押、质押、担保或设定任何形式的优先权或其他第三方权利。</w:t>
      </w:r>
    </w:p>
    <w:p w14:paraId="752ABB7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基金财产产生的债权不得与不属于基金财产本身的债务相互抵销。非因基金财产本身承担的债务，基金管理人、基金托管人不得主张其债权人对基金财产强制执行。上述债权人对基金财产主张权利时，基金管理人、基金托管人应明确告知基金财产的独立性。</w:t>
      </w:r>
    </w:p>
    <w:p w14:paraId="658F9176">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7、对于本基金的投资事宜，根据相关法律规定，可能出现基金管理人代表本基金签订相关协议、开立相关账户及办理相关手续等情况，基金托管人对于因此而产生的风险或损失不承担责任。</w:t>
      </w:r>
    </w:p>
    <w:p w14:paraId="19787BDE">
      <w:pPr>
        <w:adjustRightInd w:val="0"/>
        <w:snapToGrid w:val="0"/>
        <w:spacing w:before="93" w:beforeLines="30" w:after="93" w:afterLines="30"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color w:val="auto"/>
          <w:szCs w:val="21"/>
          <w:highlight w:val="none"/>
        </w:rPr>
        <w:t>8、对于因为基金投资产生的应收资产，应由基金管理人负责与有关当事人确定到账日期并书面通知基金托管人，到账日期</w:t>
      </w:r>
      <w:r>
        <w:rPr>
          <w:rFonts w:asciiTheme="minorEastAsia" w:hAnsiTheme="minorEastAsia" w:eastAsiaTheme="minorEastAsia"/>
          <w:b/>
          <w:color w:val="auto"/>
          <w:szCs w:val="21"/>
          <w:highlight w:val="none"/>
        </w:rPr>
        <w:t>届满</w:t>
      </w:r>
      <w:r>
        <w:rPr>
          <w:rFonts w:hint="eastAsia" w:asciiTheme="minorEastAsia" w:hAnsiTheme="minorEastAsia" w:eastAsiaTheme="minorEastAsia"/>
          <w:b/>
          <w:color w:val="auto"/>
          <w:szCs w:val="21"/>
          <w:highlight w:val="none"/>
        </w:rPr>
        <w:t>基金应收资产没有到达基金托管资金账户的，由此给基金造成损失的，基金管理人应负责向有关当事人追偿基金的损失，基金托管人对此不承担任何责任。</w:t>
      </w:r>
    </w:p>
    <w:p w14:paraId="5E3274E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（二）基金财产相关账户的开立和管理</w:t>
      </w:r>
    </w:p>
    <w:p w14:paraId="4F12FB0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1、基金管理人或基金托管人</w:t>
      </w:r>
      <w:r>
        <w:rPr>
          <w:rFonts w:hint="eastAsia"/>
          <w:color w:val="auto"/>
          <w:highlight w:val="none"/>
        </w:rPr>
        <w:t>根据约定，</w:t>
      </w:r>
      <w:r>
        <w:rPr>
          <w:rFonts w:hint="eastAsia" w:asciiTheme="minorEastAsia" w:hAnsiTheme="minorEastAsia" w:eastAsiaTheme="minorEastAsia"/>
          <w:color w:val="auto"/>
          <w:szCs w:val="21"/>
          <w:highlight w:val="none"/>
        </w:rPr>
        <w:t>按照规定开立基金财产的托管资金账户、证券账户（一码通账户）和期货账户等投资所需账户</w:t>
      </w:r>
      <w:r>
        <w:rPr>
          <w:rFonts w:hint="eastAsia" w:asciiTheme="minorEastAsia" w:hAnsiTheme="minorEastAsia" w:eastAsiaTheme="minorEastAsia"/>
          <w:color w:val="auto"/>
          <w:szCs w:val="21"/>
          <w:highlight w:val="none"/>
          <w:lang w:eastAsia="zh-CN"/>
        </w:rPr>
        <w:t>，</w:t>
      </w:r>
      <w:r>
        <w:rPr>
          <w:rFonts w:hint="eastAsia"/>
          <w:color w:val="auto"/>
          <w:highlight w:val="none"/>
        </w:rPr>
        <w:t>基金管理人和基金托管人应相互给予必要的配合，并提供所需资料</w:t>
      </w:r>
      <w:r>
        <w:rPr>
          <w:rFonts w:hint="eastAsia" w:asciiTheme="minorEastAsia" w:hAnsiTheme="minorEastAsia" w:eastAsiaTheme="minorEastAsia"/>
          <w:color w:val="auto"/>
          <w:szCs w:val="21"/>
          <w:highlight w:val="none"/>
        </w:rPr>
        <w:t>。证券账户和期货账户的持有人名称应当符合证券、期货登记结算机构的有关规定。开立的上述基金财产账户与基金管理人、基金托管人、基金</w:t>
      </w:r>
      <w:r>
        <w:rPr>
          <w:rFonts w:hint="eastAsia" w:asciiTheme="minorEastAsia" w:hAnsiTheme="minorEastAsia" w:eastAsiaTheme="minorEastAsia"/>
          <w:color w:val="auto"/>
          <w:szCs w:val="21"/>
          <w:highlight w:val="none"/>
          <w:lang w:val="en-US" w:eastAsia="zh-CN"/>
        </w:rPr>
        <w:t>募集</w:t>
      </w:r>
      <w:r>
        <w:rPr>
          <w:rFonts w:hint="eastAsia" w:asciiTheme="minorEastAsia" w:hAnsiTheme="minorEastAsia" w:eastAsiaTheme="minorEastAsia"/>
          <w:color w:val="auto"/>
          <w:szCs w:val="21"/>
          <w:highlight w:val="none"/>
        </w:rPr>
        <w:t>机构和基金份额登记机构自有的财产账户以及其他基金财产账户相独立。</w:t>
      </w:r>
    </w:p>
    <w:p w14:paraId="2A5D8FA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w:t>
      </w:r>
      <w:r>
        <w:rPr>
          <w:rFonts w:hint="eastAsia" w:asciiTheme="minorEastAsia" w:hAnsiTheme="minorEastAsia" w:eastAsiaTheme="minorEastAsia"/>
          <w:color w:val="auto"/>
          <w:kern w:val="0"/>
          <w:szCs w:val="21"/>
          <w:highlight w:val="none"/>
        </w:rPr>
        <w:t>基金托管人以本基金的名义在商业银行开立基金的托管资金账户。本基金的一切货币收支活动，包括但不限于投资、支付赎回金额、支付基金收益，均需通过本基金的托管资金账户进行。</w:t>
      </w:r>
      <w:r>
        <w:rPr>
          <w:rFonts w:hint="eastAsia" w:asciiTheme="minorEastAsia" w:hAnsiTheme="minorEastAsia" w:eastAsiaTheme="minorEastAsia"/>
          <w:color w:val="auto"/>
          <w:szCs w:val="21"/>
          <w:highlight w:val="none"/>
        </w:rPr>
        <w:t>本托管资金账户仅限于本基金使用，仅限于满足开展本基金业务的需要。</w:t>
      </w:r>
      <w:r>
        <w:rPr>
          <w:rFonts w:ascii="宋体" w:hAnsi="宋体"/>
          <w:color w:val="auto"/>
          <w:highlight w:val="none"/>
        </w:rPr>
        <w:t>基金托管人和基金管理人不得假借本基金的名义开立任何其他</w:t>
      </w:r>
      <w:r>
        <w:rPr>
          <w:rFonts w:hint="eastAsia" w:ascii="宋体" w:hAnsi="宋体"/>
          <w:color w:val="auto"/>
          <w:highlight w:val="none"/>
          <w:lang w:val="en-US" w:eastAsia="zh-CN"/>
        </w:rPr>
        <w:t>银行</w:t>
      </w:r>
      <w:r>
        <w:rPr>
          <w:rFonts w:ascii="宋体" w:hAnsi="宋体"/>
          <w:color w:val="auto"/>
          <w:highlight w:val="none"/>
        </w:rPr>
        <w:t>账户；亦不得使用基金的任何</w:t>
      </w:r>
      <w:r>
        <w:rPr>
          <w:rFonts w:hint="eastAsia" w:ascii="宋体" w:hAnsi="宋体"/>
          <w:color w:val="auto"/>
          <w:highlight w:val="none"/>
          <w:lang w:val="en-US" w:eastAsia="zh-CN"/>
        </w:rPr>
        <w:t>银行</w:t>
      </w:r>
      <w:r>
        <w:rPr>
          <w:rFonts w:ascii="宋体" w:hAnsi="宋体"/>
          <w:color w:val="auto"/>
          <w:highlight w:val="none"/>
        </w:rPr>
        <w:t>账户进行本基金业务以外的活动</w:t>
      </w:r>
      <w:r>
        <w:rPr>
          <w:rFonts w:hint="eastAsia" w:ascii="宋体" w:hAnsi="宋体"/>
          <w:color w:val="auto"/>
          <w:highlight w:val="none"/>
          <w:lang w:eastAsia="zh-CN"/>
        </w:rPr>
        <w:t>。</w:t>
      </w:r>
    </w:p>
    <w:p w14:paraId="24671022">
      <w:pPr>
        <w:adjustRightInd w:val="0"/>
        <w:snapToGrid w:val="0"/>
        <w:spacing w:before="93" w:beforeLines="30" w:after="93" w:afterLines="30" w:line="360" w:lineRule="auto"/>
        <w:ind w:firstLine="420" w:firstLineChars="200"/>
        <w:rPr>
          <w:rFonts w:hint="eastAsia" w:eastAsia="宋体"/>
          <w:color w:val="auto"/>
          <w:highlight w:val="none"/>
          <w:lang w:eastAsia="zh-CN"/>
        </w:rPr>
      </w:pPr>
      <w:r>
        <w:rPr>
          <w:rFonts w:hint="eastAsia" w:asciiTheme="minorEastAsia" w:hAnsiTheme="minorEastAsia" w:eastAsiaTheme="minorEastAsia"/>
          <w:color w:val="auto"/>
          <w:szCs w:val="21"/>
          <w:highlight w:val="none"/>
        </w:rPr>
        <w:t>3、证券账户、期货账户以及基金投资运作有关的其他账户由基金管理人与基金托管人协商后办理。</w:t>
      </w:r>
      <w:r>
        <w:rPr>
          <w:rFonts w:hint="eastAsia" w:ascii="宋体" w:hAnsi="宋体"/>
          <w:color w:val="auto"/>
          <w:szCs w:val="21"/>
          <w:highlight w:val="none"/>
        </w:rPr>
        <w:t>证券账户和期货账户的持有人名称应当符合证券、期货登记结算机构的有关规定。</w:t>
      </w:r>
      <w:r>
        <w:rPr>
          <w:rFonts w:hint="eastAsia" w:ascii="宋体" w:hAnsi="宋体"/>
          <w:color w:val="auto"/>
          <w:kern w:val="0"/>
          <w:szCs w:val="21"/>
          <w:highlight w:val="none"/>
        </w:rPr>
        <w:t>基金托管人和基金管理人不得出借或转让证券账户、证券交易资金账户，亦不得使用证券账户或证券交易资金账户进行本基金业务以外的活动。</w:t>
      </w:r>
      <w:r>
        <w:rPr>
          <w:rFonts w:hint="eastAsia" w:asciiTheme="minorEastAsia" w:hAnsiTheme="minorEastAsia" w:eastAsiaTheme="minorEastAsia"/>
          <w:color w:val="auto"/>
          <w:szCs w:val="21"/>
          <w:highlight w:val="none"/>
          <w:lang w:val="en-US" w:eastAsia="zh-CN"/>
        </w:rPr>
        <w:t>在基金运作期间，</w:t>
      </w:r>
      <w:r>
        <w:rPr>
          <w:rFonts w:hint="eastAsia" w:asciiTheme="minorEastAsia" w:hAnsiTheme="minorEastAsia" w:eastAsiaTheme="minorEastAsia"/>
          <w:color w:val="auto"/>
          <w:szCs w:val="21"/>
          <w:highlight w:val="none"/>
        </w:rPr>
        <w:t>未经基金托管人同意，不得变更、解除与基金投资运作有关的账户和托管资金账户之间的第三方存管签约关系</w:t>
      </w:r>
      <w:r>
        <w:rPr>
          <w:rFonts w:hint="eastAsia" w:asciiTheme="minorEastAsia" w:hAnsiTheme="minorEastAsia" w:eastAsiaTheme="minorEastAsia"/>
          <w:b/>
          <w:color w:val="auto"/>
          <w:szCs w:val="21"/>
          <w:highlight w:val="none"/>
        </w:rPr>
        <w:t>。</w:t>
      </w:r>
      <w:r>
        <w:rPr>
          <w:rFonts w:hint="eastAsia"/>
          <w:b/>
          <w:bCs/>
          <w:color w:val="auto"/>
          <w:highlight w:val="none"/>
        </w:rPr>
        <w:t>因基金管理人违反本条约定导致的一切后果，均由基金管理人自行承担，基金托管人不承担任何责任</w:t>
      </w:r>
      <w:r>
        <w:rPr>
          <w:rFonts w:hint="eastAsia"/>
          <w:b/>
          <w:bCs/>
          <w:color w:val="auto"/>
          <w:highlight w:val="none"/>
          <w:lang w:eastAsia="zh-CN"/>
        </w:rPr>
        <w:t>。</w:t>
      </w:r>
    </w:p>
    <w:p w14:paraId="044D90B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宋体" w:hAnsi="宋体"/>
          <w:color w:val="auto"/>
          <w:kern w:val="0"/>
          <w:szCs w:val="21"/>
          <w:highlight w:val="none"/>
        </w:rPr>
        <w:t>因业务发展而需要开立的其他账户，应由基金托管人或基金管理人根据有关法律法规的规定开立、管理和使用。</w:t>
      </w:r>
      <w:r>
        <w:rPr>
          <w:rFonts w:hint="eastAsia" w:ascii="宋体" w:hAnsi="宋体"/>
          <w:color w:val="auto"/>
          <w:highlight w:val="none"/>
        </w:rPr>
        <w:t>如</w:t>
      </w:r>
      <w:r>
        <w:rPr>
          <w:rFonts w:hint="eastAsia" w:ascii="宋体" w:hAnsi="宋体"/>
          <w:color w:val="auto"/>
          <w:highlight w:val="none"/>
          <w:lang w:val="en-US" w:eastAsia="zh-CN"/>
        </w:rPr>
        <w:t>该</w:t>
      </w:r>
      <w:r>
        <w:rPr>
          <w:rFonts w:hint="eastAsia" w:ascii="宋体" w:hAnsi="宋体"/>
          <w:color w:val="auto"/>
          <w:highlight w:val="none"/>
        </w:rPr>
        <w:t>账户是由基金管理人负责开立的，</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管理人应保证</w:t>
      </w:r>
      <w:r>
        <w:rPr>
          <w:rFonts w:hint="eastAsia" w:asciiTheme="minorEastAsia" w:hAnsiTheme="minorEastAsia" w:eastAsiaTheme="minorEastAsia"/>
          <w:color w:val="auto"/>
          <w:szCs w:val="21"/>
          <w:highlight w:val="none"/>
        </w:rPr>
        <w:t>与基金投资运作有关的账户</w:t>
      </w:r>
      <w:r>
        <w:rPr>
          <w:rFonts w:asciiTheme="minorEastAsia" w:hAnsiTheme="minorEastAsia" w:eastAsiaTheme="minorEastAsia"/>
          <w:color w:val="auto"/>
          <w:szCs w:val="21"/>
          <w:highlight w:val="none"/>
        </w:rPr>
        <w:t>专款专用。相应的投资回款及收益，也由</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管理人负责及时原路划回托管</w:t>
      </w:r>
      <w:r>
        <w:rPr>
          <w:rFonts w:hint="eastAsia" w:asciiTheme="minorEastAsia" w:hAnsiTheme="minorEastAsia" w:eastAsiaTheme="minorEastAsia"/>
          <w:color w:val="auto"/>
          <w:szCs w:val="21"/>
          <w:highlight w:val="none"/>
        </w:rPr>
        <w:t>资金</w:t>
      </w:r>
      <w:r>
        <w:rPr>
          <w:rFonts w:asciiTheme="minorEastAsia" w:hAnsiTheme="minorEastAsia" w:eastAsiaTheme="minorEastAsia"/>
          <w:color w:val="auto"/>
          <w:szCs w:val="21"/>
          <w:highlight w:val="none"/>
        </w:rPr>
        <w:t>账户。</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管理人开立此类账户后需及时通知</w:t>
      </w:r>
      <w:r>
        <w:rPr>
          <w:rFonts w:hint="eastAsia" w:asciiTheme="minorEastAsia" w:hAnsiTheme="minorEastAsia" w:eastAsiaTheme="minorEastAsia"/>
          <w:color w:val="auto"/>
          <w:szCs w:val="21"/>
          <w:highlight w:val="none"/>
        </w:rPr>
        <w:t>基金</w:t>
      </w:r>
      <w:r>
        <w:rPr>
          <w:rFonts w:asciiTheme="minorEastAsia" w:hAnsiTheme="minorEastAsia" w:eastAsiaTheme="minorEastAsia"/>
          <w:color w:val="auto"/>
          <w:szCs w:val="21"/>
          <w:highlight w:val="none"/>
        </w:rPr>
        <w:t>托管人。</w:t>
      </w:r>
      <w:r>
        <w:rPr>
          <w:rFonts w:asciiTheme="minorEastAsia" w:hAnsiTheme="minorEastAsia" w:eastAsiaTheme="minorEastAsia"/>
          <w:b/>
          <w:color w:val="auto"/>
          <w:szCs w:val="21"/>
          <w:highlight w:val="none"/>
        </w:rPr>
        <w:t>对于非由</w:t>
      </w:r>
      <w:r>
        <w:rPr>
          <w:rFonts w:hint="eastAsia" w:asciiTheme="minorEastAsia" w:hAnsiTheme="minorEastAsia" w:eastAsiaTheme="minorEastAsia"/>
          <w:b/>
          <w:color w:val="auto"/>
          <w:szCs w:val="21"/>
          <w:highlight w:val="none"/>
        </w:rPr>
        <w:t>基金</w:t>
      </w:r>
      <w:r>
        <w:rPr>
          <w:rFonts w:asciiTheme="minorEastAsia" w:hAnsiTheme="minorEastAsia" w:eastAsiaTheme="minorEastAsia"/>
          <w:b/>
          <w:color w:val="auto"/>
          <w:szCs w:val="21"/>
          <w:highlight w:val="none"/>
        </w:rPr>
        <w:t>托管人</w:t>
      </w:r>
      <w:r>
        <w:rPr>
          <w:rFonts w:hint="eastAsia" w:asciiTheme="minorEastAsia" w:hAnsiTheme="minorEastAsia" w:eastAsiaTheme="minorEastAsia"/>
          <w:b/>
          <w:color w:val="auto"/>
          <w:szCs w:val="21"/>
          <w:highlight w:val="none"/>
        </w:rPr>
        <w:t>开立、</w:t>
      </w:r>
      <w:r>
        <w:rPr>
          <w:rFonts w:asciiTheme="minorEastAsia" w:hAnsiTheme="minorEastAsia" w:eastAsiaTheme="minorEastAsia"/>
          <w:b/>
          <w:color w:val="auto"/>
          <w:szCs w:val="21"/>
          <w:highlight w:val="none"/>
        </w:rPr>
        <w:t>管理</w:t>
      </w:r>
      <w:r>
        <w:rPr>
          <w:rFonts w:hint="eastAsia" w:asciiTheme="minorEastAsia" w:hAnsiTheme="minorEastAsia" w:eastAsiaTheme="minorEastAsia"/>
          <w:b/>
          <w:color w:val="auto"/>
          <w:szCs w:val="21"/>
          <w:highlight w:val="none"/>
        </w:rPr>
        <w:t>并实际控制</w:t>
      </w:r>
      <w:r>
        <w:rPr>
          <w:rFonts w:asciiTheme="minorEastAsia" w:hAnsiTheme="minorEastAsia" w:eastAsiaTheme="minorEastAsia"/>
          <w:b/>
          <w:color w:val="auto"/>
          <w:szCs w:val="21"/>
          <w:highlight w:val="none"/>
        </w:rPr>
        <w:t>的账户，</w:t>
      </w:r>
      <w:r>
        <w:rPr>
          <w:rFonts w:hint="eastAsia" w:asciiTheme="minorEastAsia" w:hAnsiTheme="minorEastAsia" w:eastAsiaTheme="minorEastAsia"/>
          <w:b/>
          <w:color w:val="auto"/>
          <w:szCs w:val="21"/>
          <w:highlight w:val="none"/>
        </w:rPr>
        <w:t>基金</w:t>
      </w:r>
      <w:r>
        <w:rPr>
          <w:rFonts w:asciiTheme="minorEastAsia" w:hAnsiTheme="minorEastAsia" w:eastAsiaTheme="minorEastAsia"/>
          <w:b/>
          <w:color w:val="auto"/>
          <w:szCs w:val="21"/>
          <w:highlight w:val="none"/>
        </w:rPr>
        <w:t>托管人不承担</w:t>
      </w:r>
      <w:r>
        <w:rPr>
          <w:rFonts w:hint="eastAsia" w:asciiTheme="minorEastAsia" w:hAnsiTheme="minorEastAsia" w:eastAsiaTheme="minorEastAsia"/>
          <w:b/>
          <w:color w:val="auto"/>
          <w:szCs w:val="21"/>
          <w:highlight w:val="none"/>
        </w:rPr>
        <w:t>任何形式的</w:t>
      </w:r>
      <w:r>
        <w:rPr>
          <w:rFonts w:asciiTheme="minorEastAsia" w:hAnsiTheme="minorEastAsia" w:eastAsiaTheme="minorEastAsia"/>
          <w:b/>
          <w:color w:val="auto"/>
          <w:szCs w:val="21"/>
          <w:highlight w:val="none"/>
        </w:rPr>
        <w:t>职责。</w:t>
      </w:r>
    </w:p>
    <w:p w14:paraId="6E9763DD">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49" w:name="_Toc27018"/>
      <w:bookmarkStart w:id="50" w:name="_Toc110605414"/>
      <w:bookmarkStart w:id="51" w:name="_Toc459392415"/>
      <w:bookmarkStart w:id="52" w:name="_Toc194741911"/>
      <w:r>
        <w:rPr>
          <w:rFonts w:hint="eastAsia" w:asciiTheme="minorEastAsia" w:hAnsiTheme="minorEastAsia" w:eastAsiaTheme="minorEastAsia"/>
          <w:b/>
          <w:color w:val="auto"/>
          <w:sz w:val="28"/>
          <w:szCs w:val="28"/>
          <w:highlight w:val="none"/>
        </w:rPr>
        <w:t>十三、指令的发送、确认与执行</w:t>
      </w:r>
      <w:bookmarkEnd w:id="49"/>
      <w:bookmarkEnd w:id="50"/>
      <w:bookmarkEnd w:id="51"/>
      <w:bookmarkEnd w:id="52"/>
    </w:p>
    <w:p w14:paraId="2CE72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53" w:name="_Toc459392416"/>
      <w:bookmarkStart w:id="54" w:name="_Toc194741912"/>
      <w:r>
        <w:rPr>
          <w:rFonts w:hint="eastAsia" w:asciiTheme="minorEastAsia" w:hAnsiTheme="minorEastAsia" w:eastAsiaTheme="minorEastAsia"/>
          <w:color w:val="auto"/>
          <w:szCs w:val="21"/>
          <w:highlight w:val="none"/>
        </w:rPr>
        <w:t xml:space="preserve">（一）交易清算授权 </w:t>
      </w:r>
    </w:p>
    <w:p w14:paraId="6F6873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基金管理人应</w:t>
      </w:r>
      <w:r>
        <w:rPr>
          <w:rFonts w:hint="eastAsia" w:asciiTheme="minorEastAsia" w:hAnsiTheme="minorEastAsia" w:eastAsiaTheme="minorEastAsia"/>
          <w:color w:val="auto"/>
          <w:szCs w:val="21"/>
          <w:highlight w:val="none"/>
          <w:lang w:val="en-US" w:eastAsia="zh-CN"/>
        </w:rPr>
        <w:t>事先</w:t>
      </w:r>
      <w:r>
        <w:rPr>
          <w:rFonts w:hint="eastAsia" w:asciiTheme="minorEastAsia" w:hAnsiTheme="minorEastAsia" w:eastAsiaTheme="minorEastAsia"/>
          <w:color w:val="auto"/>
          <w:szCs w:val="21"/>
          <w:highlight w:val="none"/>
        </w:rPr>
        <w:t>向基金托管人</w:t>
      </w:r>
      <w:r>
        <w:rPr>
          <w:rFonts w:hint="eastAsia" w:asciiTheme="minorEastAsia" w:hAnsiTheme="minorEastAsia" w:eastAsiaTheme="minorEastAsia"/>
          <w:color w:val="auto"/>
          <w:szCs w:val="21"/>
          <w:highlight w:val="none"/>
          <w:lang w:val="en-US" w:eastAsia="zh-CN"/>
        </w:rPr>
        <w:t>发送</w:t>
      </w:r>
      <w:r>
        <w:rPr>
          <w:rFonts w:hint="eastAsia" w:asciiTheme="minorEastAsia" w:hAnsiTheme="minorEastAsia" w:eastAsiaTheme="minorEastAsia"/>
          <w:color w:val="auto"/>
          <w:szCs w:val="21"/>
          <w:highlight w:val="none"/>
        </w:rPr>
        <w:t>书面</w:t>
      </w:r>
      <w:r>
        <w:rPr>
          <w:rFonts w:hint="eastAsia" w:asciiTheme="minorEastAsia" w:hAnsiTheme="minorEastAsia" w:eastAsiaTheme="minorEastAsia"/>
          <w:color w:val="auto"/>
          <w:szCs w:val="21"/>
          <w:highlight w:val="none"/>
          <w:lang w:val="en-US" w:eastAsia="zh-CN"/>
        </w:rPr>
        <w:t>授权通知</w:t>
      </w:r>
      <w:r>
        <w:rPr>
          <w:rFonts w:hint="eastAsia" w:asciiTheme="minorEastAsia" w:hAnsiTheme="minorEastAsia" w:eastAsiaTheme="minorEastAsia"/>
          <w:color w:val="auto"/>
          <w:szCs w:val="21"/>
          <w:highlight w:val="none"/>
        </w:rPr>
        <w:t>（简称“授权书”），指定有权向基金托管人发送投资指令的被授权人员。授权书中应包括被授权人的名单、权限、</w:t>
      </w:r>
      <w:r>
        <w:rPr>
          <w:rFonts w:hint="eastAsia" w:asciiTheme="minorEastAsia" w:hAnsiTheme="minorEastAsia" w:eastAsiaTheme="minorEastAsia"/>
          <w:color w:val="auto"/>
          <w:szCs w:val="21"/>
          <w:highlight w:val="none"/>
          <w:lang w:val="en-US" w:eastAsia="zh-CN"/>
        </w:rPr>
        <w:t>邮箱、</w:t>
      </w:r>
      <w:r>
        <w:rPr>
          <w:rFonts w:hint="eastAsia" w:asciiTheme="minorEastAsia" w:hAnsiTheme="minorEastAsia" w:eastAsiaTheme="minorEastAsia"/>
          <w:color w:val="auto"/>
          <w:szCs w:val="21"/>
          <w:highlight w:val="none"/>
        </w:rPr>
        <w:t>电话、预留印鉴</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包括但不限于基金管理人预留的公司公章/财务专用章/业务专用章样本）、被授权人</w:t>
      </w:r>
      <w:r>
        <w:rPr>
          <w:rFonts w:hint="eastAsia" w:asciiTheme="minorEastAsia" w:hAnsiTheme="minorEastAsia" w:eastAsiaTheme="minorEastAsia"/>
          <w:color w:val="auto"/>
          <w:szCs w:val="21"/>
          <w:highlight w:val="none"/>
        </w:rPr>
        <w:t>签字</w:t>
      </w:r>
      <w:r>
        <w:rPr>
          <w:rFonts w:hint="eastAsia" w:asciiTheme="minorEastAsia" w:hAnsiTheme="minorEastAsia" w:eastAsiaTheme="minorEastAsia"/>
          <w:color w:val="auto"/>
          <w:szCs w:val="21"/>
          <w:highlight w:val="none"/>
          <w:lang w:val="en-US" w:eastAsia="zh-CN"/>
        </w:rPr>
        <w:t>或名章</w:t>
      </w:r>
      <w:r>
        <w:rPr>
          <w:rFonts w:hint="eastAsia" w:asciiTheme="minorEastAsia" w:hAnsiTheme="minorEastAsia" w:eastAsiaTheme="minorEastAsia"/>
          <w:color w:val="auto"/>
          <w:szCs w:val="21"/>
          <w:highlight w:val="none"/>
        </w:rPr>
        <w:t>样本</w:t>
      </w:r>
      <w:r>
        <w:rPr>
          <w:rFonts w:hint="eastAsia" w:asciiTheme="minorEastAsia" w:hAnsiTheme="minorEastAsia" w:eastAsiaTheme="minorEastAsia"/>
          <w:color w:val="auto"/>
          <w:szCs w:val="21"/>
          <w:highlight w:val="none"/>
          <w:lang w:val="en-US" w:eastAsia="zh-CN"/>
        </w:rPr>
        <w:t>等</w:t>
      </w:r>
      <w:r>
        <w:rPr>
          <w:rFonts w:hint="eastAsia" w:asciiTheme="minorEastAsia" w:hAnsiTheme="minorEastAsia" w:eastAsiaTheme="minorEastAsia"/>
          <w:color w:val="auto"/>
          <w:szCs w:val="21"/>
          <w:highlight w:val="none"/>
        </w:rPr>
        <w:t>。授权书由基金管理人加盖公章并由法定代表人或其授权代表签章，若由授权代表签章，还应附上法定代表人的授权书。</w:t>
      </w:r>
      <w:r>
        <w:rPr>
          <w:rFonts w:hint="eastAsia" w:asciiTheme="minorEastAsia" w:hAnsiTheme="minorEastAsia" w:eastAsiaTheme="minorEastAsia"/>
          <w:color w:val="auto"/>
          <w:szCs w:val="21"/>
          <w:highlight w:val="none"/>
          <w:lang w:val="en-US" w:eastAsia="zh-CN"/>
        </w:rPr>
        <w:t>基金管理人应</w:t>
      </w:r>
      <w:r>
        <w:rPr>
          <w:rFonts w:hint="eastAsia" w:ascii="宋体" w:hAnsi="宋体"/>
          <w:color w:val="auto"/>
          <w:szCs w:val="21"/>
          <w:highlight w:val="none"/>
        </w:rPr>
        <w:t>将授权</w:t>
      </w:r>
      <w:r>
        <w:rPr>
          <w:rFonts w:hint="eastAsia" w:ascii="宋体" w:hAnsi="宋体"/>
          <w:color w:val="auto"/>
          <w:szCs w:val="21"/>
          <w:highlight w:val="none"/>
          <w:lang w:val="en-US" w:eastAsia="zh-CN"/>
        </w:rPr>
        <w:t>书</w:t>
      </w:r>
      <w:r>
        <w:rPr>
          <w:rFonts w:hint="eastAsia" w:ascii="宋体" w:hAnsi="宋体"/>
          <w:color w:val="auto"/>
          <w:szCs w:val="21"/>
          <w:highlight w:val="none"/>
        </w:rPr>
        <w:t>的扫描件</w:t>
      </w:r>
      <w:r>
        <w:rPr>
          <w:rFonts w:hint="eastAsia" w:ascii="宋体" w:hAnsi="宋体"/>
          <w:color w:val="auto"/>
          <w:szCs w:val="21"/>
          <w:highlight w:val="none"/>
          <w:lang w:val="en-US" w:eastAsia="zh-CN"/>
        </w:rPr>
        <w:t>通过</w:t>
      </w:r>
      <w:r>
        <w:rPr>
          <w:rFonts w:hint="eastAsia" w:asciiTheme="minorEastAsia" w:hAnsiTheme="minorEastAsia" w:eastAsiaTheme="minorEastAsia"/>
          <w:color w:val="auto"/>
          <w:szCs w:val="21"/>
          <w:highlight w:val="none"/>
        </w:rPr>
        <w:t>基金管理人和基金托管人认可</w:t>
      </w:r>
      <w:r>
        <w:rPr>
          <w:rFonts w:hint="eastAsia" w:ascii="宋体" w:hAnsi="宋体"/>
          <w:color w:val="auto"/>
          <w:szCs w:val="21"/>
          <w:highlight w:val="none"/>
          <w:lang w:val="en-US" w:eastAsia="zh-CN"/>
        </w:rPr>
        <w:t>的方式发送至基金托管人，</w:t>
      </w:r>
      <w:r>
        <w:rPr>
          <w:rFonts w:hint="eastAsia" w:ascii="宋体" w:hAnsi="宋体"/>
          <w:color w:val="auto"/>
          <w:szCs w:val="21"/>
          <w:highlight w:val="none"/>
        </w:rPr>
        <w:t>同时向基金托管人确认（确认方式包括但不限于电话、邮件、短信或基金管理人和基金托管人一致认可的其他方式</w:t>
      </w:r>
      <w:r>
        <w:rPr>
          <w:rFonts w:hint="eastAsia" w:ascii="宋体" w:hAnsi="宋体"/>
          <w:color w:val="auto"/>
          <w:szCs w:val="21"/>
          <w:highlight w:val="none"/>
          <w:lang w:eastAsia="zh-CN"/>
        </w:rPr>
        <w:t>，</w:t>
      </w:r>
      <w:r>
        <w:rPr>
          <w:rFonts w:hint="eastAsia" w:ascii="宋体" w:hAnsi="宋体"/>
          <w:color w:val="auto"/>
          <w:szCs w:val="21"/>
          <w:highlight w:val="none"/>
          <w:lang w:val="en-US" w:eastAsia="zh-CN"/>
        </w:rPr>
        <w:t>下同</w:t>
      </w:r>
      <w:r>
        <w:rPr>
          <w:rFonts w:hint="eastAsia" w:ascii="宋体" w:hAnsi="宋体"/>
          <w:color w:val="auto"/>
          <w:szCs w:val="21"/>
          <w:highlight w:val="none"/>
        </w:rPr>
        <w:t>）</w:t>
      </w:r>
      <w:r>
        <w:rPr>
          <w:rFonts w:hint="eastAsia" w:ascii="宋体" w:hAnsi="宋体"/>
          <w:color w:val="auto"/>
          <w:szCs w:val="21"/>
          <w:highlight w:val="none"/>
          <w:lang w:eastAsia="zh-CN"/>
        </w:rPr>
        <w:t>，</w:t>
      </w:r>
      <w:r>
        <w:rPr>
          <w:rFonts w:hint="eastAsia" w:asciiTheme="minorEastAsia" w:hAnsiTheme="minorEastAsia" w:eastAsiaTheme="minorEastAsia"/>
          <w:color w:val="auto"/>
          <w:szCs w:val="21"/>
          <w:highlight w:val="none"/>
        </w:rPr>
        <w:t>保证</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托管人及时收到。授权书须载明授权生效日期，授权书自载明的生效日期开始生效。基金托管人收到授权书</w:t>
      </w:r>
      <w:r>
        <w:rPr>
          <w:rFonts w:hint="eastAsia" w:asciiTheme="minorEastAsia" w:hAnsiTheme="minorEastAsia" w:eastAsiaTheme="minorEastAsia"/>
          <w:color w:val="auto"/>
          <w:szCs w:val="21"/>
          <w:highlight w:val="none"/>
          <w:lang w:val="en-US" w:eastAsia="zh-CN"/>
        </w:rPr>
        <w:t>并完成确认</w:t>
      </w:r>
      <w:r>
        <w:rPr>
          <w:rFonts w:hint="eastAsia" w:asciiTheme="minorEastAsia" w:hAnsiTheme="minorEastAsia" w:eastAsiaTheme="minorEastAsia"/>
          <w:color w:val="auto"/>
          <w:szCs w:val="21"/>
          <w:highlight w:val="none"/>
        </w:rPr>
        <w:t>的日期晚于载明</w:t>
      </w:r>
      <w:r>
        <w:rPr>
          <w:rFonts w:hint="eastAsia" w:asciiTheme="minorEastAsia" w:hAnsiTheme="minorEastAsia" w:eastAsiaTheme="minorEastAsia"/>
          <w:color w:val="auto"/>
          <w:szCs w:val="21"/>
          <w:highlight w:val="none"/>
          <w:lang w:val="en-US" w:eastAsia="zh-CN"/>
        </w:rPr>
        <w:t>的</w:t>
      </w:r>
      <w:r>
        <w:rPr>
          <w:rFonts w:hint="eastAsia" w:asciiTheme="minorEastAsia" w:hAnsiTheme="minorEastAsia" w:eastAsiaTheme="minorEastAsia"/>
          <w:color w:val="auto"/>
          <w:szCs w:val="21"/>
          <w:highlight w:val="none"/>
        </w:rPr>
        <w:t>生效日期</w:t>
      </w:r>
      <w:r>
        <w:rPr>
          <w:rFonts w:hint="eastAsia" w:asciiTheme="minorEastAsia" w:hAnsiTheme="minorEastAsia" w:eastAsiaTheme="minorEastAsia"/>
          <w:color w:val="auto"/>
          <w:szCs w:val="21"/>
          <w:highlight w:val="none"/>
          <w:lang w:val="en-US" w:eastAsia="zh-CN"/>
        </w:rPr>
        <w:t>或授权书未载明生效日期</w:t>
      </w:r>
      <w:r>
        <w:rPr>
          <w:rFonts w:hint="eastAsia" w:asciiTheme="minorEastAsia" w:hAnsiTheme="minorEastAsia" w:eastAsiaTheme="minorEastAsia"/>
          <w:color w:val="auto"/>
          <w:szCs w:val="21"/>
          <w:highlight w:val="none"/>
        </w:rPr>
        <w:t>的，则自基金托管人收到授权书</w:t>
      </w:r>
      <w:r>
        <w:rPr>
          <w:rFonts w:hint="eastAsia" w:asciiTheme="minorEastAsia" w:hAnsiTheme="minorEastAsia" w:eastAsiaTheme="minorEastAsia"/>
          <w:color w:val="auto"/>
          <w:szCs w:val="21"/>
          <w:highlight w:val="none"/>
          <w:lang w:val="en-US" w:eastAsia="zh-CN"/>
        </w:rPr>
        <w:t>并完成确认的日期</w:t>
      </w:r>
      <w:r>
        <w:rPr>
          <w:rFonts w:hint="eastAsia" w:asciiTheme="minorEastAsia" w:hAnsiTheme="minorEastAsia" w:eastAsiaTheme="minorEastAsia"/>
          <w:color w:val="auto"/>
          <w:szCs w:val="21"/>
          <w:highlight w:val="none"/>
        </w:rPr>
        <w:t xml:space="preserve">生效。基金管理人和基金托管人对授权书负有保密义务，其内容不得向被授权人及相关操作人员以外的任何人泄露。 </w:t>
      </w:r>
    </w:p>
    <w:p w14:paraId="6EF2E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（二）投资指令的内容 </w:t>
      </w:r>
    </w:p>
    <w:p w14:paraId="70B3D0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投资指令是在管理基金财产时，基金管理人向基金托管人发出的资金划拨及其他款项支付的指令。基金管理人发给基金托管人的指令应写明款项事由、指令的执行时间、金额、收款账户信息等，若为纸质指令需加盖预留印鉴并由被授权人签字或签章。本基金财产进行的证券交易所、期货交易所内的证券、期货投资不需要基金管理人发送投资指令，基金托管人以证券、期货经纪机构发送的交收数据进行处理。 </w:t>
      </w:r>
    </w:p>
    <w:p w14:paraId="446CF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（三）投资指令的发送、确认和执行的时间及程序 </w:t>
      </w:r>
    </w:p>
    <w:p w14:paraId="57C3B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指令由授权书确定的被授权人代表基金管理人用电子指令、电子邮件或其他基金管理人和基金托管人认可的方式向基金托管人发送。基金管理人有义务在发送指令后与托管人以录音电话或其他基金管理人和基金托管人认可的方式进行确认。电子指令、电子邮件以获得收件人（基金托管人）确认该指令已成功接收之时视为送达。因基金管理人未能及时与基金托管人进行指令确认，致使资金未能及时到账所造成的损失，基金托管人不承担责任。对于被授权人依照授权书发出的指令，基金管理人不得否认其效力。若指令为被授权人通过基金管理人和基金托管人约定的服务平台发送的电子指令，则均视为基金管理人的真实意思表示和有效发送，基金管理人对指令的合法性、有效性、准确性及其结果负责。基金管理人应按照相关法律法规以及本合同的规定，在其合法的经营权限和交易权限内发送划款指令，被授权人应按照其授权权限发送划款指令。基金管理人在发送指令时，应为基金托管人留出执行指令所必需的时间。由基金管理人原因造成的指令传输不及时、未能留出足够划款所需时间，致使资金未能及时到账所造成的损失由基金管理人承担。除需考虑资金在途时间外，基金管理人还需为基金托管人留有 2小时的复核和审批时间。在每个工作日的 13：00以后接收基金管理人发出的银证转账、银期转账划款指令的，基金托管人尽力配合执行，但不保证当日完成划转流程；在每个工作日的 14：30以后接收基金管理人发出的其他划款指令，基金托管人尽力配合执行，但不保证当日完成在银行的划付流程。</w:t>
      </w:r>
    </w:p>
    <w:p w14:paraId="55FF96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宋体" w:hAnsi="宋体" w:eastAsia="宋体" w:cs="宋体"/>
          <w:color w:val="auto"/>
          <w:sz w:val="21"/>
          <w:szCs w:val="21"/>
          <w:highlight w:val="none"/>
        </w:rPr>
      </w:pPr>
      <w:r>
        <w:rPr>
          <w:rFonts w:ascii="宋体" w:hAnsi="宋体" w:eastAsia="宋体" w:cs="宋体"/>
          <w:color w:val="auto"/>
          <w:sz w:val="21"/>
          <w:szCs w:val="21"/>
          <w:highlight w:val="none"/>
        </w:rPr>
        <w:t>基金托管人收到基金管理人发送的指令后</w:t>
      </w:r>
      <w:r>
        <w:rPr>
          <w:rFonts w:hint="eastAsia" w:ascii="宋体" w:hAnsi="宋体" w:cs="宋体"/>
          <w:color w:val="auto"/>
          <w:sz w:val="21"/>
          <w:szCs w:val="21"/>
          <w:highlight w:val="none"/>
          <w:lang w:eastAsia="zh-CN"/>
        </w:rPr>
        <w:t>，</w:t>
      </w:r>
      <w:r>
        <w:rPr>
          <w:rFonts w:ascii="宋体" w:hAnsi="宋体" w:eastAsia="宋体" w:cs="宋体"/>
          <w:color w:val="auto"/>
          <w:sz w:val="21"/>
          <w:szCs w:val="21"/>
          <w:highlight w:val="none"/>
        </w:rPr>
        <w:t>如为电子邮件发送扫描件指令，应对指令进行形式审查，验证指令的必要内容是否齐全，必要内容包括指令出具日期、款项事由、指令的执行时间、支付金额、收款账户信息等，审</w:t>
      </w:r>
      <w:r>
        <w:rPr>
          <w:rFonts w:hint="eastAsia" w:ascii="宋体" w:hAnsi="宋体" w:cs="宋体"/>
          <w:color w:val="auto"/>
          <w:sz w:val="21"/>
          <w:szCs w:val="21"/>
          <w:highlight w:val="none"/>
          <w:lang w:val="en-US" w:eastAsia="zh-CN"/>
        </w:rPr>
        <w:t>查</w:t>
      </w:r>
      <w:r>
        <w:rPr>
          <w:rFonts w:ascii="宋体" w:hAnsi="宋体" w:eastAsia="宋体" w:cs="宋体"/>
          <w:color w:val="auto"/>
          <w:sz w:val="21"/>
          <w:szCs w:val="21"/>
          <w:highlight w:val="none"/>
        </w:rPr>
        <w:t>印鉴和</w:t>
      </w:r>
      <w:r>
        <w:rPr>
          <w:rFonts w:hint="eastAsia" w:ascii="宋体" w:hAnsi="宋体" w:cs="宋体"/>
          <w:color w:val="auto"/>
          <w:sz w:val="21"/>
          <w:szCs w:val="21"/>
          <w:highlight w:val="none"/>
          <w:lang w:val="en-US" w:eastAsia="zh-CN"/>
        </w:rPr>
        <w:t>被授权人</w:t>
      </w:r>
      <w:r>
        <w:rPr>
          <w:rFonts w:ascii="宋体" w:hAnsi="宋体" w:eastAsia="宋体" w:cs="宋体"/>
          <w:color w:val="auto"/>
          <w:sz w:val="21"/>
          <w:szCs w:val="21"/>
          <w:highlight w:val="none"/>
        </w:rPr>
        <w:t>签</w:t>
      </w:r>
      <w:r>
        <w:rPr>
          <w:rFonts w:hint="eastAsia" w:ascii="宋体" w:hAnsi="宋体" w:cs="宋体"/>
          <w:color w:val="auto"/>
          <w:sz w:val="21"/>
          <w:szCs w:val="21"/>
          <w:highlight w:val="none"/>
          <w:lang w:val="en-US" w:eastAsia="zh-CN"/>
        </w:rPr>
        <w:t>字或名章</w:t>
      </w:r>
      <w:r>
        <w:rPr>
          <w:rFonts w:ascii="宋体" w:hAnsi="宋体" w:eastAsia="宋体" w:cs="宋体"/>
          <w:color w:val="auto"/>
          <w:sz w:val="21"/>
          <w:szCs w:val="21"/>
          <w:highlight w:val="none"/>
        </w:rPr>
        <w:t>是否</w:t>
      </w:r>
      <w:r>
        <w:rPr>
          <w:rFonts w:hint="eastAsia" w:ascii="宋体" w:hAnsi="宋体" w:cs="宋体"/>
          <w:color w:val="auto"/>
          <w:sz w:val="21"/>
          <w:szCs w:val="21"/>
          <w:highlight w:val="none"/>
          <w:lang w:eastAsia="zh-CN"/>
        </w:rPr>
        <w:t>与</w:t>
      </w:r>
      <w:r>
        <w:rPr>
          <w:rFonts w:ascii="宋体" w:hAnsi="宋体" w:eastAsia="宋体" w:cs="宋体"/>
          <w:color w:val="auto"/>
          <w:sz w:val="21"/>
          <w:szCs w:val="21"/>
          <w:highlight w:val="none"/>
        </w:rPr>
        <w:t>预留印鉴</w:t>
      </w:r>
      <w:r>
        <w:rPr>
          <w:rFonts w:hint="eastAsia" w:ascii="宋体" w:hAnsi="宋体" w:cs="宋体"/>
          <w:color w:val="auto"/>
          <w:sz w:val="21"/>
          <w:szCs w:val="21"/>
          <w:highlight w:val="none"/>
          <w:lang w:val="en-US" w:eastAsia="zh-CN"/>
        </w:rPr>
        <w:t>样本、被授权人的签字样本或名章样本</w:t>
      </w:r>
      <w:r>
        <w:rPr>
          <w:rFonts w:ascii="宋体" w:hAnsi="宋体" w:eastAsia="宋体" w:cs="宋体"/>
          <w:color w:val="auto"/>
          <w:sz w:val="21"/>
          <w:szCs w:val="21"/>
          <w:highlight w:val="none"/>
        </w:rPr>
        <w:t>相符</w:t>
      </w:r>
      <w:r>
        <w:rPr>
          <w:rFonts w:hint="eastAsia" w:ascii="宋体" w:hAnsi="宋体" w:cs="宋体"/>
          <w:color w:val="auto"/>
          <w:sz w:val="21"/>
          <w:szCs w:val="21"/>
          <w:highlight w:val="none"/>
          <w:lang w:eastAsia="zh-CN"/>
        </w:rPr>
        <w:t>；</w:t>
      </w:r>
      <w:r>
        <w:rPr>
          <w:rFonts w:ascii="宋体" w:hAnsi="宋体" w:eastAsia="宋体" w:cs="宋体"/>
          <w:color w:val="auto"/>
          <w:sz w:val="21"/>
          <w:szCs w:val="21"/>
          <w:highlight w:val="none"/>
        </w:rPr>
        <w:t>如为服务平台提交的电子指令，应验证电子指令必要内容是否齐备，任何使用基金管理人登录信息进行的操作均视为基金管理人行为，基金托管人无需审查指令的印鉴和</w:t>
      </w:r>
      <w:r>
        <w:rPr>
          <w:rFonts w:hint="eastAsia" w:ascii="宋体" w:hAnsi="宋体" w:cs="宋体"/>
          <w:color w:val="auto"/>
          <w:sz w:val="21"/>
          <w:szCs w:val="21"/>
          <w:highlight w:val="none"/>
          <w:lang w:val="en-US" w:eastAsia="zh-CN"/>
        </w:rPr>
        <w:t>被授权人</w:t>
      </w:r>
      <w:r>
        <w:rPr>
          <w:rFonts w:ascii="宋体" w:hAnsi="宋体" w:eastAsia="宋体" w:cs="宋体"/>
          <w:color w:val="auto"/>
          <w:sz w:val="21"/>
          <w:szCs w:val="21"/>
          <w:highlight w:val="none"/>
        </w:rPr>
        <w:t>签</w:t>
      </w:r>
      <w:r>
        <w:rPr>
          <w:rFonts w:hint="eastAsia" w:ascii="宋体" w:hAnsi="宋体" w:cs="宋体"/>
          <w:color w:val="auto"/>
          <w:sz w:val="21"/>
          <w:szCs w:val="21"/>
          <w:highlight w:val="none"/>
          <w:lang w:val="en-US" w:eastAsia="zh-CN"/>
        </w:rPr>
        <w:t>字或名章</w:t>
      </w:r>
      <w:r>
        <w:rPr>
          <w:rFonts w:ascii="宋体" w:hAnsi="宋体" w:eastAsia="宋体" w:cs="宋体"/>
          <w:color w:val="auto"/>
          <w:sz w:val="21"/>
          <w:szCs w:val="21"/>
          <w:highlight w:val="none"/>
        </w:rPr>
        <w:t>是否</w:t>
      </w:r>
      <w:r>
        <w:rPr>
          <w:rFonts w:hint="eastAsia" w:ascii="宋体" w:hAnsi="宋体" w:cs="宋体"/>
          <w:color w:val="auto"/>
          <w:sz w:val="21"/>
          <w:szCs w:val="21"/>
          <w:highlight w:val="none"/>
          <w:lang w:eastAsia="zh-CN"/>
        </w:rPr>
        <w:t>与</w:t>
      </w:r>
      <w:r>
        <w:rPr>
          <w:rFonts w:ascii="宋体" w:hAnsi="宋体" w:eastAsia="宋体" w:cs="宋体"/>
          <w:color w:val="auto"/>
          <w:sz w:val="21"/>
          <w:szCs w:val="21"/>
          <w:highlight w:val="none"/>
        </w:rPr>
        <w:t>预留印鉴</w:t>
      </w:r>
      <w:r>
        <w:rPr>
          <w:rFonts w:hint="eastAsia" w:ascii="宋体" w:hAnsi="宋体" w:cs="宋体"/>
          <w:color w:val="auto"/>
          <w:sz w:val="21"/>
          <w:szCs w:val="21"/>
          <w:highlight w:val="none"/>
          <w:lang w:val="en-US" w:eastAsia="zh-CN"/>
        </w:rPr>
        <w:t>样本、被授权人的签字样本或名章样本</w:t>
      </w:r>
      <w:r>
        <w:rPr>
          <w:rFonts w:ascii="宋体" w:hAnsi="宋体" w:eastAsia="宋体" w:cs="宋体"/>
          <w:color w:val="auto"/>
          <w:sz w:val="21"/>
          <w:szCs w:val="21"/>
          <w:highlight w:val="none"/>
        </w:rPr>
        <w:t>相符。</w:t>
      </w:r>
    </w:p>
    <w:p w14:paraId="6E364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 xml:space="preserve">管理人应保证以上所提供的作为划款依据的文件资料的真实、有效、完整、准确、合法，没有任何重大遗漏或误导；基金托管人对此类文件资料的真实性和有效性不作实质性判断。 </w:t>
      </w:r>
    </w:p>
    <w:p w14:paraId="2ABEC3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复核无误后依据本合同约定在规定期限内及时执行，不得延误。若存在异议或不符，基金托管人</w:t>
      </w:r>
      <w:r>
        <w:rPr>
          <w:rFonts w:hint="eastAsia" w:asciiTheme="minorEastAsia" w:hAnsiTheme="minorEastAsia" w:eastAsiaTheme="minorEastAsia"/>
          <w:color w:val="auto"/>
          <w:szCs w:val="21"/>
          <w:highlight w:val="none"/>
          <w:lang w:val="en-US" w:eastAsia="zh-CN"/>
        </w:rPr>
        <w:t>及时</w:t>
      </w:r>
      <w:r>
        <w:rPr>
          <w:rFonts w:hint="eastAsia" w:asciiTheme="minorEastAsia" w:hAnsiTheme="minorEastAsia" w:eastAsiaTheme="minorEastAsia"/>
          <w:color w:val="auto"/>
          <w:szCs w:val="21"/>
          <w:highlight w:val="none"/>
        </w:rPr>
        <w:t>与基金管理人指定人员</w:t>
      </w:r>
      <w:r>
        <w:rPr>
          <w:rFonts w:hint="eastAsia" w:asciiTheme="minorEastAsia" w:hAnsiTheme="minorEastAsia" w:eastAsiaTheme="minorEastAsia"/>
          <w:color w:val="auto"/>
          <w:szCs w:val="21"/>
          <w:highlight w:val="none"/>
          <w:lang w:val="en-US" w:eastAsia="zh-CN"/>
        </w:rPr>
        <w:t>通过</w:t>
      </w:r>
      <w:r>
        <w:rPr>
          <w:rFonts w:hint="eastAsia" w:asciiTheme="minorEastAsia" w:hAnsiTheme="minorEastAsia" w:eastAsiaTheme="minorEastAsia"/>
          <w:color w:val="auto"/>
          <w:szCs w:val="21"/>
          <w:highlight w:val="none"/>
        </w:rPr>
        <w:t>电话</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电子邮件或其他基金管理人和基金托管人认可的方式</w:t>
      </w:r>
      <w:r>
        <w:rPr>
          <w:rFonts w:hint="eastAsia" w:asciiTheme="minorEastAsia" w:hAnsiTheme="minorEastAsia" w:eastAsiaTheme="minorEastAsia"/>
          <w:color w:val="auto"/>
          <w:szCs w:val="21"/>
          <w:highlight w:val="none"/>
        </w:rPr>
        <w:t xml:space="preserve">联系和沟通，暂停指令的执行并要求基金管理人重新发送经修改的指令。基金托管人可以要求基金管理人以电子邮件或其他基金管理人和基金托管人认可的方式提供相关交易凭证、合同或其他有效会计资料，以确保基金托管人有足够的资料来判断指令的有效性。基金托管人待收齐相关资料并判断指令有效后重新开始执行指令。基金管理人应在合理时间内补充相关资料，并给基金托管人执行指令预留必要的执行时间。 </w:t>
      </w:r>
    </w:p>
    <w:p w14:paraId="1FD47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基金管理人向基金托管人下达指令时，应确保托管资金账户及其他账户有足够的资金余额，对基金管理人在没有充足资金的情况下向基金托管人发出的指令，基金托管人有权拒绝执行，基金托管人不承担因为不执行该指令而造成的损失。 </w:t>
      </w:r>
    </w:p>
    <w:p w14:paraId="46E15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（四）基金托管人依照法律法规暂缓、拒绝执行指令的情形和处理程序 </w:t>
      </w:r>
    </w:p>
    <w:p w14:paraId="73E65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发现基金管理人发送的指令违反法律、行政法规和其他规定，或者违反本合同约定时，不予执行，并应及时通知基金管理人纠正，基金管理人收到通知后应及时核对，并与基金托管人确认，由此造成的损失由基金管理人承担。基金托管人发现基金管理人依据交易程序已经生效的划款指令违反法律、行政法规和其他规定，或者违反本合同约定的，应当立即通知资产管理人并及时报告中国证监会、基金业协会，基金管理人的上述行为造成的损失由基金管理人承担。</w:t>
      </w:r>
    </w:p>
    <w:p w14:paraId="1550AD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（五）基金管理人发送错误指令的情形和处理程序 </w:t>
      </w:r>
    </w:p>
    <w:p w14:paraId="6F966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基金管理人发送错误指令的情形包括指令发送人员无权或超越权限发送指令及交割信息错误，指令中重要信息模糊不清或不全等。基金托管人在履行监督职能时，发现基金管理人的指令错误时，有权拒绝执行，并及时通知基金管理人改正。 </w:t>
      </w:r>
    </w:p>
    <w:p w14:paraId="62AA1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（六）更换被授权人的程序 </w:t>
      </w:r>
    </w:p>
    <w:p w14:paraId="7D8122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撤换被授权人员或改变被授权人员的权限，必须提前至少一个工作日，使用电子邮件或其他基金管理人和基金托管人认可的方式向基金托管人发出由基金管理人加盖公章和法定代表人签名或盖章的被授权人变更授权书，并提供新被授权人签字</w:t>
      </w:r>
      <w:r>
        <w:rPr>
          <w:rFonts w:hint="eastAsia" w:asciiTheme="minorEastAsia" w:hAnsiTheme="minorEastAsia" w:eastAsiaTheme="minorEastAsia"/>
          <w:color w:val="auto"/>
          <w:szCs w:val="21"/>
          <w:highlight w:val="none"/>
          <w:lang w:val="en-US" w:eastAsia="zh-CN"/>
        </w:rPr>
        <w:t>或</w:t>
      </w:r>
      <w:r>
        <w:rPr>
          <w:rFonts w:hint="eastAsia" w:ascii="宋体" w:hAnsi="宋体" w:cs="宋体"/>
          <w:color w:val="auto"/>
          <w:sz w:val="21"/>
          <w:szCs w:val="21"/>
          <w:highlight w:val="none"/>
          <w:lang w:val="en-US" w:eastAsia="zh-CN"/>
        </w:rPr>
        <w:t>名章</w:t>
      </w:r>
      <w:r>
        <w:rPr>
          <w:rFonts w:hint="eastAsia" w:asciiTheme="minorEastAsia" w:hAnsiTheme="minorEastAsia" w:eastAsiaTheme="minorEastAsia"/>
          <w:color w:val="auto"/>
          <w:szCs w:val="21"/>
          <w:highlight w:val="none"/>
        </w:rPr>
        <w:t>样本，同时</w:t>
      </w:r>
      <w:r>
        <w:rPr>
          <w:rFonts w:hint="eastAsia" w:asciiTheme="minorEastAsia" w:hAnsiTheme="minorEastAsia" w:eastAsiaTheme="minorEastAsia"/>
          <w:color w:val="auto"/>
          <w:szCs w:val="21"/>
          <w:highlight w:val="none"/>
          <w:lang w:val="en-US" w:eastAsia="zh-CN"/>
        </w:rPr>
        <w:t>向</w:t>
      </w:r>
      <w:r>
        <w:rPr>
          <w:rFonts w:hint="eastAsia" w:asciiTheme="minorEastAsia" w:hAnsiTheme="minorEastAsia" w:eastAsiaTheme="minorEastAsia"/>
          <w:color w:val="auto"/>
          <w:szCs w:val="21"/>
          <w:highlight w:val="none"/>
        </w:rPr>
        <w:t>基金托管人</w:t>
      </w:r>
      <w:r>
        <w:rPr>
          <w:rFonts w:hint="eastAsia" w:asciiTheme="minorEastAsia" w:hAnsiTheme="minorEastAsia" w:eastAsiaTheme="minorEastAsia"/>
          <w:color w:val="auto"/>
          <w:szCs w:val="21"/>
          <w:highlight w:val="none"/>
          <w:lang w:val="en-US" w:eastAsia="zh-CN"/>
        </w:rPr>
        <w:t>确认</w:t>
      </w:r>
      <w:r>
        <w:rPr>
          <w:rFonts w:hint="eastAsia" w:asciiTheme="minorEastAsia" w:hAnsiTheme="minorEastAsia" w:eastAsiaTheme="minorEastAsia"/>
          <w:color w:val="auto"/>
          <w:szCs w:val="21"/>
          <w:highlight w:val="none"/>
        </w:rPr>
        <w:t>。被授权人变更授权书须载明新授权的生效日期。被授权人变更授权书自载明的生效时间开始生效。基金托管人收到变更授权书</w:t>
      </w:r>
      <w:r>
        <w:rPr>
          <w:rFonts w:hint="eastAsia" w:asciiTheme="minorEastAsia" w:hAnsiTheme="minorEastAsia" w:eastAsiaTheme="minorEastAsia"/>
          <w:color w:val="auto"/>
          <w:szCs w:val="21"/>
          <w:highlight w:val="none"/>
          <w:lang w:val="en-US" w:eastAsia="zh-CN"/>
        </w:rPr>
        <w:t>并完成确认</w:t>
      </w:r>
      <w:r>
        <w:rPr>
          <w:rFonts w:hint="eastAsia" w:asciiTheme="minorEastAsia" w:hAnsiTheme="minorEastAsia" w:eastAsiaTheme="minorEastAsia"/>
          <w:color w:val="auto"/>
          <w:szCs w:val="21"/>
          <w:highlight w:val="none"/>
        </w:rPr>
        <w:t>的日期晚于载明的生效日期</w:t>
      </w:r>
      <w:r>
        <w:rPr>
          <w:rFonts w:hint="eastAsia" w:asciiTheme="minorEastAsia" w:hAnsiTheme="minorEastAsia" w:eastAsiaTheme="minorEastAsia"/>
          <w:color w:val="auto"/>
          <w:szCs w:val="21"/>
          <w:highlight w:val="none"/>
          <w:lang w:val="en-US" w:eastAsia="zh-CN"/>
        </w:rPr>
        <w:t>或授权书未载明生效日期</w:t>
      </w:r>
      <w:r>
        <w:rPr>
          <w:rFonts w:hint="eastAsia" w:asciiTheme="minorEastAsia" w:hAnsiTheme="minorEastAsia" w:eastAsiaTheme="minorEastAsia"/>
          <w:color w:val="auto"/>
          <w:szCs w:val="21"/>
          <w:highlight w:val="none"/>
        </w:rPr>
        <w:t>的，则自基金托管人收到</w:t>
      </w:r>
      <w:r>
        <w:rPr>
          <w:rFonts w:hint="eastAsia" w:asciiTheme="minorEastAsia" w:hAnsiTheme="minorEastAsia" w:eastAsiaTheme="minorEastAsia"/>
          <w:color w:val="auto"/>
          <w:szCs w:val="21"/>
          <w:highlight w:val="none"/>
          <w:lang w:val="en-US" w:eastAsia="zh-CN"/>
        </w:rPr>
        <w:t>并完成确认的日期</w:t>
      </w:r>
      <w:r>
        <w:rPr>
          <w:rFonts w:hint="eastAsia" w:asciiTheme="minorEastAsia" w:hAnsiTheme="minorEastAsia" w:eastAsiaTheme="minorEastAsia"/>
          <w:color w:val="auto"/>
          <w:szCs w:val="21"/>
          <w:highlight w:val="none"/>
        </w:rPr>
        <w:t>生效</w:t>
      </w:r>
      <w:r>
        <w:rPr>
          <w:rFonts w:hint="eastAsia" w:asciiTheme="minorEastAsia" w:hAnsiTheme="minorEastAsia" w:eastAsiaTheme="minorEastAsia"/>
          <w:color w:val="auto"/>
          <w:szCs w:val="21"/>
          <w:highlight w:val="none"/>
          <w:lang w:eastAsia="zh-CN"/>
        </w:rPr>
        <w:t>，</w:t>
      </w:r>
      <w:r>
        <w:rPr>
          <w:rFonts w:hint="eastAsia" w:ascii="宋体" w:hAnsi="宋体"/>
          <w:color w:val="auto"/>
          <w:szCs w:val="21"/>
          <w:highlight w:val="none"/>
        </w:rPr>
        <w:t>原授权文件同时废止。</w:t>
      </w:r>
      <w:r>
        <w:rPr>
          <w:rFonts w:hint="eastAsia" w:ascii="宋体" w:hAnsi="宋体"/>
          <w:color w:val="auto"/>
          <w:szCs w:val="21"/>
          <w:highlight w:val="none"/>
          <w:lang w:val="en-US" w:eastAsia="zh-CN"/>
        </w:rPr>
        <w:t>变更授权书</w:t>
      </w:r>
      <w:r>
        <w:rPr>
          <w:rFonts w:hint="eastAsia" w:ascii="宋体" w:hAnsi="宋体"/>
          <w:color w:val="auto"/>
          <w:szCs w:val="21"/>
          <w:highlight w:val="none"/>
        </w:rPr>
        <w:t>生效前，基金托管人仍应按原约定执行指令，基金管理人不得否认其效力</w:t>
      </w:r>
      <w:r>
        <w:rPr>
          <w:rFonts w:hint="eastAsia" w:asciiTheme="minorEastAsia" w:hAnsiTheme="minorEastAsia" w:eastAsiaTheme="minorEastAsia"/>
          <w:color w:val="auto"/>
          <w:szCs w:val="21"/>
          <w:highlight w:val="none"/>
        </w:rPr>
        <w:t>。被授权人变更授权书生效后，对于已被撤换的人员无权发送的指令，或新被授权人员超权限发送的指令，基金托管人有权拒绝执行，基金托管人不承担因为不执行该指令而造成的损失。</w:t>
      </w:r>
    </w:p>
    <w:p w14:paraId="2A2FAF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（七）投资指令的保管 </w:t>
      </w:r>
    </w:p>
    <w:p w14:paraId="40880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投资指令若通过服务平台提交，则以电子数据的形式保管。投资指令若以电子邮件或传真形式发出，则正本由基金管理人保管，基金托管人保管指令扫描件或传真件。当两者不一致时，以基金托管人收到的投资指令扫描件或传真件为准。 </w:t>
      </w:r>
    </w:p>
    <w:p w14:paraId="4771F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（八）相关责任 </w:t>
      </w:r>
    </w:p>
    <w:p w14:paraId="1EAE55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因</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管理人原因造成的传输不及时、未能留出足够执行时间、未能及时与</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托管人进行指令确认或及时跟踪指令执行情况、发送指令时托管账户未预留充足资金等致使资金未能及时清算或交易失败所造成的损失由</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管理人承担。因</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管理</w:t>
      </w:r>
      <w:r>
        <w:rPr>
          <w:rFonts w:hint="eastAsia" w:asciiTheme="minorEastAsia" w:hAnsiTheme="minorEastAsia" w:eastAsiaTheme="minorEastAsia"/>
          <w:color w:val="auto"/>
          <w:szCs w:val="21"/>
          <w:highlight w:val="none"/>
          <w:lang w:val="en-US" w:eastAsia="zh-CN"/>
        </w:rPr>
        <w:t>人</w:t>
      </w:r>
      <w:r>
        <w:rPr>
          <w:rFonts w:hint="eastAsia" w:asciiTheme="minorEastAsia" w:hAnsiTheme="minorEastAsia" w:eastAsiaTheme="minorEastAsia"/>
          <w:color w:val="auto"/>
          <w:szCs w:val="21"/>
          <w:highlight w:val="none"/>
        </w:rPr>
        <w:t>提供的投资指令及指令附件（如有）不真实、不准确、不完整、不合法或失去效力等致使</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托管人执行指令给基金财产或任何第三人所造成的损失由</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管理人承担。在正常业务受理渠道和指令规定的时间内，因</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托管人过错导致未能及时或正确执行符合本合同约定的划款指令且致使基金财产受损的，</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托管人应承担相应责任，但遇到不可抗力等非可归责于</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托管人过错的情形除外。</w:t>
      </w:r>
    </w:p>
    <w:p w14:paraId="6E2AB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93" w:beforeLines="30" w:after="93" w:afterLines="30" w:line="360" w:lineRule="auto"/>
        <w:ind w:firstLine="422" w:firstLineChars="200"/>
        <w:rPr>
          <w:rFonts w:hint="eastAsia" w:asciiTheme="minorEastAsia" w:hAnsiTheme="minorEastAsia" w:eastAsiaTheme="minorEastAsia"/>
          <w:b/>
          <w:bCs/>
          <w:color w:val="auto"/>
          <w:szCs w:val="21"/>
          <w:highlight w:val="none"/>
          <w:lang w:eastAsia="zh-CN"/>
        </w:rPr>
      </w:pPr>
      <w:r>
        <w:rPr>
          <w:rFonts w:hint="eastAsia" w:asciiTheme="minorEastAsia" w:hAnsiTheme="minorEastAsia" w:eastAsiaTheme="minorEastAsia"/>
          <w:b/>
          <w:bCs/>
          <w:color w:val="auto"/>
          <w:szCs w:val="21"/>
          <w:highlight w:val="none"/>
          <w:lang w:val="en-US" w:eastAsia="zh-CN"/>
        </w:rPr>
        <w:t>基金</w:t>
      </w:r>
      <w:r>
        <w:rPr>
          <w:rFonts w:hint="eastAsia" w:asciiTheme="minorEastAsia" w:hAnsiTheme="minorEastAsia" w:eastAsiaTheme="minorEastAsia"/>
          <w:b/>
          <w:bCs/>
          <w:color w:val="auto"/>
          <w:szCs w:val="21"/>
          <w:highlight w:val="none"/>
        </w:rPr>
        <w:t>托管人仅根据本合同约定履行形式审核职责，</w:t>
      </w:r>
      <w:r>
        <w:rPr>
          <w:rFonts w:hint="eastAsia" w:asciiTheme="minorEastAsia" w:hAnsiTheme="minorEastAsia" w:eastAsiaTheme="minorEastAsia"/>
          <w:b/>
          <w:bCs/>
          <w:color w:val="auto"/>
          <w:szCs w:val="21"/>
          <w:highlight w:val="none"/>
          <w:lang w:val="en-US" w:eastAsia="zh-CN"/>
        </w:rPr>
        <w:t>基金</w:t>
      </w:r>
      <w:r>
        <w:rPr>
          <w:rFonts w:hint="eastAsia" w:asciiTheme="minorEastAsia" w:hAnsiTheme="minorEastAsia" w:eastAsiaTheme="minorEastAsia"/>
          <w:b/>
          <w:bCs/>
          <w:color w:val="auto"/>
          <w:szCs w:val="21"/>
          <w:highlight w:val="none"/>
        </w:rPr>
        <w:t>托管人按照本合同约定形式审核无误后正确执行</w:t>
      </w:r>
      <w:r>
        <w:rPr>
          <w:rFonts w:hint="eastAsia" w:asciiTheme="minorEastAsia" w:hAnsiTheme="minorEastAsia" w:eastAsiaTheme="minorEastAsia"/>
          <w:b/>
          <w:bCs/>
          <w:color w:val="auto"/>
          <w:szCs w:val="21"/>
          <w:highlight w:val="none"/>
          <w:lang w:val="en-US" w:eastAsia="zh-CN"/>
        </w:rPr>
        <w:t>基金</w:t>
      </w:r>
      <w:r>
        <w:rPr>
          <w:rFonts w:hint="eastAsia" w:asciiTheme="minorEastAsia" w:hAnsiTheme="minorEastAsia" w:eastAsiaTheme="minorEastAsia"/>
          <w:b/>
          <w:bCs/>
          <w:color w:val="auto"/>
          <w:szCs w:val="21"/>
          <w:highlight w:val="none"/>
        </w:rPr>
        <w:t>管理人发出的指令造成基金财产损失的，</w:t>
      </w:r>
      <w:r>
        <w:rPr>
          <w:rFonts w:hint="eastAsia" w:asciiTheme="minorEastAsia" w:hAnsiTheme="minorEastAsia" w:eastAsiaTheme="minorEastAsia"/>
          <w:b/>
          <w:bCs/>
          <w:color w:val="auto"/>
          <w:szCs w:val="21"/>
          <w:highlight w:val="none"/>
          <w:lang w:val="en-US" w:eastAsia="zh-CN"/>
        </w:rPr>
        <w:t>基金</w:t>
      </w:r>
      <w:r>
        <w:rPr>
          <w:rFonts w:hint="eastAsia" w:asciiTheme="minorEastAsia" w:hAnsiTheme="minorEastAsia" w:eastAsiaTheme="minorEastAsia"/>
          <w:b/>
          <w:bCs/>
          <w:color w:val="auto"/>
          <w:szCs w:val="21"/>
          <w:highlight w:val="none"/>
        </w:rPr>
        <w:t>托管人不承担任何形式的责任。如</w:t>
      </w:r>
      <w:r>
        <w:rPr>
          <w:rFonts w:hint="eastAsia" w:asciiTheme="minorEastAsia" w:hAnsiTheme="minorEastAsia" w:eastAsiaTheme="minorEastAsia"/>
          <w:b/>
          <w:bCs/>
          <w:color w:val="auto"/>
          <w:szCs w:val="21"/>
          <w:highlight w:val="none"/>
          <w:lang w:val="en-US" w:eastAsia="zh-CN"/>
        </w:rPr>
        <w:t>基金</w:t>
      </w:r>
      <w:r>
        <w:rPr>
          <w:rFonts w:hint="eastAsia" w:asciiTheme="minorEastAsia" w:hAnsiTheme="minorEastAsia" w:eastAsiaTheme="minorEastAsia"/>
          <w:b/>
          <w:bCs/>
          <w:color w:val="auto"/>
          <w:szCs w:val="21"/>
          <w:highlight w:val="none"/>
        </w:rPr>
        <w:t>管理人的指令存在事实上未经授权（包括已被撤换的人员无权发送的指令、新被授权人员超权限发送的指令等）、欺诈、伪造等非</w:t>
      </w:r>
      <w:r>
        <w:rPr>
          <w:rFonts w:hint="eastAsia" w:asciiTheme="minorEastAsia" w:hAnsiTheme="minorEastAsia" w:eastAsiaTheme="minorEastAsia"/>
          <w:b/>
          <w:bCs/>
          <w:color w:val="auto"/>
          <w:szCs w:val="21"/>
          <w:highlight w:val="none"/>
          <w:lang w:val="en-US" w:eastAsia="zh-CN"/>
        </w:rPr>
        <w:t>基金</w:t>
      </w:r>
      <w:r>
        <w:rPr>
          <w:rFonts w:hint="eastAsia" w:asciiTheme="minorEastAsia" w:hAnsiTheme="minorEastAsia" w:eastAsiaTheme="minorEastAsia"/>
          <w:b/>
          <w:bCs/>
          <w:color w:val="auto"/>
          <w:szCs w:val="21"/>
          <w:highlight w:val="none"/>
        </w:rPr>
        <w:t>托管人原因所致情形，</w:t>
      </w:r>
      <w:r>
        <w:rPr>
          <w:rFonts w:hint="eastAsia" w:asciiTheme="minorEastAsia" w:hAnsiTheme="minorEastAsia" w:eastAsiaTheme="minorEastAsia"/>
          <w:b/>
          <w:bCs/>
          <w:color w:val="auto"/>
          <w:szCs w:val="21"/>
          <w:highlight w:val="none"/>
          <w:lang w:val="en-US" w:eastAsia="zh-CN"/>
        </w:rPr>
        <w:t>基金</w:t>
      </w:r>
      <w:r>
        <w:rPr>
          <w:rFonts w:hint="eastAsia" w:asciiTheme="minorEastAsia" w:hAnsiTheme="minorEastAsia" w:eastAsiaTheme="minorEastAsia"/>
          <w:b/>
          <w:bCs/>
          <w:color w:val="auto"/>
          <w:szCs w:val="21"/>
          <w:highlight w:val="none"/>
        </w:rPr>
        <w:t>托管人不承担因执行有关指令而给</w:t>
      </w:r>
      <w:r>
        <w:rPr>
          <w:rFonts w:hint="eastAsia" w:asciiTheme="minorEastAsia" w:hAnsiTheme="minorEastAsia" w:eastAsiaTheme="minorEastAsia"/>
          <w:b/>
          <w:bCs/>
          <w:color w:val="auto"/>
          <w:szCs w:val="21"/>
          <w:highlight w:val="none"/>
          <w:lang w:val="en-US" w:eastAsia="zh-CN"/>
        </w:rPr>
        <w:t>基金</w:t>
      </w:r>
      <w:r>
        <w:rPr>
          <w:rFonts w:hint="eastAsia" w:asciiTheme="minorEastAsia" w:hAnsiTheme="minorEastAsia" w:eastAsiaTheme="minorEastAsia"/>
          <w:b/>
          <w:bCs/>
          <w:color w:val="auto"/>
          <w:szCs w:val="21"/>
          <w:highlight w:val="none"/>
        </w:rPr>
        <w:t>管理人、基金财产或任何第三人带来的损失，全部责任由</w:t>
      </w:r>
      <w:r>
        <w:rPr>
          <w:rFonts w:hint="eastAsia" w:asciiTheme="minorEastAsia" w:hAnsiTheme="minorEastAsia" w:eastAsiaTheme="minorEastAsia"/>
          <w:b/>
          <w:bCs/>
          <w:color w:val="auto"/>
          <w:szCs w:val="21"/>
          <w:highlight w:val="none"/>
          <w:lang w:val="en-US" w:eastAsia="zh-CN"/>
        </w:rPr>
        <w:t>基金</w:t>
      </w:r>
      <w:r>
        <w:rPr>
          <w:rFonts w:hint="eastAsia" w:asciiTheme="minorEastAsia" w:hAnsiTheme="minorEastAsia" w:eastAsiaTheme="minorEastAsia"/>
          <w:b/>
          <w:bCs/>
          <w:color w:val="auto"/>
          <w:szCs w:val="21"/>
          <w:highlight w:val="none"/>
        </w:rPr>
        <w:t>管理人承担</w:t>
      </w:r>
      <w:r>
        <w:rPr>
          <w:rFonts w:hint="eastAsia" w:asciiTheme="minorEastAsia" w:hAnsiTheme="minorEastAsia" w:eastAsiaTheme="minorEastAsia"/>
          <w:b/>
          <w:bCs/>
          <w:color w:val="auto"/>
          <w:szCs w:val="21"/>
          <w:highlight w:val="none"/>
          <w:lang w:eastAsia="zh-CN"/>
        </w:rPr>
        <w:t>。</w:t>
      </w:r>
    </w:p>
    <w:p w14:paraId="6F2358D4">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55" w:name="_Toc4975"/>
      <w:bookmarkStart w:id="56" w:name="_Toc110605415"/>
      <w:r>
        <w:rPr>
          <w:rFonts w:hint="eastAsia" w:asciiTheme="minorEastAsia" w:hAnsiTheme="minorEastAsia" w:eastAsiaTheme="minorEastAsia"/>
          <w:b/>
          <w:color w:val="auto"/>
          <w:sz w:val="28"/>
          <w:szCs w:val="28"/>
          <w:highlight w:val="none"/>
        </w:rPr>
        <w:t>十四、交易及清算交收安排</w:t>
      </w:r>
      <w:bookmarkEnd w:id="53"/>
      <w:bookmarkEnd w:id="54"/>
      <w:bookmarkEnd w:id="55"/>
      <w:bookmarkEnd w:id="56"/>
    </w:p>
    <w:p w14:paraId="36C787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57" w:name="_Toc48703904"/>
      <w:bookmarkStart w:id="58" w:name="_Toc194292255"/>
      <w:bookmarkStart w:id="59" w:name="_Toc194741913"/>
      <w:bookmarkStart w:id="60" w:name="_Toc22454452"/>
      <w:r>
        <w:rPr>
          <w:rFonts w:hint="eastAsia" w:asciiTheme="minorEastAsia" w:hAnsiTheme="minorEastAsia" w:eastAsiaTheme="minorEastAsia"/>
          <w:color w:val="auto"/>
          <w:szCs w:val="21"/>
          <w:highlight w:val="none"/>
        </w:rPr>
        <w:t>（一）选择证券经纪机构的程序</w:t>
      </w:r>
    </w:p>
    <w:p w14:paraId="5DC34B5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基金管理人负责选择代理本基金财产证券买卖的证券经纪机构，并与其签订证券经纪合同，基金管理人、基金托管人和证券经纪机构可就基金参与证券交易的具体事项另行签订协议。</w:t>
      </w:r>
    </w:p>
    <w:bookmarkEnd w:id="57"/>
    <w:bookmarkEnd w:id="58"/>
    <w:bookmarkEnd w:id="59"/>
    <w:bookmarkEnd w:id="60"/>
    <w:p w14:paraId="0A3C793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61" w:name="_Toc48703905"/>
      <w:bookmarkStart w:id="62" w:name="_Toc194292256"/>
      <w:bookmarkStart w:id="63" w:name="_Toc194741914"/>
      <w:r>
        <w:rPr>
          <w:rFonts w:hint="eastAsia" w:asciiTheme="minorEastAsia" w:hAnsiTheme="minorEastAsia" w:eastAsiaTheme="minorEastAsia"/>
          <w:color w:val="auto"/>
          <w:szCs w:val="21"/>
          <w:highlight w:val="none"/>
        </w:rPr>
        <w:t>（二）投资证券后的清算</w:t>
      </w:r>
      <w:bookmarkEnd w:id="61"/>
      <w:r>
        <w:rPr>
          <w:rFonts w:hint="eastAsia" w:asciiTheme="minorEastAsia" w:hAnsiTheme="minorEastAsia" w:eastAsiaTheme="minorEastAsia"/>
          <w:color w:val="auto"/>
          <w:szCs w:val="21"/>
          <w:highlight w:val="none"/>
        </w:rPr>
        <w:t>交收安排</w:t>
      </w:r>
      <w:bookmarkEnd w:id="62"/>
      <w:bookmarkEnd w:id="63"/>
    </w:p>
    <w:p w14:paraId="37AA85B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1、本基金通过证券经纪机构进行的交易由证券经纪机构作为结算参与人代理本基金进行结算；本基金其他证券交易由基金托管人或相关机构负责结算。</w:t>
      </w:r>
    </w:p>
    <w:p w14:paraId="2F52F98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2、证券交易所证券资金结算</w:t>
      </w:r>
    </w:p>
    <w:p w14:paraId="56B42C7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基金托管人、基金管理人应共同遵守中登公司制定的相关业务规则和规定，该等规则和规定自动成为本条款约定的内容。</w:t>
      </w:r>
    </w:p>
    <w:p w14:paraId="7A2072D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基金管理人在投资前，应充分知晓与理解中登公司针对各类交易品种制定结算业务规则和规定。</w:t>
      </w:r>
    </w:p>
    <w:p w14:paraId="2CD4323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证券经纪机构代理本基金财产与中登公司完成证券交易及非交易涉及的证券资金结算业务，并承担由证券经纪机构原因造成的正常结算、交收业务无法完成的责任；若由于基金管理人原因造成的正常结算业务无法完成，责任由基金管理人承担。</w:t>
      </w:r>
    </w:p>
    <w:p w14:paraId="05F1609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3、对于任何原因发生的证券资金交收违约事件，相关各方应当及时协商解决。</w:t>
      </w:r>
    </w:p>
    <w:p w14:paraId="15C46B4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64" w:name="_Toc48703906"/>
      <w:bookmarkStart w:id="65" w:name="_Toc194292257"/>
      <w:bookmarkStart w:id="66" w:name="_Toc194741915"/>
      <w:r>
        <w:rPr>
          <w:rFonts w:hint="eastAsia" w:asciiTheme="minorEastAsia" w:hAnsiTheme="minorEastAsia" w:eastAsiaTheme="minorEastAsia"/>
          <w:color w:val="auto"/>
          <w:szCs w:val="21"/>
          <w:highlight w:val="none"/>
        </w:rPr>
        <w:t>（三）资金、证券账目及交易记录的核对</w:t>
      </w:r>
      <w:bookmarkEnd w:id="64"/>
      <w:bookmarkEnd w:id="65"/>
      <w:bookmarkEnd w:id="66"/>
    </w:p>
    <w:p w14:paraId="35BF27D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基金管理人和基金托管人定期对资产的资金、证券账目、交易记录进行核对。</w:t>
      </w:r>
    </w:p>
    <w:p w14:paraId="3FB6B8A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（四）申购或赎回</w:t>
      </w:r>
      <w:r>
        <w:rPr>
          <w:rFonts w:asciiTheme="minorEastAsia" w:hAnsiTheme="minorEastAsia" w:eastAsiaTheme="minorEastAsia"/>
          <w:color w:val="auto"/>
          <w:szCs w:val="21"/>
          <w:highlight w:val="none"/>
        </w:rPr>
        <w:t>的资金清算</w:t>
      </w:r>
    </w:p>
    <w:p w14:paraId="6FEF057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T日，</w:t>
      </w:r>
      <w:r>
        <w:rPr>
          <w:rFonts w:hint="eastAsia" w:asciiTheme="minorEastAsia" w:hAnsiTheme="minorEastAsia" w:eastAsiaTheme="minorEastAsia"/>
          <w:color w:val="auto"/>
          <w:szCs w:val="21"/>
          <w:highlight w:val="none"/>
        </w:rPr>
        <w:t>基金投资者进行申购或赎回</w:t>
      </w:r>
      <w:r>
        <w:rPr>
          <w:rFonts w:asciiTheme="minorEastAsia" w:hAnsiTheme="minorEastAsia" w:eastAsiaTheme="minorEastAsia"/>
          <w:color w:val="auto"/>
          <w:szCs w:val="21"/>
          <w:highlight w:val="none"/>
        </w:rPr>
        <w:t>申请</w:t>
      </w:r>
      <w:r>
        <w:rPr>
          <w:rFonts w:hint="eastAsia" w:asciiTheme="minorEastAsia" w:hAnsiTheme="minorEastAsia" w:eastAsiaTheme="minorEastAsia"/>
          <w:color w:val="auto"/>
          <w:szCs w:val="21"/>
          <w:highlight w:val="none"/>
        </w:rPr>
        <w:t>。在正常情况下，基金管理人在</w:t>
      </w:r>
      <w:r>
        <w:rPr>
          <w:rFonts w:asciiTheme="minorEastAsia" w:hAnsiTheme="minorEastAsia" w:eastAsiaTheme="minorEastAsia"/>
          <w:color w:val="auto"/>
          <w:szCs w:val="21"/>
          <w:highlight w:val="none"/>
        </w:rPr>
        <w:t>T+2</w:t>
      </w:r>
      <w:r>
        <w:rPr>
          <w:rFonts w:hint="eastAsia" w:asciiTheme="minorEastAsia" w:hAnsiTheme="minorEastAsia" w:eastAsiaTheme="minorEastAsia"/>
          <w:color w:val="auto"/>
          <w:szCs w:val="21"/>
          <w:highlight w:val="none"/>
        </w:rPr>
        <w:t>日内对T日的申购、赎回申请进行确认（如遇特殊情况且在管理人和托管人技术条件支持下，管理人有权对份额确认日进行调整，并通知基金份额持有人和托管人），并将确认的申购、赎回等数据向基金托管人传送。基金管理人或基金管理人委托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服务机构、基金托管人根据确认数据进行账务处理。</w:t>
      </w:r>
    </w:p>
    <w:p w14:paraId="7EBC699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2、基金份额持有人赎回申请确认后，</w:t>
      </w:r>
      <w:r>
        <w:rPr>
          <w:rFonts w:asciiTheme="minorEastAsia" w:hAnsiTheme="minorEastAsia" w:eastAsiaTheme="minorEastAsia"/>
          <w:color w:val="auto"/>
          <w:szCs w:val="21"/>
          <w:highlight w:val="none"/>
        </w:rPr>
        <w:t>赎回款项原则上应于</w:t>
      </w:r>
      <w:r>
        <w:rPr>
          <w:rFonts w:hint="eastAsia" w:asciiTheme="minorEastAsia" w:hAnsiTheme="minorEastAsia" w:eastAsiaTheme="minorEastAsia"/>
          <w:color w:val="auto"/>
          <w:szCs w:val="21"/>
          <w:highlight w:val="none"/>
        </w:rPr>
        <w:t>确认日后的</w:t>
      </w:r>
      <w:r>
        <w:rPr>
          <w:rFonts w:asciiTheme="minorEastAsia" w:hAnsiTheme="minorEastAsia" w:eastAsiaTheme="minorEastAsia"/>
          <w:color w:val="auto"/>
          <w:szCs w:val="21"/>
          <w:highlight w:val="none"/>
        </w:rPr>
        <w:t>7个工作日内支付至基金份额持有人的银行账户</w:t>
      </w:r>
      <w:r>
        <w:rPr>
          <w:rFonts w:hint="eastAsia" w:asciiTheme="minorEastAsia" w:hAnsiTheme="minorEastAsia" w:eastAsiaTheme="minorEastAsia"/>
          <w:color w:val="auto"/>
          <w:szCs w:val="21"/>
          <w:highlight w:val="none"/>
        </w:rPr>
        <w:t>。在发生巨额赎回时，款项的支付办法参照本合同有关条款处理。</w:t>
      </w:r>
    </w:p>
    <w:p w14:paraId="6249156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3、基金管理人</w:t>
      </w:r>
      <w:r>
        <w:rPr>
          <w:rFonts w:asciiTheme="minorEastAsia" w:hAnsiTheme="minorEastAsia" w:eastAsiaTheme="minorEastAsia"/>
          <w:color w:val="auto"/>
          <w:szCs w:val="21"/>
          <w:highlight w:val="none"/>
        </w:rPr>
        <w:t>应对</w:t>
      </w:r>
      <w:r>
        <w:rPr>
          <w:rFonts w:hint="eastAsia" w:asciiTheme="minorEastAsia" w:hAnsiTheme="minorEastAsia" w:eastAsiaTheme="minorEastAsia"/>
          <w:color w:val="auto"/>
          <w:szCs w:val="21"/>
          <w:highlight w:val="none"/>
        </w:rPr>
        <w:t>份额登记数据的准确性</w:t>
      </w:r>
      <w:r>
        <w:rPr>
          <w:rFonts w:asciiTheme="minorEastAsia" w:hAnsiTheme="minorEastAsia" w:eastAsiaTheme="minorEastAsia"/>
          <w:color w:val="auto"/>
          <w:szCs w:val="21"/>
          <w:highlight w:val="none"/>
        </w:rPr>
        <w:t>负责。</w:t>
      </w:r>
      <w:r>
        <w:rPr>
          <w:rFonts w:hint="eastAsia" w:asciiTheme="minorEastAsia" w:hAnsiTheme="minorEastAsia" w:eastAsiaTheme="minorEastAsia"/>
          <w:color w:val="auto"/>
          <w:szCs w:val="21"/>
          <w:highlight w:val="none"/>
        </w:rPr>
        <w:t>基金托管人</w:t>
      </w:r>
      <w:r>
        <w:rPr>
          <w:rFonts w:asciiTheme="minorEastAsia" w:hAnsiTheme="minorEastAsia" w:eastAsiaTheme="minorEastAsia"/>
          <w:color w:val="auto"/>
          <w:szCs w:val="21"/>
          <w:highlight w:val="none"/>
        </w:rPr>
        <w:t>应及时查收</w:t>
      </w:r>
      <w:r>
        <w:rPr>
          <w:rFonts w:hint="eastAsia" w:asciiTheme="minorEastAsia" w:hAnsiTheme="minorEastAsia" w:eastAsiaTheme="minorEastAsia"/>
          <w:color w:val="auto"/>
          <w:szCs w:val="21"/>
          <w:highlight w:val="none"/>
        </w:rPr>
        <w:t>申购</w:t>
      </w:r>
      <w:r>
        <w:rPr>
          <w:rFonts w:asciiTheme="minorEastAsia" w:hAnsiTheme="minorEastAsia" w:eastAsiaTheme="minorEastAsia"/>
          <w:color w:val="auto"/>
          <w:szCs w:val="21"/>
          <w:highlight w:val="none"/>
        </w:rPr>
        <w:t>资金的到账情况</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并根据</w:t>
      </w:r>
      <w:r>
        <w:rPr>
          <w:rFonts w:hint="eastAsia" w:asciiTheme="minorEastAsia" w:hAnsiTheme="minorEastAsia" w:eastAsiaTheme="minorEastAsia"/>
          <w:color w:val="auto"/>
          <w:szCs w:val="21"/>
          <w:highlight w:val="none"/>
        </w:rPr>
        <w:t>基金管理人</w:t>
      </w:r>
      <w:r>
        <w:rPr>
          <w:rFonts w:asciiTheme="minorEastAsia" w:hAnsiTheme="minorEastAsia" w:eastAsiaTheme="minorEastAsia"/>
          <w:color w:val="auto"/>
          <w:szCs w:val="21"/>
          <w:highlight w:val="none"/>
        </w:rPr>
        <w:t>指令及时划付</w:t>
      </w:r>
      <w:r>
        <w:rPr>
          <w:rFonts w:hint="eastAsia" w:asciiTheme="minorEastAsia" w:hAnsiTheme="minorEastAsia" w:eastAsiaTheme="minorEastAsia"/>
          <w:color w:val="auto"/>
          <w:szCs w:val="21"/>
          <w:highlight w:val="none"/>
        </w:rPr>
        <w:t>赎回</w:t>
      </w:r>
      <w:r>
        <w:rPr>
          <w:rFonts w:asciiTheme="minorEastAsia" w:hAnsiTheme="minorEastAsia" w:eastAsiaTheme="minorEastAsia"/>
          <w:color w:val="auto"/>
          <w:szCs w:val="21"/>
          <w:highlight w:val="none"/>
        </w:rPr>
        <w:t>款项。</w:t>
      </w:r>
    </w:p>
    <w:p w14:paraId="4AC48FC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4、基金托管人仅接受基金管理人赎回指令，并根据赎回指令办理赎回款项的划付。因管理人拒绝接收投资者的赎回申请引起的纠纷或产生的任何损失和赔偿，托管人不承担任何责任。</w:t>
      </w:r>
    </w:p>
    <w:p w14:paraId="6CE7592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（五）选择期货经纪机构的程序及期货投资资金清算安排</w:t>
      </w:r>
    </w:p>
    <w:p w14:paraId="3DAB7E8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本基金投资于期货前，基金管理人负责选择为本基金提供期货交易服务的期货经纪公司，并与其签订期货经纪合同。基金管理人、基金托管人和期货公司可就基金参与期货交易的具体事项另行签订协议。</w:t>
      </w:r>
    </w:p>
    <w:p w14:paraId="593478F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投资于期货发生的资金交割清算由基金管理人选定的期货经纪公司负责办理，基金托管人对由于期货交易所期货保证金制度和清算交割的需要而存放在期货经纪公司的资金不行使保管职责，基金管理人应在期货经纪协议或其他协议中约定由选定的期货经纪公司承担资金安全保管责任。</w:t>
      </w:r>
    </w:p>
    <w:p w14:paraId="045EF0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（六）非证券交易所交易资金交收</w:t>
      </w:r>
    </w:p>
    <w:p w14:paraId="5DF1AA85">
      <w:pPr>
        <w:tabs>
          <w:tab w:val="left" w:pos="142"/>
        </w:tabs>
        <w:adjustRightInd w:val="0"/>
        <w:snapToGrid w:val="0"/>
        <w:spacing w:before="93" w:beforeLines="30" w:after="93" w:afterLines="30" w:line="360" w:lineRule="auto"/>
        <w:ind w:firstLine="420" w:firstLineChars="200"/>
        <w:rPr>
          <w:rFonts w:cs="宋体" w:asciiTheme="minorEastAsia" w:hAnsiTheme="minorEastAsia" w:eastAsiaTheme="minorEastAsia"/>
          <w:color w:val="auto"/>
          <w:szCs w:val="21"/>
          <w:highlight w:val="none"/>
        </w:rPr>
      </w:pPr>
      <w:r>
        <w:rPr>
          <w:rFonts w:hint="eastAsia" w:cs="宋体" w:asciiTheme="minorEastAsia" w:hAnsiTheme="minorEastAsia" w:eastAsiaTheme="minorEastAsia"/>
          <w:color w:val="auto"/>
          <w:szCs w:val="21"/>
          <w:highlight w:val="none"/>
        </w:rPr>
        <w:t>1、对于本基金的投资及所投资的资产变现时，基金管理人应向基金托管人提交相关交易合同或协议、成交确认文件的复印件（加盖基金管理人有效印章），并通知基金托管人相关资金的到账时间。基金管理人保证以上所提供的文件资料的真实性和有效性。</w:t>
      </w:r>
    </w:p>
    <w:p w14:paraId="0FDA7589">
      <w:pPr>
        <w:tabs>
          <w:tab w:val="left" w:pos="142"/>
        </w:tabs>
        <w:adjustRightInd w:val="0"/>
        <w:snapToGrid w:val="0"/>
        <w:spacing w:before="93" w:beforeLines="30" w:after="93" w:afterLines="30" w:line="360" w:lineRule="auto"/>
        <w:ind w:firstLine="420" w:firstLineChars="200"/>
        <w:rPr>
          <w:rFonts w:cs="宋体" w:asciiTheme="minorEastAsia" w:hAnsiTheme="minorEastAsia" w:eastAsiaTheme="minorEastAsia"/>
          <w:color w:val="auto"/>
          <w:szCs w:val="21"/>
          <w:highlight w:val="none"/>
        </w:rPr>
      </w:pPr>
      <w:r>
        <w:rPr>
          <w:rFonts w:hint="eastAsia" w:cs="宋体"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基金管理人</w:t>
      </w:r>
      <w:r>
        <w:rPr>
          <w:rFonts w:hint="eastAsia" w:cs="宋体" w:asciiTheme="minorEastAsia" w:hAnsiTheme="minorEastAsia" w:eastAsiaTheme="minorEastAsia"/>
          <w:color w:val="auto"/>
          <w:szCs w:val="21"/>
          <w:highlight w:val="none"/>
        </w:rPr>
        <w:t>应指定本基金的托管资金账户为本基金投资所产生的本金、利息、投资收益以及其他收益的唯一收款账户。</w:t>
      </w:r>
    </w:p>
    <w:p w14:paraId="793372B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cs="宋体" w:asciiTheme="minorEastAsia" w:hAnsiTheme="minorEastAsia" w:eastAsiaTheme="minorEastAsia"/>
          <w:color w:val="auto"/>
          <w:szCs w:val="21"/>
          <w:highlight w:val="none"/>
        </w:rPr>
        <w:t>3、基金托管资金账户当日如有应收款，在约定时间内未入账的，由基金管理人负责向相关当事人进行催收。</w:t>
      </w:r>
    </w:p>
    <w:p w14:paraId="301B766E">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67" w:name="_Toc391537514"/>
      <w:bookmarkStart w:id="68" w:name="_Toc110605416"/>
      <w:bookmarkStart w:id="69" w:name="_Toc32718"/>
      <w:bookmarkStart w:id="70" w:name="_Toc459392417"/>
      <w:r>
        <w:rPr>
          <w:rFonts w:hint="eastAsia" w:asciiTheme="minorEastAsia" w:hAnsiTheme="minorEastAsia" w:eastAsiaTheme="minorEastAsia"/>
          <w:b/>
          <w:color w:val="auto"/>
          <w:sz w:val="28"/>
          <w:szCs w:val="28"/>
          <w:highlight w:val="none"/>
        </w:rPr>
        <w:t>十五、越权交易</w:t>
      </w:r>
      <w:bookmarkEnd w:id="67"/>
      <w:bookmarkEnd w:id="68"/>
      <w:bookmarkEnd w:id="69"/>
      <w:bookmarkEnd w:id="70"/>
    </w:p>
    <w:p w14:paraId="7065EB3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（一）越权交易的界定</w:t>
      </w:r>
    </w:p>
    <w:p w14:paraId="3B5F0E5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本合同约定的越权交易是指基金管理人违反本合同的约定而进行的投资交易行为，包括：（1）违反本合同约定的投资范围和投资比例限制等进行的投资交易行为；（2）法律法规禁止的超买、超卖行为。</w:t>
      </w:r>
    </w:p>
    <w:p w14:paraId="0C77F6E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基金管理人应在本合同规定的投资范围和投资限制权限内运用基金财产进行投资管理，不得违反本合同关于投资范围和投资限制的约定，超越权限从事投资。</w:t>
      </w:r>
    </w:p>
    <w:p w14:paraId="6B62957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（二）对越权交易的处理程序</w:t>
      </w:r>
    </w:p>
    <w:p w14:paraId="62F9D78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1、违反本合同投资范围和投资比例限制规定进行的投资交易行为</w:t>
      </w:r>
    </w:p>
    <w:p w14:paraId="23E668D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基金托管人在行使监督职责时，发现基金管理人的投资指令违反本合同约定的，应当拒绝执行，立即通知基金管理人，并有权依据相关法律法规的要求报告中国证监会或中国基金业协会。</w:t>
      </w:r>
    </w:p>
    <w:p w14:paraId="7D5B2D2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在行使监督职责时，发现基金管理人依据交易程序已经生效的投资指令违反本合同约定的，应立即通知基金管理人，并有权依据相关法律法规的要求报告中国证监会或中国基金业协会。因执行该指令造成的损失基金托管人不承担任何责任。</w:t>
      </w:r>
    </w:p>
    <w:p w14:paraId="43EC58E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应向基金托管人主动报告越权交易。基金托管人有权督促基金管理人在限期内改正并在该期限内对通知事项进行复查。基金管理人对基金托管人通知的越权事项未能在限期内纠正的，基金托管人有权依据相关法律法规的要求报告中国证监会或中国基金业协会。</w:t>
      </w:r>
    </w:p>
    <w:p w14:paraId="284B5CF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2、法律法规禁止的超买、超卖行为。</w:t>
      </w:r>
    </w:p>
    <w:p w14:paraId="3EA652C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在行使监督职能时，如果发现基金资产投资过程中出现超买或超卖现象，应立即提醒基金管理人，由此给基金资产造成的损失由基金管理人承担，基金托管人不承担任何责任。如果因基金管理人原因发生交易所场内超买行为，必须于发生超买行为日的下一个工作日上午10：00点之前完成融资，保证完成清算交收。</w:t>
      </w:r>
    </w:p>
    <w:p w14:paraId="7D2CB2D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3、越权交易所发生的损失及相关交易费用由管理人负担，所发生的收益归本基金资产所有。</w:t>
      </w:r>
    </w:p>
    <w:p w14:paraId="4380672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（三）基金托管人对基金管理人越权交易的监督</w:t>
      </w:r>
    </w:p>
    <w:p w14:paraId="5E7C120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1、基金托管人对基金管理人的越权交易行使监督权，具体投资监督事项如下：</w:t>
      </w:r>
    </w:p>
    <w:p w14:paraId="57A4E98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（1）本基金的投资范围：</w:t>
      </w:r>
    </w:p>
    <w:p w14:paraId="0881BC32">
      <w:pPr>
        <w:adjustRightInd w:val="0"/>
        <w:snapToGrid w:val="0"/>
        <w:spacing w:before="93" w:beforeLines="30" w:after="93" w:afterLines="30" w:line="360" w:lineRule="auto"/>
        <w:ind w:firstLine="420" w:firstLineChars="200"/>
        <w:rPr>
          <w:rFonts w:hint="eastAsia" w:eastAsia="宋体" w:asciiTheme="minorEastAsia" w:hAnsiTheme="minorEastAsia"/>
          <w:color w:val="auto"/>
          <w:szCs w:val="21"/>
          <w:highlight w:val="none"/>
          <w:lang w:val="en-US" w:eastAsia="zh-CN"/>
        </w:rPr>
      </w:pPr>
      <w:r>
        <w:rPr>
          <w:rFonts w:hint="eastAsia" w:asciiTheme="minorEastAsia" w:hAnsiTheme="minorEastAsia" w:eastAsiaTheme="minorEastAsia"/>
          <w:color w:val="auto"/>
          <w:szCs w:val="21"/>
          <w:highlight w:val="none"/>
          <w:lang w:val="en-US" w:eastAsia="zh-CN"/>
        </w:rPr>
        <w:t>1）权益类：</w:t>
      </w:r>
      <w:r>
        <w:rPr>
          <w:rFonts w:hint="eastAsia" w:asciiTheme="minorEastAsia" w:hAnsiTheme="minorEastAsia" w:eastAsiaTheme="minorEastAsia"/>
          <w:color w:val="auto"/>
          <w:szCs w:val="21"/>
          <w:highlight w:val="none"/>
        </w:rPr>
        <w:t>国内依法</w:t>
      </w:r>
      <w:r>
        <w:rPr>
          <w:rFonts w:hint="eastAsia" w:ascii="宋体" w:hAnsi="宋体"/>
          <w:color w:val="auto"/>
          <w:szCs w:val="21"/>
          <w:highlight w:val="none"/>
        </w:rPr>
        <w:t>发行上市的股票</w:t>
      </w:r>
      <w:r>
        <w:rPr>
          <w:rFonts w:hint="eastAsia" w:ascii="宋体" w:hAnsi="宋体"/>
          <w:color w:val="auto"/>
          <w:szCs w:val="21"/>
          <w:highlight w:val="none"/>
          <w:lang w:eastAsia="zh-CN"/>
        </w:rPr>
        <w:t>（</w:t>
      </w:r>
      <w:r>
        <w:rPr>
          <w:rFonts w:hint="eastAsia" w:ascii="宋体" w:hAnsi="宋体"/>
          <w:color w:val="auto"/>
          <w:szCs w:val="21"/>
          <w:highlight w:val="none"/>
          <w:lang w:val="en-US" w:eastAsia="zh-CN"/>
        </w:rPr>
        <w:t>含</w:t>
      </w:r>
      <w:r>
        <w:rPr>
          <w:rFonts w:hint="eastAsia" w:ascii="宋体" w:hAnsi="宋体"/>
          <w:color w:val="auto"/>
          <w:szCs w:val="21"/>
          <w:highlight w:val="none"/>
        </w:rPr>
        <w:t>新股申购</w:t>
      </w:r>
      <w:r>
        <w:rPr>
          <w:rFonts w:hint="eastAsia" w:ascii="宋体" w:hAnsi="宋体"/>
          <w:color w:val="auto"/>
          <w:szCs w:val="21"/>
          <w:highlight w:val="none"/>
          <w:lang w:eastAsia="zh-CN"/>
        </w:rPr>
        <w:t>，</w:t>
      </w:r>
      <w:r>
        <w:rPr>
          <w:rFonts w:hint="eastAsia" w:ascii="宋体" w:hAnsi="宋体"/>
          <w:color w:val="auto"/>
          <w:szCs w:val="21"/>
          <w:highlight w:val="none"/>
          <w:lang w:val="en-US" w:eastAsia="zh-CN"/>
        </w:rPr>
        <w:t>不含优先股</w:t>
      </w:r>
      <w:r>
        <w:rPr>
          <w:rFonts w:hint="eastAsia" w:ascii="宋体" w:hAnsi="宋体"/>
          <w:color w:val="auto"/>
          <w:szCs w:val="21"/>
          <w:highlight w:val="none"/>
          <w:lang w:eastAsia="zh-CN"/>
        </w:rPr>
        <w:t>）</w:t>
      </w:r>
      <w:r>
        <w:rPr>
          <w:rFonts w:hint="eastAsia" w:ascii="宋体" w:hAnsi="宋体" w:cs="Times New Roman"/>
          <w:color w:val="auto"/>
          <w:sz w:val="21"/>
          <w:szCs w:val="21"/>
          <w:highlight w:val="none"/>
          <w:lang w:eastAsia="zh-CN"/>
        </w:rPr>
        <w:t>。</w:t>
      </w:r>
    </w:p>
    <w:p w14:paraId="139A1663">
      <w:pPr>
        <w:adjustRightInd w:val="0"/>
        <w:snapToGrid w:val="0"/>
        <w:spacing w:before="93" w:beforeLines="30" w:after="93" w:afterLines="30" w:line="360" w:lineRule="auto"/>
        <w:ind w:firstLine="420" w:firstLineChars="200"/>
        <w:rPr>
          <w:rFonts w:hint="eastAsia" w:eastAsia="宋体" w:asciiTheme="minorEastAsia" w:hAnsiTheme="minorEastAsia"/>
          <w:color w:val="auto"/>
          <w:szCs w:val="21"/>
          <w:highlight w:val="none"/>
          <w:lang w:val="en-US" w:eastAsia="zh-CN"/>
        </w:rPr>
      </w:pPr>
      <w:r>
        <w:rPr>
          <w:rFonts w:hint="eastAsia" w:asciiTheme="minorEastAsia" w:hAnsiTheme="minorEastAsia" w:eastAsiaTheme="minorEastAsia"/>
          <w:color w:val="auto"/>
          <w:szCs w:val="21"/>
          <w:highlight w:val="none"/>
          <w:lang w:val="en-US" w:eastAsia="zh-CN"/>
        </w:rPr>
        <w:t>2）固定收益类：</w:t>
      </w:r>
      <w:r>
        <w:rPr>
          <w:rFonts w:hint="eastAsia" w:ascii="宋体" w:hAnsi="宋体"/>
          <w:color w:val="auto"/>
          <w:szCs w:val="21"/>
          <w:highlight w:val="none"/>
        </w:rPr>
        <w:t>债券通用质押式回购</w:t>
      </w:r>
      <w:r>
        <w:rPr>
          <w:rFonts w:hint="eastAsia" w:ascii="宋体" w:hAnsi="宋体"/>
          <w:color w:val="auto"/>
          <w:szCs w:val="21"/>
          <w:highlight w:val="none"/>
          <w:lang w:eastAsia="zh-CN"/>
        </w:rPr>
        <w:t>。</w:t>
      </w:r>
    </w:p>
    <w:p w14:paraId="3D5B25E5">
      <w:pPr>
        <w:adjustRightInd w:val="0"/>
        <w:snapToGrid w:val="0"/>
        <w:spacing w:before="93" w:beforeLines="30" w:after="93" w:afterLines="30" w:line="360" w:lineRule="auto"/>
        <w:ind w:firstLine="420" w:firstLineChars="200"/>
        <w:rPr>
          <w:rFonts w:hint="eastAsia" w:ascii="宋体" w:hAnsi="宋体"/>
          <w:color w:val="auto"/>
          <w:szCs w:val="21"/>
          <w:highlight w:val="none"/>
          <w:lang w:eastAsia="zh-CN"/>
        </w:rPr>
      </w:pPr>
      <w:r>
        <w:rPr>
          <w:rFonts w:hint="eastAsia" w:asciiTheme="minorEastAsia" w:hAnsiTheme="minorEastAsia" w:eastAsiaTheme="minorEastAsia"/>
          <w:color w:val="auto"/>
          <w:szCs w:val="21"/>
          <w:highlight w:val="none"/>
          <w:lang w:val="en-US" w:eastAsia="zh-CN"/>
        </w:rPr>
        <w:t>3）期货和衍生品类：</w:t>
      </w:r>
      <w:r>
        <w:rPr>
          <w:rFonts w:hint="eastAsia" w:ascii="宋体" w:hAnsi="宋体"/>
          <w:color w:val="auto"/>
          <w:szCs w:val="21"/>
          <w:highlight w:val="none"/>
        </w:rPr>
        <w:t>金融期货、商品期货、场内期权</w:t>
      </w:r>
      <w:r>
        <w:rPr>
          <w:rFonts w:hint="eastAsia" w:ascii="宋体" w:hAnsi="宋体"/>
          <w:color w:val="auto"/>
          <w:szCs w:val="21"/>
          <w:highlight w:val="none"/>
          <w:lang w:eastAsia="zh-CN"/>
        </w:rPr>
        <w:t>。</w:t>
      </w:r>
    </w:p>
    <w:p w14:paraId="77C15765">
      <w:pPr>
        <w:adjustRightInd w:val="0"/>
        <w:snapToGrid w:val="0"/>
        <w:spacing w:before="93" w:beforeLines="30" w:after="93" w:afterLines="30" w:line="360" w:lineRule="auto"/>
        <w:ind w:firstLine="420" w:firstLineChars="200"/>
        <w:rPr>
          <w:rFonts w:hint="default" w:ascii="宋体" w:hAnsi="宋体"/>
          <w:color w:val="auto"/>
          <w:szCs w:val="21"/>
          <w:highlight w:val="none"/>
          <w:lang w:val="en-US" w:eastAsia="zh-CN"/>
        </w:rPr>
      </w:pPr>
      <w:r>
        <w:rPr>
          <w:rFonts w:hint="eastAsia" w:ascii="宋体" w:hAnsi="宋体"/>
          <w:color w:val="auto"/>
          <w:szCs w:val="21"/>
          <w:highlight w:val="none"/>
          <w:lang w:val="en-US" w:eastAsia="zh-CN"/>
        </w:rPr>
        <w:t>4）现金管理类：银行活期存款、国债、货币市场基金等中国证监会认可的现金管理工具。</w:t>
      </w:r>
    </w:p>
    <w:p w14:paraId="61E89991">
      <w:pPr>
        <w:adjustRightInd w:val="0"/>
        <w:snapToGrid w:val="0"/>
        <w:spacing w:before="93" w:beforeLines="30" w:after="93" w:afterLines="30" w:line="360" w:lineRule="auto"/>
        <w:ind w:firstLine="420" w:firstLineChars="200"/>
        <w:rPr>
          <w:rFonts w:hint="eastAsia" w:ascii="宋体" w:hAnsi="宋体"/>
          <w:color w:val="auto"/>
          <w:szCs w:val="21"/>
          <w:highlight w:val="none"/>
          <w:lang w:val="en-US" w:eastAsia="zh-CN"/>
        </w:rPr>
      </w:pPr>
    </w:p>
    <w:p w14:paraId="1FDCEFE2">
      <w:pPr>
        <w:adjustRightInd w:val="0"/>
        <w:snapToGrid w:val="0"/>
        <w:spacing w:before="93" w:beforeLines="30" w:after="93" w:afterLines="30" w:line="360" w:lineRule="auto"/>
        <w:ind w:firstLine="420" w:firstLineChars="200"/>
        <w:rPr>
          <w:rFonts w:ascii="宋体" w:hAnsi="宋体"/>
          <w:color w:val="auto"/>
          <w:szCs w:val="21"/>
          <w:highlight w:val="none"/>
        </w:rPr>
      </w:pPr>
      <w:r>
        <w:rPr>
          <w:rFonts w:hint="eastAsia" w:asciiTheme="minorEastAsia" w:hAnsiTheme="minorEastAsia" w:eastAsiaTheme="minorEastAsia"/>
          <w:color w:val="auto"/>
          <w:szCs w:val="21"/>
          <w:highlight w:val="none"/>
          <w:lang w:val="en-US" w:eastAsia="zh-CN"/>
        </w:rPr>
        <w:t>5）其他：</w:t>
      </w:r>
      <w:r>
        <w:rPr>
          <w:rFonts w:hint="eastAsia" w:ascii="宋体" w:hAnsi="宋体"/>
          <w:color w:val="auto"/>
          <w:szCs w:val="21"/>
          <w:highlight w:val="none"/>
        </w:rPr>
        <w:t>公开募集的证券投资基金</w:t>
      </w:r>
      <w:r>
        <w:rPr>
          <w:rFonts w:hint="eastAsia" w:ascii="宋体" w:hAnsi="宋体" w:cs="Times New Roman"/>
          <w:color w:val="auto"/>
          <w:sz w:val="21"/>
          <w:szCs w:val="21"/>
          <w:highlight w:val="none"/>
          <w:lang w:eastAsia="zh-CN"/>
        </w:rPr>
        <w:t>、</w:t>
      </w:r>
      <w:r>
        <w:rPr>
          <w:rFonts w:hint="eastAsia" w:ascii="宋体" w:hAnsi="宋体"/>
          <w:color w:val="auto"/>
          <w:szCs w:val="21"/>
          <w:highlight w:val="none"/>
        </w:rPr>
        <w:t>融资融券。</w:t>
      </w:r>
    </w:p>
    <w:p w14:paraId="3923CD16">
      <w:pPr>
        <w:adjustRightInd w:val="0"/>
        <w:snapToGrid w:val="0"/>
        <w:spacing w:before="93" w:beforeLines="30" w:after="93" w:afterLines="30" w:line="360" w:lineRule="auto"/>
        <w:ind w:firstLine="420" w:firstLineChars="200"/>
        <w:rPr>
          <w:rFonts w:hint="eastAsia" w:ascii="宋体" w:hAnsi="宋体"/>
          <w:color w:val="auto"/>
          <w:szCs w:val="21"/>
          <w:highlight w:val="none"/>
        </w:rPr>
      </w:pPr>
      <w:r>
        <w:rPr>
          <w:rFonts w:hint="eastAsia" w:ascii="宋体" w:hAnsi="宋体"/>
          <w:color w:val="auto"/>
          <w:szCs w:val="21"/>
          <w:highlight w:val="none"/>
        </w:rPr>
        <w:t>本基金不参与期货实物交割。</w:t>
      </w:r>
    </w:p>
    <w:p w14:paraId="775E71F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（2）本基金的投资限制：</w:t>
      </w:r>
    </w:p>
    <w:p w14:paraId="49B2AFEA">
      <w:pPr>
        <w:adjustRightInd w:val="0"/>
        <w:snapToGrid w:val="0"/>
        <w:spacing w:before="93" w:beforeLines="30" w:after="93" w:afterLines="30" w:line="360" w:lineRule="auto"/>
        <w:ind w:left="0" w:firstLine="420" w:firstLineChars="200"/>
        <w:rPr>
          <w:rFonts w:hint="eastAsia" w:ascii="宋体" w:hAnsi="宋体"/>
          <w:color w:val="auto"/>
          <w:szCs w:val="21"/>
          <w:highlight w:val="none"/>
          <w:lang w:val="en-US" w:eastAsia="zh-CN"/>
        </w:rPr>
      </w:pPr>
      <w:r>
        <w:rPr>
          <w:rFonts w:hint="eastAsia" w:ascii="宋体" w:hAnsi="宋体"/>
          <w:color w:val="auto"/>
          <w:szCs w:val="21"/>
          <w:highlight w:val="none"/>
          <w:lang w:val="en-US" w:eastAsia="zh-CN"/>
        </w:rPr>
        <w:t>1）本基金存续期内，基金总资产与净资产的比例不得超过200%。本基金投向AA级及以下信用债(可转债除外)、流动性受限资产合计不超过基金净资产20%。</w:t>
      </w:r>
    </w:p>
    <w:p w14:paraId="603C3327">
      <w:pPr>
        <w:adjustRightInd w:val="0"/>
        <w:snapToGrid w:val="0"/>
        <w:spacing w:before="93" w:beforeLines="30" w:after="93" w:afterLines="30" w:line="360" w:lineRule="auto"/>
        <w:ind w:left="0" w:firstLine="420" w:firstLineChars="200"/>
        <w:rPr>
          <w:rFonts w:hint="eastAsia" w:ascii="宋体" w:hAnsi="宋体"/>
          <w:color w:val="auto"/>
          <w:szCs w:val="21"/>
          <w:highlight w:val="none"/>
          <w:lang w:val="en-US" w:eastAsia="zh-CN"/>
        </w:rPr>
      </w:pPr>
      <w:r>
        <w:rPr>
          <w:rFonts w:hint="eastAsia" w:ascii="宋体" w:hAnsi="宋体"/>
          <w:color w:val="auto"/>
          <w:szCs w:val="21"/>
          <w:highlight w:val="none"/>
          <w:lang w:val="en-US" w:eastAsia="zh-CN"/>
        </w:rPr>
        <w:t>2）按市值计算，本基金直接和间接投资于股票等股权类资产的比例不低于本基金已投资产80%，已投资产不包含现金管理工具。</w:t>
      </w:r>
      <w:r>
        <w:rPr>
          <w:rFonts w:hint="eastAsia"/>
          <w:color w:val="auto"/>
          <w:highlight w:val="none"/>
        </w:rPr>
        <w:t>如本基金投资其他资管产品（含私募基金）的，本条监控按照穿透合并计算进行</w:t>
      </w:r>
      <w:r>
        <w:rPr>
          <w:rFonts w:hint="eastAsia"/>
          <w:color w:val="auto"/>
          <w:highlight w:val="none"/>
          <w:lang w:eastAsia="zh-CN"/>
        </w:rPr>
        <w:t>。</w:t>
      </w:r>
    </w:p>
    <w:p w14:paraId="7711C0AE">
      <w:pPr>
        <w:adjustRightInd w:val="0"/>
        <w:snapToGrid w:val="0"/>
        <w:spacing w:before="93" w:beforeLines="30" w:after="93" w:afterLines="30" w:line="360" w:lineRule="auto"/>
        <w:ind w:left="0" w:firstLine="420" w:firstLineChars="200"/>
        <w:rPr>
          <w:rFonts w:hint="eastAsia" w:ascii="宋体" w:hAnsi="宋体" w:eastAsia="宋体" w:cs="宋体"/>
          <w:color w:val="auto"/>
          <w:highlight w:val="none"/>
          <w:lang w:val="en-US" w:eastAsia="zh-CN"/>
        </w:rPr>
      </w:pPr>
      <w:r>
        <w:rPr>
          <w:rFonts w:hint="eastAsia" w:ascii="宋体" w:hAnsi="宋体"/>
          <w:color w:val="auto"/>
          <w:szCs w:val="21"/>
          <w:highlight w:val="none"/>
          <w:lang w:val="en-US" w:eastAsia="zh-CN"/>
        </w:rPr>
        <w:t>3）</w:t>
      </w:r>
      <w:r>
        <w:rPr>
          <w:rFonts w:hint="eastAsia" w:asciiTheme="minorEastAsia" w:hAnsiTheme="minorEastAsia" w:eastAsiaTheme="minorEastAsia"/>
          <w:color w:val="auto"/>
          <w:szCs w:val="21"/>
          <w:highlight w:val="none"/>
        </w:rPr>
        <w:t>按市值和成本孰低计算</w:t>
      </w:r>
      <w:r>
        <w:rPr>
          <w:rFonts w:hint="eastAsia" w:asciiTheme="minorEastAsia" w:hAnsiTheme="minorEastAsia" w:eastAsiaTheme="minorEastAsia"/>
          <w:color w:val="auto"/>
          <w:szCs w:val="21"/>
          <w:highlight w:val="none"/>
          <w:lang w:eastAsia="zh-CN"/>
        </w:rPr>
        <w:t>，</w:t>
      </w:r>
      <w:r>
        <w:rPr>
          <w:rFonts w:hint="eastAsia" w:ascii="宋体" w:hAnsi="宋体"/>
          <w:color w:val="auto"/>
          <w:szCs w:val="21"/>
          <w:highlight w:val="none"/>
          <w:lang w:val="en-US" w:eastAsia="zh-CN"/>
        </w:rPr>
        <w:t>本基金投资于同一资产的资金，不得超过基金净资产的25%（</w:t>
      </w:r>
      <w:r>
        <w:rPr>
          <w:rFonts w:hint="eastAsia"/>
          <w:color w:val="auto"/>
          <w:highlight w:val="none"/>
        </w:rPr>
        <w:t>银行活期存款、国债、债券通用质押式回购、中央银行票据、政策性金融债、地方政府债券、公开募集基金等中国证监会、基金业协会认可的投资品种除外</w:t>
      </w:r>
      <w:r>
        <w:rPr>
          <w:rFonts w:hint="eastAsia" w:ascii="宋体" w:hAnsi="宋体"/>
          <w:color w:val="auto"/>
          <w:szCs w:val="21"/>
          <w:highlight w:val="none"/>
          <w:lang w:val="en-US" w:eastAsia="zh-CN"/>
        </w:rPr>
        <w:t>）。</w:t>
      </w:r>
      <w:r>
        <w:rPr>
          <w:rFonts w:hint="eastAsia"/>
          <w:color w:val="auto"/>
          <w:highlight w:val="none"/>
        </w:rPr>
        <w:t>如本基金投资其他资管产品（含私募基金）的，本条监控按照穿透合并计算进行</w:t>
      </w:r>
      <w:r>
        <w:rPr>
          <w:rFonts w:hint="eastAsia"/>
          <w:color w:val="auto"/>
          <w:highlight w:val="none"/>
          <w:lang w:eastAsia="zh-CN"/>
        </w:rPr>
        <w:t>。</w:t>
      </w:r>
    </w:p>
    <w:p w14:paraId="3C046384">
      <w:pPr>
        <w:pStyle w:val="13"/>
        <w:adjustRightInd w:val="0"/>
        <w:snapToGrid w:val="0"/>
        <w:spacing w:line="360" w:lineRule="auto"/>
        <w:ind w:firstLine="422"/>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特别申明：</w:t>
      </w:r>
    </w:p>
    <w:p w14:paraId="6B3FE945">
      <w:pPr>
        <w:pStyle w:val="13"/>
        <w:adjustRightInd w:val="0"/>
        <w:snapToGrid w:val="0"/>
        <w:spacing w:before="93" w:beforeLines="30" w:after="93" w:afterLines="30" w:line="360" w:lineRule="auto"/>
        <w:ind w:firstLine="422" w:firstLineChars="200"/>
        <w:rPr>
          <w:rFonts w:hint="eastAsia"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私募证券投资基金参与场外衍生品交易的（如有），私募基金管理人应当在该基金下一估值日前将场外衍生品交易情况、交易文件等提供给私募基金托管人。私募基金管理人签订场外衍生品交易文件时，应当明确授权由交易对手方、相关交易的清算机构在该基金下一估值日前直接向私募基金托管人提供场外衍生品交易文件并持续提供估值信息。如因私募基金管理人（或交易对手方、相关交易的清算机构等）未提供/未及时向私募基金托管人提供前述材料或者向私募基金托管人提供虚假或不完整材料，导致私募基金托管人无法进行监督的，私募基金托管人免责。本基金投资场外衍生品时（如有），</w:t>
      </w:r>
      <w:r>
        <w:rPr>
          <w:rFonts w:hint="eastAsia" w:asciiTheme="minorEastAsia" w:hAnsiTheme="minorEastAsia" w:eastAsiaTheme="minorEastAsia"/>
          <w:b/>
          <w:bCs/>
          <w:color w:val="auto"/>
          <w:szCs w:val="21"/>
          <w:highlight w:val="none"/>
          <w:lang w:val="en-US" w:eastAsia="zh-CN"/>
        </w:rPr>
        <w:t>私募</w:t>
      </w:r>
      <w:r>
        <w:rPr>
          <w:rFonts w:hint="eastAsia" w:asciiTheme="minorEastAsia" w:hAnsiTheme="minorEastAsia" w:eastAsiaTheme="minorEastAsia"/>
          <w:b/>
          <w:bCs/>
          <w:color w:val="auto"/>
          <w:szCs w:val="21"/>
          <w:highlight w:val="none"/>
        </w:rPr>
        <w:t>基金管理人应确保本基金符合投资者适当性要求，确保本基金及所投资的场外衍生品符合监管要求和本合同对其特殊约定（如有）</w:t>
      </w:r>
      <w:r>
        <w:rPr>
          <w:rFonts w:hint="eastAsia" w:asciiTheme="minorEastAsia" w:hAnsiTheme="minorEastAsia" w:eastAsiaTheme="minorEastAsia"/>
          <w:b/>
          <w:bCs/>
          <w:color w:val="auto"/>
          <w:szCs w:val="21"/>
          <w:highlight w:val="none"/>
          <w:lang w:eastAsia="zh-CN"/>
        </w:rPr>
        <w:t>。</w:t>
      </w:r>
    </w:p>
    <w:p w14:paraId="5CBB9093">
      <w:pPr>
        <w:adjustRightInd w:val="0"/>
        <w:snapToGrid w:val="0"/>
        <w:spacing w:before="93" w:beforeLines="30" w:after="93" w:afterLines="30" w:line="360" w:lineRule="auto"/>
        <w:ind w:firstLine="422" w:firstLineChars="200"/>
        <w:rPr>
          <w:rFonts w:hint="eastAsia"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私募证券投资基金开展债券质押式协议回购业务的（如有），私募基金管理人（或其指定的相关清算机构等）应当在该基金下一估值日前将参与债券质押式协议回购业务的交易文件、交易对手方及质押标的等信息提供给私募基金托管人。如因私募基金管理人（或其指定的相关清算机构等）未提供/未及时向私募基金托管人提供前述材料或者向私募基金托管人提供虚假或不完整材料，导致私募基金托管人无法进行监督的，私募基金托管人免责。</w:t>
      </w:r>
    </w:p>
    <w:p w14:paraId="64A2C253">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以上投资比例及限制中</w:t>
      </w:r>
      <w:r>
        <w:rPr>
          <w:rFonts w:asciiTheme="minorEastAsia" w:hAnsiTheme="minorEastAsia" w:eastAsiaTheme="minorEastAsia"/>
          <w:b/>
          <w:bCs/>
          <w:color w:val="auto"/>
          <w:szCs w:val="21"/>
          <w:highlight w:val="none"/>
        </w:rPr>
        <w:t>，如涉及新股新债申购的申报金额与数量、盘中监控、交易策略类等监控事项的，由基金管理人自行监控，基金托管人不承担投资监督职责。</w:t>
      </w:r>
    </w:p>
    <w:p w14:paraId="6688F906">
      <w:pPr>
        <w:pStyle w:val="13"/>
        <w:adjustRightInd w:val="0"/>
        <w:snapToGrid w:val="0"/>
        <w:spacing w:before="93" w:beforeLines="30" w:after="93" w:afterLines="30" w:line="360" w:lineRule="auto"/>
        <w:ind w:firstLine="422" w:firstLineChars="200"/>
        <w:rPr>
          <w:rFonts w:hint="eastAsia" w:asciiTheme="minorEastAsia" w:hAnsiTheme="minorEastAsia" w:eastAsiaTheme="minorEastAsia"/>
          <w:b/>
          <w:bCs/>
          <w:color w:val="auto"/>
          <w:szCs w:val="21"/>
          <w:highlight w:val="none"/>
        </w:rPr>
      </w:pPr>
      <w:r>
        <w:rPr>
          <w:rFonts w:asciiTheme="minorEastAsia" w:hAnsiTheme="minorEastAsia" w:eastAsiaTheme="minorEastAsia"/>
          <w:b/>
          <w:bCs/>
          <w:color w:val="auto"/>
          <w:szCs w:val="21"/>
          <w:highlight w:val="none"/>
        </w:rPr>
        <w:t>本基金投资其他金融产品时（如有），</w:t>
      </w:r>
      <w:r>
        <w:rPr>
          <w:rFonts w:hint="eastAsia" w:asciiTheme="minorEastAsia" w:hAnsiTheme="minorEastAsia" w:eastAsiaTheme="minorEastAsia"/>
          <w:b/>
          <w:bCs/>
          <w:color w:val="auto"/>
          <w:szCs w:val="21"/>
          <w:highlight w:val="none"/>
          <w:lang w:val="en-US" w:eastAsia="zh-CN"/>
        </w:rPr>
        <w:t>私募基金管理人保证严格遵守</w:t>
      </w:r>
      <w:r>
        <w:rPr>
          <w:rFonts w:asciiTheme="minorEastAsia" w:hAnsiTheme="minorEastAsia" w:eastAsiaTheme="minorEastAsia"/>
          <w:b/>
          <w:bCs/>
          <w:color w:val="auto"/>
          <w:szCs w:val="21"/>
          <w:highlight w:val="none"/>
        </w:rPr>
        <w:t>监管</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lang w:val="en-US" w:eastAsia="zh-CN"/>
        </w:rPr>
        <w:t>自律组织等</w:t>
      </w:r>
      <w:r>
        <w:rPr>
          <w:rFonts w:asciiTheme="minorEastAsia" w:hAnsiTheme="minorEastAsia" w:eastAsiaTheme="minorEastAsia"/>
          <w:b/>
          <w:bCs/>
          <w:color w:val="auto"/>
          <w:szCs w:val="21"/>
          <w:highlight w:val="none"/>
        </w:rPr>
        <w:t>要求对下层资产进行穿透审核</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lang w:val="en-US" w:eastAsia="zh-CN"/>
        </w:rPr>
        <w:t>1、私募基金管理人负责</w:t>
      </w:r>
      <w:r>
        <w:rPr>
          <w:rFonts w:asciiTheme="minorEastAsia" w:hAnsiTheme="minorEastAsia" w:eastAsiaTheme="minorEastAsia"/>
          <w:b/>
          <w:bCs/>
          <w:color w:val="auto"/>
          <w:szCs w:val="21"/>
          <w:highlight w:val="none"/>
        </w:rPr>
        <w:t>确保该金融产品的投资范围符合监管要求</w:t>
      </w:r>
      <w:r>
        <w:rPr>
          <w:rFonts w:hint="eastAsia" w:asciiTheme="minorEastAsia" w:hAnsiTheme="minorEastAsia" w:eastAsiaTheme="minorEastAsia"/>
          <w:b/>
          <w:bCs/>
          <w:color w:val="auto"/>
          <w:szCs w:val="21"/>
          <w:highlight w:val="none"/>
          <w:lang w:eastAsia="zh-CN"/>
        </w:rPr>
        <w:t>，</w:t>
      </w:r>
      <w:r>
        <w:rPr>
          <w:rFonts w:hint="eastAsia" w:ascii="宋体" w:hAnsi="宋体"/>
          <w:b/>
          <w:bCs/>
          <w:color w:val="auto"/>
          <w:highlight w:val="none"/>
        </w:rPr>
        <w:t>如本合同对拟投资标的进行穿透约定的（如投资某基金，对该基金的投向或如何运作进行约定），私募基金管理人负责审查本合同穿透约定与该投资标的交易文件的具体约定是否一致</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lang w:val="en-US" w:eastAsia="zh-CN"/>
        </w:rPr>
        <w:t>2、私募</w:t>
      </w:r>
      <w:r>
        <w:rPr>
          <w:rFonts w:asciiTheme="minorEastAsia" w:hAnsiTheme="minorEastAsia" w:eastAsiaTheme="minorEastAsia"/>
          <w:b/>
          <w:bCs/>
          <w:color w:val="auto"/>
          <w:szCs w:val="21"/>
          <w:highlight w:val="none"/>
        </w:rPr>
        <w:t>基金管理人</w:t>
      </w:r>
      <w:r>
        <w:rPr>
          <w:rFonts w:hint="eastAsia" w:asciiTheme="minorEastAsia" w:hAnsiTheme="minorEastAsia" w:eastAsiaTheme="minorEastAsia"/>
          <w:b/>
          <w:bCs/>
          <w:color w:val="auto"/>
          <w:szCs w:val="21"/>
          <w:highlight w:val="none"/>
        </w:rPr>
        <w:t>负责</w:t>
      </w:r>
      <w:r>
        <w:rPr>
          <w:rFonts w:asciiTheme="minorEastAsia" w:hAnsiTheme="minorEastAsia" w:eastAsiaTheme="minorEastAsia"/>
          <w:b/>
          <w:bCs/>
          <w:color w:val="auto"/>
          <w:szCs w:val="21"/>
          <w:highlight w:val="none"/>
        </w:rPr>
        <w:t>按</w:t>
      </w:r>
      <w:r>
        <w:rPr>
          <w:rFonts w:hint="eastAsia" w:asciiTheme="minorEastAsia" w:hAnsiTheme="minorEastAsia" w:eastAsiaTheme="minorEastAsia"/>
          <w:b/>
          <w:bCs/>
          <w:color w:val="auto"/>
          <w:szCs w:val="21"/>
          <w:highlight w:val="none"/>
          <w:lang w:val="en-US" w:eastAsia="zh-CN"/>
        </w:rPr>
        <w:t>照</w:t>
      </w:r>
      <w:r>
        <w:rPr>
          <w:rFonts w:asciiTheme="minorEastAsia" w:hAnsiTheme="minorEastAsia" w:eastAsiaTheme="minorEastAsia"/>
          <w:b/>
          <w:bCs/>
          <w:color w:val="auto"/>
          <w:szCs w:val="21"/>
          <w:highlight w:val="none"/>
        </w:rPr>
        <w:t>穿透</w:t>
      </w:r>
      <w:r>
        <w:rPr>
          <w:rFonts w:hint="eastAsia" w:asciiTheme="minorEastAsia" w:hAnsiTheme="minorEastAsia" w:eastAsiaTheme="minorEastAsia"/>
          <w:b/>
          <w:bCs/>
          <w:color w:val="auto"/>
          <w:szCs w:val="21"/>
          <w:highlight w:val="none"/>
          <w:lang w:val="en-US" w:eastAsia="zh-CN"/>
        </w:rPr>
        <w:t>原则</w:t>
      </w:r>
      <w:r>
        <w:rPr>
          <w:rFonts w:hint="eastAsia" w:ascii="宋体" w:hAnsi="宋体"/>
          <w:b/>
          <w:bCs/>
          <w:color w:val="auto"/>
          <w:highlight w:val="none"/>
        </w:rPr>
        <w:t>合并计算</w:t>
      </w:r>
      <w:r>
        <w:rPr>
          <w:rFonts w:hint="eastAsia" w:ascii="宋体" w:hAnsi="宋体"/>
          <w:b/>
          <w:bCs/>
          <w:color w:val="auto"/>
          <w:highlight w:val="none"/>
          <w:lang w:val="en-US" w:eastAsia="zh-CN"/>
        </w:rPr>
        <w:t>已投基金的资产比例、金额以及组合投资要求</w:t>
      </w:r>
      <w:r>
        <w:rPr>
          <w:rFonts w:hint="eastAsia" w:ascii="宋体" w:hAnsi="宋体"/>
          <w:b/>
          <w:bCs/>
          <w:color w:val="auto"/>
          <w:highlight w:val="none"/>
        </w:rPr>
        <w:t>等</w:t>
      </w:r>
      <w:r>
        <w:rPr>
          <w:rFonts w:hint="eastAsia" w:ascii="宋体" w:hAnsi="宋体"/>
          <w:b/>
          <w:bCs/>
          <w:color w:val="auto"/>
          <w:highlight w:val="none"/>
          <w:lang w:val="en-US" w:eastAsia="zh-CN"/>
        </w:rPr>
        <w:t>是否符合要求</w:t>
      </w:r>
      <w:r>
        <w:rPr>
          <w:rFonts w:hint="eastAsia" w:ascii="宋体" w:hAnsi="宋体"/>
          <w:b/>
          <w:bCs/>
          <w:color w:val="auto"/>
          <w:highlight w:val="none"/>
          <w:lang w:eastAsia="zh-CN"/>
        </w:rPr>
        <w:t>，</w:t>
      </w:r>
      <w:r>
        <w:rPr>
          <w:rFonts w:hint="eastAsia" w:ascii="宋体" w:hAnsi="宋体"/>
          <w:b/>
          <w:bCs/>
          <w:color w:val="auto"/>
          <w:highlight w:val="none"/>
          <w:lang w:val="en-US" w:eastAsia="zh-CN"/>
        </w:rPr>
        <w:t>私募基金</w:t>
      </w:r>
      <w:r>
        <w:rPr>
          <w:rFonts w:hint="eastAsia" w:ascii="宋体" w:hAnsi="宋体"/>
          <w:b/>
          <w:bCs/>
          <w:color w:val="auto"/>
          <w:highlight w:val="none"/>
        </w:rPr>
        <w:t>管理人应当</w:t>
      </w:r>
      <w:r>
        <w:rPr>
          <w:rFonts w:hint="eastAsia" w:ascii="宋体" w:hAnsi="宋体"/>
          <w:b/>
          <w:bCs/>
          <w:color w:val="auto"/>
          <w:highlight w:val="none"/>
          <w:lang w:eastAsia="zh-CN"/>
        </w:rPr>
        <w:t>按照所投资</w:t>
      </w:r>
      <w:r>
        <w:rPr>
          <w:rFonts w:hint="eastAsia" w:ascii="宋体" w:hAnsi="宋体"/>
          <w:b/>
          <w:bCs/>
          <w:color w:val="auto"/>
          <w:highlight w:val="none"/>
          <w:lang w:val="en-US" w:eastAsia="zh-CN"/>
        </w:rPr>
        <w:t>金融</w:t>
      </w:r>
      <w:r>
        <w:rPr>
          <w:rFonts w:hint="eastAsia" w:ascii="宋体" w:hAnsi="宋体"/>
          <w:b/>
          <w:bCs/>
          <w:color w:val="auto"/>
          <w:highlight w:val="none"/>
          <w:lang w:eastAsia="zh-CN"/>
        </w:rPr>
        <w:t>产品披露投资组合的频率，及时更新计算本基金所投资资产的金额或比例，并至少按季度向</w:t>
      </w:r>
      <w:r>
        <w:rPr>
          <w:rFonts w:hint="eastAsia" w:ascii="宋体" w:hAnsi="宋体"/>
          <w:b/>
          <w:bCs/>
          <w:color w:val="auto"/>
          <w:highlight w:val="none"/>
          <w:lang w:val="en-US" w:eastAsia="zh-CN"/>
        </w:rPr>
        <w:t>私募基金</w:t>
      </w:r>
      <w:r>
        <w:rPr>
          <w:rFonts w:hint="eastAsia" w:ascii="宋体" w:hAnsi="宋体"/>
          <w:b/>
          <w:bCs/>
          <w:color w:val="auto"/>
          <w:highlight w:val="none"/>
          <w:lang w:eastAsia="zh-CN"/>
        </w:rPr>
        <w:t>托管人主动发送</w:t>
      </w:r>
      <w:r>
        <w:rPr>
          <w:rFonts w:hint="eastAsia" w:ascii="宋体" w:hAnsi="宋体"/>
          <w:b/>
          <w:bCs/>
          <w:color w:val="auto"/>
          <w:highlight w:val="none"/>
          <w:lang w:val="en-US" w:eastAsia="zh-CN"/>
        </w:rPr>
        <w:t>私募基金</w:t>
      </w:r>
      <w:r>
        <w:rPr>
          <w:rFonts w:hint="eastAsia" w:ascii="宋体" w:hAnsi="宋体"/>
          <w:b/>
          <w:bCs/>
          <w:color w:val="auto"/>
          <w:highlight w:val="none"/>
          <w:lang w:eastAsia="zh-CN"/>
        </w:rPr>
        <w:t>管理人计算的穿透后各类资产比例以及相关核查</w:t>
      </w:r>
      <w:r>
        <w:rPr>
          <w:rFonts w:hint="eastAsia" w:ascii="宋体" w:hAnsi="宋体"/>
          <w:b/>
          <w:bCs/>
          <w:color w:val="auto"/>
          <w:highlight w:val="none"/>
          <w:lang w:val="en-US" w:eastAsia="zh-CN"/>
        </w:rPr>
        <w:t>材料</w:t>
      </w:r>
      <w:r>
        <w:rPr>
          <w:rFonts w:hint="eastAsia" w:ascii="宋体" w:hAnsi="宋体"/>
          <w:b/>
          <w:bCs/>
          <w:color w:val="auto"/>
          <w:highlight w:val="none"/>
        </w:rPr>
        <w:t>或计算数据，</w:t>
      </w:r>
      <w:r>
        <w:rPr>
          <w:rFonts w:hint="eastAsia" w:ascii="宋体" w:hAnsi="宋体"/>
          <w:b/>
          <w:bCs/>
          <w:color w:val="auto"/>
          <w:highlight w:val="none"/>
          <w:lang w:val="en-US" w:eastAsia="zh-CN"/>
        </w:rPr>
        <w:t>私募基金</w:t>
      </w:r>
      <w:r>
        <w:rPr>
          <w:rFonts w:hint="eastAsia" w:ascii="宋体" w:hAnsi="宋体"/>
          <w:b/>
          <w:bCs/>
          <w:color w:val="auto"/>
          <w:highlight w:val="none"/>
        </w:rPr>
        <w:t>托管人仅按照</w:t>
      </w:r>
      <w:r>
        <w:rPr>
          <w:rFonts w:hint="eastAsia" w:ascii="宋体" w:hAnsi="宋体"/>
          <w:b/>
          <w:bCs/>
          <w:color w:val="auto"/>
          <w:highlight w:val="none"/>
          <w:lang w:val="en-US" w:eastAsia="zh-CN"/>
        </w:rPr>
        <w:t>私募基金</w:t>
      </w:r>
      <w:r>
        <w:rPr>
          <w:rFonts w:hint="eastAsia" w:ascii="宋体" w:hAnsi="宋体"/>
          <w:b/>
          <w:bCs/>
          <w:color w:val="auto"/>
          <w:highlight w:val="none"/>
        </w:rPr>
        <w:t>管理人提供的数据材料及提供频率进行事后监督，</w:t>
      </w:r>
      <w:r>
        <w:rPr>
          <w:rFonts w:hint="eastAsia" w:ascii="宋体" w:hAnsi="宋体"/>
          <w:b/>
          <w:bCs/>
          <w:color w:val="auto"/>
          <w:highlight w:val="none"/>
          <w:lang w:val="en-US" w:eastAsia="zh-CN"/>
        </w:rPr>
        <w:t>私募基金</w:t>
      </w:r>
      <w:r>
        <w:rPr>
          <w:rFonts w:hint="eastAsia" w:ascii="宋体" w:hAnsi="宋体"/>
          <w:b/>
          <w:bCs/>
          <w:color w:val="auto"/>
          <w:highlight w:val="none"/>
        </w:rPr>
        <w:t>管理人应对所提供数据材料的真实性</w:t>
      </w:r>
      <w:r>
        <w:rPr>
          <w:rFonts w:hint="eastAsia" w:ascii="宋体" w:hAnsi="宋体"/>
          <w:b/>
          <w:bCs/>
          <w:color w:val="auto"/>
          <w:highlight w:val="none"/>
          <w:lang w:eastAsia="zh-CN"/>
        </w:rPr>
        <w:t>、</w:t>
      </w:r>
      <w:r>
        <w:rPr>
          <w:rFonts w:hint="eastAsia" w:ascii="宋体" w:hAnsi="宋体"/>
          <w:b/>
          <w:bCs/>
          <w:color w:val="auto"/>
          <w:highlight w:val="none"/>
        </w:rPr>
        <w:t>准确性以及完整性负责</w:t>
      </w:r>
      <w:r>
        <w:rPr>
          <w:rFonts w:hint="eastAsia" w:ascii="宋体" w:hAnsi="宋体"/>
          <w:b/>
          <w:bCs/>
          <w:color w:val="auto"/>
          <w:highlight w:val="none"/>
          <w:lang w:eastAsia="zh-CN"/>
        </w:rPr>
        <w:t>，</w:t>
      </w:r>
      <w:r>
        <w:rPr>
          <w:rFonts w:hint="eastAsia" w:asciiTheme="minorEastAsia" w:hAnsiTheme="minorEastAsia" w:eastAsiaTheme="minorEastAsia"/>
          <w:b/>
          <w:bCs/>
          <w:color w:val="auto"/>
          <w:szCs w:val="21"/>
          <w:highlight w:val="none"/>
        </w:rPr>
        <w:t>如因私募基金管理人未提供/未及时向私募基金托管人提供前述材料或者向私募基金托管人提供虚假或不完整材料，导致私募基金托管人无法进行监督的，私募基金托管人免责</w:t>
      </w:r>
      <w:r>
        <w:rPr>
          <w:rFonts w:hint="eastAsia" w:asciiTheme="minorEastAsia" w:hAnsiTheme="minorEastAsia" w:eastAsiaTheme="minorEastAsia"/>
          <w:b/>
          <w:bCs/>
          <w:color w:val="auto"/>
          <w:szCs w:val="21"/>
          <w:highlight w:val="none"/>
          <w:lang w:eastAsia="zh-CN"/>
        </w:rPr>
        <w:t>。</w:t>
      </w:r>
      <w:r>
        <w:rPr>
          <w:rFonts w:hint="eastAsia" w:asciiTheme="minorEastAsia" w:hAnsiTheme="minorEastAsia" w:eastAsiaTheme="minorEastAsia"/>
          <w:b/>
          <w:bCs/>
          <w:color w:val="auto"/>
          <w:szCs w:val="21"/>
          <w:highlight w:val="none"/>
        </w:rPr>
        <w:t>本基金如通过份额转让等方式投资金融产品时，</w:t>
      </w:r>
      <w:r>
        <w:rPr>
          <w:rFonts w:hint="eastAsia" w:asciiTheme="minorEastAsia" w:hAnsiTheme="minorEastAsia" w:eastAsiaTheme="minorEastAsia"/>
          <w:b/>
          <w:bCs/>
          <w:color w:val="auto"/>
          <w:szCs w:val="21"/>
          <w:highlight w:val="none"/>
          <w:lang w:val="en-US" w:eastAsia="zh-CN"/>
        </w:rPr>
        <w:t>私募基金管理人负责确保本基金投资金融产品符合嵌套层级的监管要求，</w:t>
      </w:r>
      <w:r>
        <w:rPr>
          <w:rFonts w:hint="eastAsia" w:asciiTheme="minorEastAsia" w:hAnsiTheme="minorEastAsia" w:eastAsiaTheme="minorEastAsia"/>
          <w:b/>
          <w:bCs/>
          <w:color w:val="auto"/>
          <w:szCs w:val="21"/>
          <w:highlight w:val="none"/>
        </w:rPr>
        <w:t>基金份额转让价格由</w:t>
      </w:r>
      <w:r>
        <w:rPr>
          <w:rFonts w:hint="eastAsia" w:asciiTheme="minorEastAsia" w:hAnsiTheme="minorEastAsia" w:eastAsiaTheme="minorEastAsia"/>
          <w:b/>
          <w:bCs/>
          <w:color w:val="auto"/>
          <w:szCs w:val="21"/>
          <w:highlight w:val="none"/>
          <w:lang w:val="en-US" w:eastAsia="zh-CN"/>
        </w:rPr>
        <w:t>私募</w:t>
      </w:r>
      <w:r>
        <w:rPr>
          <w:rFonts w:hint="eastAsia" w:asciiTheme="minorEastAsia" w:hAnsiTheme="minorEastAsia" w:eastAsiaTheme="minorEastAsia"/>
          <w:b/>
          <w:bCs/>
          <w:color w:val="auto"/>
          <w:szCs w:val="21"/>
          <w:highlight w:val="none"/>
        </w:rPr>
        <w:t>基金管理人负责控制和确定。</w:t>
      </w:r>
    </w:p>
    <w:p w14:paraId="5829198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由于包括但不限于证券、期货市场波动、上市公司合并、组合规模变动等基金管理人之外的原因导致的投资比例不符合本合同约定的投资限制或投资禁止政策，为被动超标，除法律法规或本合同另有约定外，基金管理人应在发生不符合法律法规或投资政策之日起的</w:t>
      </w:r>
      <w:r>
        <w:rPr>
          <w:rFonts w:hint="eastAsia" w:asciiTheme="minorEastAsia" w:hAnsiTheme="minorEastAsia" w:eastAsiaTheme="minorEastAsia"/>
          <w:color w:val="auto"/>
          <w:szCs w:val="21"/>
          <w:highlight w:val="none"/>
          <w:lang w:val="en-US" w:eastAsia="zh-CN"/>
        </w:rPr>
        <w:t>2</w:t>
      </w:r>
      <w:r>
        <w:rPr>
          <w:rFonts w:hint="eastAsia" w:asciiTheme="minorEastAsia" w:hAnsiTheme="minorEastAsia" w:eastAsiaTheme="minorEastAsia"/>
          <w:color w:val="auto"/>
          <w:szCs w:val="21"/>
          <w:highlight w:val="none"/>
        </w:rPr>
        <w:t>0个交易日内调整完毕。如发生证券停牌或其他非基金管理人可以控制的原因导致基金管理人不能履行调整义务的，则调整期限相应顺延。基金管理人应当自证券恢复交易之日起的</w:t>
      </w:r>
      <w:r>
        <w:rPr>
          <w:rFonts w:hint="eastAsia" w:asciiTheme="minorEastAsia" w:hAnsiTheme="minorEastAsia" w:eastAsiaTheme="minorEastAsia"/>
          <w:color w:val="auto"/>
          <w:szCs w:val="21"/>
          <w:highlight w:val="none"/>
          <w:lang w:val="en-US" w:eastAsia="zh-CN"/>
        </w:rPr>
        <w:t>2</w:t>
      </w:r>
      <w:r>
        <w:rPr>
          <w:rFonts w:hint="eastAsia" w:asciiTheme="minorEastAsia" w:hAnsiTheme="minorEastAsia" w:eastAsiaTheme="minorEastAsia"/>
          <w:color w:val="auto"/>
          <w:szCs w:val="21"/>
          <w:highlight w:val="none"/>
        </w:rPr>
        <w:t>0个交易日内调整完毕，法律、行政法规、金融监管部门另有规定的，从其规定。</w:t>
      </w:r>
    </w:p>
    <w:p w14:paraId="5B0E847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在本基金到期日前10个交易日内，因基金财产变现需要，本基金财产的投资比例限制可以不符合上述基金配置比例规定。</w:t>
      </w:r>
    </w:p>
    <w:p w14:paraId="7B6A10D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（3）法律法规或监管部门对上述比例限制另有规定的，从其规定。若法律法规或监管部门取消上述限制，本基金投资可不受上述规定限制。</w:t>
      </w:r>
    </w:p>
    <w:p w14:paraId="252F957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因证券市场波动、上市公司合并、基金规模变动等基金管理人之外的因素致使本基金不符合本合同约定的投资比例的，基金管理人应当在合理期限内调整完毕。</w:t>
      </w:r>
    </w:p>
    <w:p w14:paraId="604DC3CF">
      <w:pPr>
        <w:adjustRightInd w:val="0"/>
        <w:snapToGrid w:val="0"/>
        <w:spacing w:before="93" w:beforeLines="30" w:after="93" w:afterLines="30" w:line="353"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基金托管人以（</w:t>
      </w:r>
      <w:r>
        <w:rPr>
          <w:rFonts w:asciiTheme="minorEastAsia" w:hAnsiTheme="minorEastAsia" w:eastAsiaTheme="minorEastAsia"/>
          <w:b/>
          <w:color w:val="auto"/>
          <w:szCs w:val="21"/>
          <w:highlight w:val="none"/>
        </w:rPr>
        <w:t>1）—（</w:t>
      </w:r>
      <w:r>
        <w:rPr>
          <w:rFonts w:hint="eastAsia" w:asciiTheme="minorEastAsia" w:hAnsiTheme="minorEastAsia" w:eastAsiaTheme="minorEastAsia"/>
          <w:b/>
          <w:color w:val="auto"/>
          <w:szCs w:val="21"/>
          <w:highlight w:val="none"/>
        </w:rPr>
        <w:t>3</w:t>
      </w:r>
      <w:r>
        <w:rPr>
          <w:rFonts w:asciiTheme="minorEastAsia" w:hAnsiTheme="minorEastAsia" w:eastAsiaTheme="minorEastAsia"/>
          <w:b/>
          <w:color w:val="auto"/>
          <w:szCs w:val="21"/>
          <w:highlight w:val="none"/>
        </w:rPr>
        <w:t>）项为限</w:t>
      </w:r>
      <w:r>
        <w:rPr>
          <w:rFonts w:hint="eastAsia" w:asciiTheme="minorEastAsia" w:hAnsiTheme="minorEastAsia" w:eastAsiaTheme="minorEastAsia"/>
          <w:b/>
          <w:color w:val="auto"/>
          <w:szCs w:val="21"/>
          <w:highlight w:val="none"/>
        </w:rPr>
        <w:t>履行监督职责，对基金管理人的其他职责和行为不承担监督责任。</w:t>
      </w:r>
    </w:p>
    <w:p w14:paraId="06718605">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基金托管人对基金管理人进行本基金越权交易的监督和检查自基金合同生效之日起开始。</w:t>
      </w:r>
    </w:p>
    <w:p w14:paraId="44B689BD">
      <w:pPr>
        <w:adjustRightInd w:val="0"/>
        <w:snapToGrid w:val="0"/>
        <w:spacing w:before="93" w:beforeLines="30" w:after="93" w:afterLines="30" w:line="353"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lang w:val="en-US" w:eastAsia="zh-CN"/>
        </w:rPr>
        <w:t>2</w:t>
      </w:r>
      <w:r>
        <w:rPr>
          <w:rFonts w:asciiTheme="minorEastAsia" w:hAnsiTheme="minorEastAsia" w:eastAsiaTheme="minorEastAsia"/>
          <w:b/>
          <w:color w:val="auto"/>
          <w:szCs w:val="21"/>
          <w:highlight w:val="none"/>
        </w:rPr>
        <w:t>、基金托管人</w:t>
      </w:r>
      <w:r>
        <w:rPr>
          <w:rFonts w:hint="eastAsia" w:asciiTheme="minorEastAsia" w:hAnsiTheme="minorEastAsia" w:eastAsiaTheme="minorEastAsia"/>
          <w:b/>
          <w:color w:val="auto"/>
          <w:szCs w:val="21"/>
          <w:highlight w:val="none"/>
        </w:rPr>
        <w:t>越权交易监督的真实性、准确性、及时性和完整性受限于管理人、证券经纪商、期货经纪商及其他中介机构提供的数据和信息，合规投资的责任在基金管理人。基金托管人对上述机构提供信息的真实性、准确性、及时性和完整性不作任何担保、暗示或表示，并对上述机构提供信息的错误、遗漏或延迟所引起的损失不承担任何责任。</w:t>
      </w:r>
    </w:p>
    <w:p w14:paraId="04043D50">
      <w:pPr>
        <w:adjustRightInd w:val="0"/>
        <w:snapToGrid w:val="0"/>
        <w:spacing w:before="93" w:beforeLines="30" w:after="93" w:afterLines="30" w:line="353"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lang w:val="en-US" w:eastAsia="zh-CN"/>
        </w:rPr>
        <w:t>3</w:t>
      </w:r>
      <w:r>
        <w:rPr>
          <w:rFonts w:asciiTheme="minorEastAsia" w:hAnsiTheme="minorEastAsia" w:eastAsiaTheme="minorEastAsia"/>
          <w:b/>
          <w:color w:val="auto"/>
          <w:szCs w:val="21"/>
          <w:highlight w:val="none"/>
        </w:rPr>
        <w:t>、对于基金管理人的任何投资行为、投资策略、投资决定或由于基金产品设计缺陷或越权交易造成的任何损失，基金托管人不承担任何责任。</w:t>
      </w:r>
      <w:r>
        <w:rPr>
          <w:rFonts w:hint="eastAsia" w:asciiTheme="minorEastAsia" w:hAnsiTheme="minorEastAsia" w:eastAsiaTheme="minorEastAsia"/>
          <w:b/>
          <w:color w:val="auto"/>
          <w:szCs w:val="21"/>
          <w:highlight w:val="none"/>
        </w:rPr>
        <w:t>基金托管人按照本合同约定履行了上述越权交易监督义务的，即代表托管人对基金投资运作进行了监督。对于基金管理人实际发生的越权交易，无论托管人是否发现，托管人对该越权交易的行为以及产生的后果和损失不承担任何补充或连带责任。</w:t>
      </w:r>
    </w:p>
    <w:p w14:paraId="33F089AF">
      <w:pPr>
        <w:adjustRightInd w:val="0"/>
        <w:snapToGrid w:val="0"/>
        <w:spacing w:before="312" w:beforeLines="100" w:after="312" w:afterLines="100" w:line="353" w:lineRule="auto"/>
        <w:jc w:val="center"/>
        <w:outlineLvl w:val="0"/>
        <w:rPr>
          <w:rFonts w:asciiTheme="minorEastAsia" w:hAnsiTheme="minorEastAsia" w:eastAsiaTheme="minorEastAsia"/>
          <w:b/>
          <w:color w:val="auto"/>
          <w:sz w:val="28"/>
          <w:szCs w:val="28"/>
          <w:highlight w:val="none"/>
        </w:rPr>
      </w:pPr>
      <w:bookmarkStart w:id="71" w:name="_Toc194741917"/>
      <w:bookmarkStart w:id="72" w:name="_Toc110605417"/>
      <w:bookmarkStart w:id="73" w:name="_Toc14779"/>
      <w:bookmarkStart w:id="74" w:name="_Toc459392418"/>
      <w:r>
        <w:rPr>
          <w:rFonts w:hint="eastAsia" w:asciiTheme="minorEastAsia" w:hAnsiTheme="minorEastAsia" w:eastAsiaTheme="minorEastAsia"/>
          <w:b/>
          <w:color w:val="auto"/>
          <w:sz w:val="28"/>
          <w:szCs w:val="28"/>
          <w:highlight w:val="none"/>
        </w:rPr>
        <w:t>十六、基金财产的估值</w:t>
      </w:r>
      <w:bookmarkEnd w:id="71"/>
      <w:r>
        <w:rPr>
          <w:rFonts w:hint="eastAsia" w:asciiTheme="minorEastAsia" w:hAnsiTheme="minorEastAsia" w:eastAsiaTheme="minorEastAsia"/>
          <w:b/>
          <w:color w:val="auto"/>
          <w:sz w:val="28"/>
          <w:szCs w:val="28"/>
          <w:highlight w:val="none"/>
        </w:rPr>
        <w:t>和会计核算</w:t>
      </w:r>
      <w:bookmarkEnd w:id="72"/>
      <w:bookmarkEnd w:id="73"/>
      <w:bookmarkEnd w:id="74"/>
    </w:p>
    <w:p w14:paraId="762E7D87">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一</w:t>
      </w:r>
      <w:r>
        <w:rPr>
          <w:rFonts w:hint="eastAsia" w:asciiTheme="minorEastAsia" w:hAnsiTheme="minorEastAsia" w:eastAsiaTheme="minorEastAsia"/>
          <w:color w:val="auto"/>
          <w:szCs w:val="21"/>
          <w:highlight w:val="none"/>
        </w:rPr>
        <w:t>）基金财产的估值</w:t>
      </w:r>
    </w:p>
    <w:p w14:paraId="58D4A357">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1、基金资产总值</w:t>
      </w:r>
    </w:p>
    <w:p w14:paraId="55C5F4CC">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基金资产总值是指其所购买的各类证券、银行存款及利息、基金各项应收款以及其他资产的价值总和。本基金基金资产总值保留到小数点后2位，小数点后第3位四舍五入。</w:t>
      </w:r>
    </w:p>
    <w:p w14:paraId="09A3C4D2">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2、基金资产净值</w:t>
      </w:r>
    </w:p>
    <w:p w14:paraId="39066A91">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基金资产净值是指基金资产总值减去负债后的净额。基金资产净值保留到小数点后2位，小数点后第3位四舍五入。</w:t>
      </w:r>
    </w:p>
    <w:p w14:paraId="0B5CE6BC">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3、基金份额净值、各类别基金份额净值</w:t>
      </w:r>
    </w:p>
    <w:p w14:paraId="1FAB5082">
      <w:pPr>
        <w:adjustRightInd w:val="0"/>
        <w:snapToGrid w:val="0"/>
        <w:spacing w:before="93" w:beforeLines="30" w:after="93" w:afterLines="30" w:line="353"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基金份额净值、各类别基金份额净值精确到小数点后第</w:t>
      </w:r>
      <w:r>
        <w:rPr>
          <w:rFonts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位，小数点后第</w:t>
      </w: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位四舍五入。如本合同中涉及基金份额净值、各类别基金份额净值的具体约定的，均以此小数位数为准。</w:t>
      </w:r>
    </w:p>
    <w:p w14:paraId="21893DA6">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w:t>
      </w:r>
      <w:r>
        <w:rPr>
          <w:rFonts w:asciiTheme="minorEastAsia" w:hAnsiTheme="minorEastAsia" w:eastAsiaTheme="minorEastAsia"/>
          <w:color w:val="auto"/>
          <w:szCs w:val="21"/>
          <w:highlight w:val="none"/>
        </w:rPr>
        <w:t>估值目的</w:t>
      </w:r>
    </w:p>
    <w:p w14:paraId="11FA0253">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基金财产估值目的是客观、准确地反映基金财产的价值，并为基金份额申购、赎回提供计价依据。</w:t>
      </w:r>
    </w:p>
    <w:p w14:paraId="7236998C">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5、估值时间</w:t>
      </w:r>
    </w:p>
    <w:p w14:paraId="2E4C2BD8">
      <w:pPr>
        <w:adjustRightInd w:val="0"/>
        <w:snapToGrid w:val="0"/>
        <w:spacing w:before="93" w:beforeLines="30" w:after="93" w:afterLines="30" w:line="353" w:lineRule="auto"/>
        <w:ind w:firstLine="420" w:firstLineChars="200"/>
        <w:rPr>
          <w:rFonts w:asciiTheme="minorEastAsia" w:hAnsiTheme="minorEastAsia" w:eastAsiaTheme="minorEastAsia"/>
          <w:b/>
          <w:bCs/>
          <w:color w:val="auto"/>
          <w:szCs w:val="21"/>
          <w:highlight w:val="none"/>
        </w:rPr>
      </w:pPr>
      <w:r>
        <w:rPr>
          <w:rStyle w:val="9"/>
          <w:rFonts w:hint="eastAsia" w:asciiTheme="minorEastAsia" w:hAnsiTheme="minorEastAsia" w:eastAsiaTheme="minorEastAsia"/>
          <w:color w:val="auto"/>
          <w:highlight w:val="none"/>
        </w:rPr>
        <w:t>私募基金管理人或其委托的</w:t>
      </w:r>
      <w:r>
        <w:rPr>
          <w:rFonts w:hint="eastAsia" w:asciiTheme="minorEastAsia" w:hAnsiTheme="minorEastAsia" w:eastAsiaTheme="minorEastAsia"/>
          <w:color w:val="auto"/>
          <w:highlight w:val="none"/>
          <w:lang w:val="en-US" w:eastAsia="zh-CN"/>
        </w:rPr>
        <w:t>私募基金</w:t>
      </w:r>
      <w:r>
        <w:rPr>
          <w:rStyle w:val="9"/>
          <w:rFonts w:hint="eastAsia" w:asciiTheme="minorEastAsia" w:hAnsiTheme="minorEastAsia" w:eastAsiaTheme="minorEastAsia"/>
          <w:color w:val="auto"/>
          <w:highlight w:val="none"/>
        </w:rPr>
        <w:t>服务机构对每个交易日的基金财产进行估值，T+1日与托管人核对估值结果。</w:t>
      </w:r>
      <w:r>
        <w:rPr>
          <w:rStyle w:val="9"/>
          <w:rFonts w:hint="eastAsia" w:asciiTheme="minorEastAsia" w:hAnsiTheme="minorEastAsia" w:eastAsiaTheme="minorEastAsia"/>
          <w:b/>
          <w:bCs/>
          <w:color w:val="auto"/>
          <w:highlight w:val="none"/>
        </w:rPr>
        <w:t>对于非私募基金托管人原因造成的估值核对时效延误，私募基金托管人不承担责任。</w:t>
      </w:r>
    </w:p>
    <w:p w14:paraId="413C6441">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6、估值材料的交互要求</w:t>
      </w:r>
    </w:p>
    <w:p w14:paraId="7F4F4C6B">
      <w:pPr>
        <w:adjustRightInd w:val="0"/>
        <w:snapToGrid w:val="0"/>
        <w:spacing w:before="93" w:beforeLines="30" w:after="93" w:afterLines="30" w:line="353" w:lineRule="auto"/>
        <w:ind w:firstLine="422" w:firstLineChars="200"/>
        <w:rPr>
          <w:rStyle w:val="9"/>
          <w:rFonts w:asciiTheme="minorEastAsia" w:hAnsiTheme="minorEastAsia" w:eastAsiaTheme="minorEastAsia"/>
          <w:b/>
          <w:bCs/>
          <w:color w:val="auto"/>
          <w:highlight w:val="none"/>
        </w:rPr>
      </w:pPr>
      <w:bookmarkStart w:id="75" w:name="_Hlk34476335"/>
      <w:r>
        <w:rPr>
          <w:rStyle w:val="9"/>
          <w:rFonts w:hint="eastAsia" w:asciiTheme="minorEastAsia" w:hAnsiTheme="minorEastAsia" w:eastAsiaTheme="minorEastAsia"/>
          <w:b/>
          <w:bCs/>
          <w:color w:val="auto"/>
          <w:highlight w:val="none"/>
        </w:rPr>
        <w:t>私募基金管理人应当按照本合同约定提供经托管人认可的相关估值材料供私募基金托管人对基金净值进行复核，自行或敦促第三方机构及时、准确、完整地向私募基金托管人提供相关估值材料：</w:t>
      </w:r>
    </w:p>
    <w:p w14:paraId="76237979">
      <w:pPr>
        <w:adjustRightInd w:val="0"/>
        <w:snapToGrid w:val="0"/>
        <w:spacing w:before="93" w:beforeLines="30" w:after="93" w:afterLines="30" w:line="353" w:lineRule="auto"/>
        <w:ind w:firstLine="420" w:firstLineChars="200"/>
        <w:rPr>
          <w:rStyle w:val="9"/>
          <w:rFonts w:asciiTheme="minorEastAsia" w:hAnsiTheme="minorEastAsia" w:eastAsiaTheme="minorEastAsia"/>
          <w:color w:val="auto"/>
          <w:highlight w:val="none"/>
        </w:rPr>
      </w:pPr>
      <w:r>
        <w:rPr>
          <w:rStyle w:val="9"/>
          <w:rFonts w:hint="eastAsia" w:asciiTheme="minorEastAsia" w:hAnsiTheme="minorEastAsia" w:eastAsiaTheme="minorEastAsia"/>
          <w:color w:val="auto"/>
          <w:highlight w:val="none"/>
        </w:rPr>
        <w:t>（</w:t>
      </w:r>
      <w:r>
        <w:rPr>
          <w:rStyle w:val="9"/>
          <w:rFonts w:asciiTheme="minorEastAsia" w:hAnsiTheme="minorEastAsia" w:eastAsiaTheme="minorEastAsia"/>
          <w:color w:val="auto"/>
          <w:highlight w:val="none"/>
        </w:rPr>
        <w:t>1</w:t>
      </w:r>
      <w:r>
        <w:rPr>
          <w:rStyle w:val="9"/>
          <w:rFonts w:hint="eastAsia" w:asciiTheme="minorEastAsia" w:hAnsiTheme="minorEastAsia" w:eastAsiaTheme="minorEastAsia"/>
          <w:color w:val="auto"/>
          <w:highlight w:val="none"/>
        </w:rPr>
        <w:t>）本基金投资于公募基金、资产管理产品或私募基金管理人发行的私募基金的，私募基金管理人应于标的产品合同等相关协议约定的确权时效内或本基金开放日前提供完整、准确及有效的估值材料（包括但不限于前述投资标的管理人、</w:t>
      </w:r>
      <w:r>
        <w:rPr>
          <w:rFonts w:hint="eastAsia" w:asciiTheme="minorEastAsia" w:hAnsiTheme="minorEastAsia" w:eastAsiaTheme="minorEastAsia"/>
          <w:color w:val="auto"/>
          <w:highlight w:val="none"/>
          <w:lang w:val="en-US" w:eastAsia="zh-CN"/>
        </w:rPr>
        <w:t>私募基金</w:t>
      </w:r>
      <w:r>
        <w:rPr>
          <w:rStyle w:val="9"/>
          <w:rFonts w:hint="eastAsia" w:asciiTheme="minorEastAsia" w:hAnsiTheme="minorEastAsia" w:eastAsiaTheme="minorEastAsia"/>
          <w:color w:val="auto"/>
          <w:highlight w:val="none"/>
        </w:rPr>
        <w:t>服务机构或托管人提供的最新份额净值）作为私募基金托管人确认该笔投资权益的依据。</w:t>
      </w:r>
    </w:p>
    <w:p w14:paraId="234DA3A5">
      <w:pPr>
        <w:adjustRightInd w:val="0"/>
        <w:snapToGrid w:val="0"/>
        <w:spacing w:before="93" w:beforeLines="30" w:after="93" w:afterLines="30" w:line="353" w:lineRule="auto"/>
        <w:ind w:firstLine="420" w:firstLineChars="200"/>
        <w:rPr>
          <w:rStyle w:val="9"/>
          <w:rFonts w:asciiTheme="minorEastAsia" w:hAnsiTheme="minorEastAsia" w:eastAsiaTheme="minorEastAsia"/>
          <w:color w:val="auto"/>
          <w:highlight w:val="none"/>
        </w:rPr>
      </w:pPr>
      <w:r>
        <w:rPr>
          <w:rStyle w:val="9"/>
          <w:rFonts w:hint="eastAsia" w:asciiTheme="minorEastAsia" w:hAnsiTheme="minorEastAsia" w:eastAsiaTheme="minorEastAsia"/>
          <w:color w:val="auto"/>
          <w:highlight w:val="none"/>
        </w:rPr>
        <w:t>（</w:t>
      </w:r>
      <w:r>
        <w:rPr>
          <w:rStyle w:val="9"/>
          <w:rFonts w:asciiTheme="minorEastAsia" w:hAnsiTheme="minorEastAsia" w:eastAsiaTheme="minorEastAsia"/>
          <w:color w:val="auto"/>
          <w:highlight w:val="none"/>
        </w:rPr>
        <w:t>2</w:t>
      </w:r>
      <w:r>
        <w:rPr>
          <w:rStyle w:val="9"/>
          <w:rFonts w:hint="eastAsia" w:asciiTheme="minorEastAsia" w:hAnsiTheme="minorEastAsia" w:eastAsiaTheme="minorEastAsia"/>
          <w:color w:val="auto"/>
          <w:highlight w:val="none"/>
        </w:rPr>
        <w:t>）私募基金管理人应敦促投资标的的管理人、管理人委托的</w:t>
      </w:r>
      <w:r>
        <w:rPr>
          <w:rFonts w:hint="eastAsia" w:asciiTheme="minorEastAsia" w:hAnsiTheme="minorEastAsia" w:eastAsiaTheme="minorEastAsia"/>
          <w:color w:val="auto"/>
          <w:highlight w:val="none"/>
          <w:lang w:val="en-US" w:eastAsia="zh-CN"/>
        </w:rPr>
        <w:t>私募基金</w:t>
      </w:r>
      <w:r>
        <w:rPr>
          <w:rStyle w:val="9"/>
          <w:rFonts w:hint="eastAsia" w:asciiTheme="minorEastAsia" w:hAnsiTheme="minorEastAsia" w:eastAsiaTheme="minorEastAsia"/>
          <w:color w:val="auto"/>
          <w:highlight w:val="none"/>
        </w:rPr>
        <w:t>服务机构或其他相关方及时、准确、完整地向私募基金托管人提供场外投资标的的份额数量、净值、申赎情况、分红情况以及其他权益变动等估值信息。</w:t>
      </w:r>
    </w:p>
    <w:p w14:paraId="2076D3A2">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Style w:val="9"/>
          <w:rFonts w:hint="eastAsia" w:asciiTheme="minorEastAsia" w:hAnsiTheme="minorEastAsia" w:eastAsiaTheme="minorEastAsia"/>
          <w:color w:val="auto"/>
          <w:highlight w:val="none"/>
        </w:rPr>
        <w:t>（3）</w:t>
      </w:r>
      <w:r>
        <w:rPr>
          <w:rFonts w:hint="eastAsia" w:asciiTheme="minorEastAsia" w:hAnsiTheme="minorEastAsia" w:eastAsiaTheme="minorEastAsia"/>
          <w:color w:val="auto"/>
          <w:szCs w:val="21"/>
          <w:highlight w:val="none"/>
        </w:rPr>
        <w:t>本基金持有场外衍生品（包括但不限于场外收益互换、</w:t>
      </w:r>
      <w:bookmarkStart w:id="76" w:name="_Hlk34849530"/>
      <w:r>
        <w:rPr>
          <w:rFonts w:hint="eastAsia" w:asciiTheme="minorEastAsia" w:hAnsiTheme="minorEastAsia" w:eastAsiaTheme="minorEastAsia"/>
          <w:color w:val="auto"/>
          <w:szCs w:val="21"/>
          <w:highlight w:val="none"/>
        </w:rPr>
        <w:t>场外期权、非本金保障型收益凭证</w:t>
      </w:r>
      <w:bookmarkEnd w:id="76"/>
      <w:r>
        <w:rPr>
          <w:rFonts w:hint="eastAsia" w:asciiTheme="minorEastAsia" w:hAnsiTheme="minorEastAsia" w:eastAsiaTheme="minorEastAsia"/>
          <w:color w:val="auto"/>
          <w:szCs w:val="21"/>
          <w:highlight w:val="none"/>
        </w:rPr>
        <w:t>、信用衍生品等）合约的，为确保申购、赎回开放日净值复核工作的准确性，以保护全体投资者的利益。</w:t>
      </w:r>
      <w:bookmarkStart w:id="77" w:name="_Hlk34851257"/>
      <w:r>
        <w:rPr>
          <w:rFonts w:hint="eastAsia" w:asciiTheme="minorEastAsia" w:hAnsiTheme="minorEastAsia" w:eastAsiaTheme="minorEastAsia"/>
          <w:color w:val="auto"/>
          <w:szCs w:val="21"/>
          <w:highlight w:val="none"/>
        </w:rPr>
        <w:t>私募基金管理人应敦促交易对手方至少按周向私募基金托管人提供该等衍生品的当期合约价值报告。</w:t>
      </w:r>
    </w:p>
    <w:p w14:paraId="6804934E">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如遇基金开放日（包括临时开放日</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如有</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）、分红权益登记日的，私募基金管理人应</w:t>
      </w:r>
      <w:bookmarkEnd w:id="77"/>
      <w:r>
        <w:rPr>
          <w:rFonts w:hint="eastAsia" w:asciiTheme="minorEastAsia" w:hAnsiTheme="minorEastAsia" w:eastAsiaTheme="minorEastAsia"/>
          <w:color w:val="auto"/>
          <w:szCs w:val="21"/>
          <w:highlight w:val="none"/>
        </w:rPr>
        <w:t>敦促交易对手方直接向私募基金托管人发送当期合约价值报告。</w:t>
      </w:r>
    </w:p>
    <w:p w14:paraId="1DE73C35">
      <w:pPr>
        <w:numPr>
          <w:ilvl w:val="255"/>
          <w:numId w:val="0"/>
        </w:numPr>
        <w:adjustRightInd w:val="0"/>
        <w:snapToGrid w:val="0"/>
        <w:spacing w:before="93" w:beforeLines="30" w:after="93" w:afterLines="30" w:line="353" w:lineRule="auto"/>
        <w:ind w:firstLine="422" w:firstLineChars="200"/>
        <w:rPr>
          <w:rStyle w:val="9"/>
          <w:rFonts w:asciiTheme="minorEastAsia" w:hAnsiTheme="minorEastAsia" w:eastAsiaTheme="minorEastAsia"/>
          <w:b/>
          <w:color w:val="auto"/>
          <w:highlight w:val="none"/>
        </w:rPr>
      </w:pPr>
      <w:r>
        <w:rPr>
          <w:rStyle w:val="9"/>
          <w:rFonts w:hint="eastAsia" w:asciiTheme="minorEastAsia" w:hAnsiTheme="minorEastAsia" w:eastAsiaTheme="minorEastAsia"/>
          <w:b/>
          <w:color w:val="auto"/>
          <w:highlight w:val="none"/>
        </w:rPr>
        <w:t>如因私募基金管理人未及时按上述约定向私募基金托管人提供估值材料的，本私募基金开放日份额净值不得作为办理基金份额申购、赎回的依据。如私募基金管理人在前述情形下以开放日份额净值作为办理申购、赎回的依据而造成投资者损失的，由私募基金管理人承担相应责任。</w:t>
      </w:r>
    </w:p>
    <w:p w14:paraId="4D1E57DC">
      <w:pPr>
        <w:adjustRightInd w:val="0"/>
        <w:snapToGrid w:val="0"/>
        <w:spacing w:before="93" w:beforeLines="30" w:after="93" w:afterLines="30" w:line="353" w:lineRule="auto"/>
        <w:ind w:firstLine="422" w:firstLineChars="200"/>
        <w:rPr>
          <w:rStyle w:val="9"/>
          <w:rFonts w:asciiTheme="minorEastAsia" w:hAnsiTheme="minorEastAsia" w:eastAsiaTheme="minorEastAsia"/>
          <w:b/>
          <w:color w:val="auto"/>
          <w:highlight w:val="none"/>
        </w:rPr>
      </w:pPr>
      <w:r>
        <w:rPr>
          <w:rStyle w:val="9"/>
          <w:rFonts w:hint="eastAsia" w:asciiTheme="minorEastAsia" w:hAnsiTheme="minorEastAsia" w:eastAsiaTheme="minorEastAsia"/>
          <w:b/>
          <w:color w:val="auto"/>
          <w:highlight w:val="none"/>
        </w:rPr>
        <w:t>如因私募基金托管人未及时获得完整、准确及有效的并经托管人认可的估值材料或估值材料记载的信息发生变更致使本基金净值发生波动或无法反映真实资产状况造成投资者损失的，私募基金托管人不承担任何责任。</w:t>
      </w:r>
    </w:p>
    <w:bookmarkEnd w:id="75"/>
    <w:p w14:paraId="5B469764">
      <w:pPr>
        <w:adjustRightInd w:val="0"/>
        <w:snapToGrid w:val="0"/>
        <w:spacing w:before="93" w:beforeLines="30" w:after="93" w:afterLines="30" w:line="353" w:lineRule="auto"/>
        <w:ind w:firstLine="422" w:firstLineChars="200"/>
        <w:rPr>
          <w:rStyle w:val="9"/>
          <w:rFonts w:asciiTheme="minorEastAsia" w:hAnsiTheme="minorEastAsia" w:eastAsiaTheme="minorEastAsia"/>
          <w:b/>
          <w:color w:val="auto"/>
          <w:highlight w:val="none"/>
        </w:rPr>
      </w:pPr>
      <w:r>
        <w:rPr>
          <w:rStyle w:val="9"/>
          <w:rFonts w:hint="eastAsia" w:asciiTheme="minorEastAsia" w:hAnsiTheme="minorEastAsia" w:eastAsiaTheme="minorEastAsia"/>
          <w:b/>
          <w:color w:val="auto"/>
          <w:highlight w:val="none"/>
        </w:rPr>
        <w:t>经私募基金托管人事先同意，私募基金管理人可以根据实际情况对上述估值材料交互要求进行新增、删减、调整、变更。</w:t>
      </w:r>
    </w:p>
    <w:p w14:paraId="743051AD">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7</w:t>
      </w:r>
      <w:r>
        <w:rPr>
          <w:rFonts w:hint="eastAsia" w:asciiTheme="minorEastAsia" w:hAnsiTheme="minorEastAsia" w:eastAsiaTheme="minorEastAsia"/>
          <w:color w:val="auto"/>
          <w:szCs w:val="21"/>
          <w:highlight w:val="none"/>
        </w:rPr>
        <w:t>、估值对象</w:t>
      </w:r>
    </w:p>
    <w:p w14:paraId="410F29AC">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基金拥有的所有资产及负债。</w:t>
      </w:r>
    </w:p>
    <w:p w14:paraId="1F088A91">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8</w:t>
      </w:r>
      <w:r>
        <w:rPr>
          <w:rFonts w:hint="eastAsia" w:asciiTheme="minorEastAsia" w:hAnsiTheme="minorEastAsia" w:eastAsiaTheme="minorEastAsia"/>
          <w:color w:val="auto"/>
          <w:szCs w:val="21"/>
          <w:highlight w:val="none"/>
        </w:rPr>
        <w:t>、估值方法</w:t>
      </w:r>
    </w:p>
    <w:p w14:paraId="2274813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本基金按以下方式进行估值：</w:t>
      </w:r>
    </w:p>
    <w:p w14:paraId="0B6161B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（1）证券交易所上市的有价证券的估值</w:t>
      </w:r>
    </w:p>
    <w:p w14:paraId="65B10A1A">
      <w:pPr>
        <w:autoSpaceDE w:val="0"/>
        <w:autoSpaceDN w:val="0"/>
        <w:adjustRightInd w:val="0"/>
        <w:snapToGrid w:val="0"/>
        <w:spacing w:before="93" w:beforeLines="30" w:after="93" w:afterLines="30" w:line="360" w:lineRule="auto"/>
        <w:ind w:firstLine="420" w:firstLineChars="200"/>
        <w:rPr>
          <w:rFonts w:cs="宋体" w:asciiTheme="minorEastAsia" w:hAnsiTheme="minorEastAsia" w:eastAsiaTheme="minorEastAsia"/>
          <w:color w:val="auto"/>
          <w:kern w:val="0"/>
          <w:szCs w:val="21"/>
          <w:highlight w:val="none"/>
        </w:rPr>
      </w:pP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rPr>
        <w:t>、</w:t>
      </w:r>
      <w:r>
        <w:rPr>
          <w:rFonts w:hint="eastAsia" w:cs="宋体" w:asciiTheme="minorEastAsia" w:hAnsiTheme="minorEastAsia" w:eastAsiaTheme="minorEastAsia"/>
          <w:color w:val="auto"/>
          <w:kern w:val="0"/>
          <w:szCs w:val="21"/>
          <w:highlight w:val="none"/>
        </w:rPr>
        <w:t>证券</w:t>
      </w:r>
      <w:r>
        <w:rPr>
          <w:rFonts w:hint="eastAsia" w:asciiTheme="minorEastAsia" w:hAnsiTheme="minorEastAsia" w:eastAsiaTheme="minorEastAsia"/>
          <w:color w:val="auto"/>
          <w:szCs w:val="21"/>
          <w:highlight w:val="none"/>
        </w:rPr>
        <w:t>交易所上市的有价证券（如股票、交易所上市交易的基金、供股权等），以其估值日在证券交易所挂牌的市价（收盘价）估值；估值日无交易的，以最近交易日的市价（收盘价）估值。</w:t>
      </w:r>
    </w:p>
    <w:p w14:paraId="359D618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B</w:t>
      </w:r>
      <w:r>
        <w:rPr>
          <w:rFonts w:hint="eastAsia" w:asciiTheme="minorEastAsia" w:hAnsiTheme="minorEastAsia" w:eastAsiaTheme="minorEastAsia"/>
          <w:color w:val="auto"/>
          <w:szCs w:val="21"/>
          <w:highlight w:val="none"/>
        </w:rPr>
        <w:t>、</w:t>
      </w:r>
      <w:r>
        <w:rPr>
          <w:rFonts w:hint="eastAsia" w:cs="宋体" w:asciiTheme="minorEastAsia" w:hAnsiTheme="minorEastAsia" w:eastAsiaTheme="minorEastAsia"/>
          <w:color w:val="auto"/>
          <w:kern w:val="0"/>
          <w:szCs w:val="21"/>
          <w:highlight w:val="none"/>
        </w:rPr>
        <w:t>证券</w:t>
      </w:r>
      <w:r>
        <w:rPr>
          <w:rFonts w:hint="eastAsia" w:asciiTheme="minorEastAsia" w:hAnsiTheme="minorEastAsia" w:eastAsiaTheme="minorEastAsia"/>
          <w:color w:val="auto"/>
          <w:szCs w:val="21"/>
          <w:highlight w:val="none"/>
        </w:rPr>
        <w:t>交易所上市交易或挂牌转让的固定收益品种（包括但不限于债券、资产支持证券等投资品种，但可转换债券除外），选取第三方估值机构（中证指数有限公司）提供的相应品种当日的估值净价进行估值。如第三方估值机构（中证指数有限公司）不发布估值价的，按历史成本估值。</w:t>
      </w:r>
    </w:p>
    <w:p w14:paraId="25AFFD5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C</w:t>
      </w:r>
      <w:r>
        <w:rPr>
          <w:rFonts w:hint="eastAsia" w:asciiTheme="minorEastAsia" w:hAnsiTheme="minorEastAsia" w:eastAsiaTheme="minorEastAsia"/>
          <w:color w:val="auto"/>
          <w:szCs w:val="21"/>
          <w:highlight w:val="none"/>
        </w:rPr>
        <w:t>、</w:t>
      </w:r>
      <w:r>
        <w:rPr>
          <w:rFonts w:hint="eastAsia" w:cs="宋体" w:asciiTheme="minorEastAsia" w:hAnsiTheme="minorEastAsia" w:eastAsiaTheme="minorEastAsia"/>
          <w:color w:val="auto"/>
          <w:kern w:val="0"/>
          <w:szCs w:val="21"/>
          <w:highlight w:val="none"/>
        </w:rPr>
        <w:t>对在证券交易所市场上市交易的可转换债券，选取每日收盘价作为估值全价，减去其中所含当日的债券应收利息得到的净价进行估值；</w:t>
      </w:r>
      <w:r>
        <w:rPr>
          <w:rFonts w:hint="eastAsia" w:asciiTheme="minorEastAsia" w:hAnsiTheme="minorEastAsia" w:eastAsiaTheme="minorEastAsia"/>
          <w:color w:val="auto"/>
          <w:szCs w:val="21"/>
          <w:highlight w:val="none"/>
        </w:rPr>
        <w:t>估值日没有交易的，以最近交易日债券收盘价作为全价，减去其中所含截止最近交易日的债券应收利息得到的净价进行估值。</w:t>
      </w:r>
    </w:p>
    <w:p w14:paraId="4E65132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bookmarkStart w:id="78" w:name="_Hlk54364857"/>
      <w:r>
        <w:rPr>
          <w:rFonts w:hint="eastAsia" w:asciiTheme="minorEastAsia" w:hAnsiTheme="minorEastAsia" w:eastAsiaTheme="minorEastAsia"/>
          <w:color w:val="auto"/>
          <w:szCs w:val="21"/>
          <w:highlight w:val="none"/>
        </w:rPr>
        <w:t>D、本基金投资存托凭证的估值核算，依照境内上市交易的股票进行。</w:t>
      </w:r>
      <w:bookmarkEnd w:id="78"/>
    </w:p>
    <w:p w14:paraId="6529006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（2）处于特定期间的有价证券应区分如下情况处理：</w:t>
      </w:r>
    </w:p>
    <w:p w14:paraId="6862627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rPr>
        <w:t>、送股、转增股、配股和增发的新股（前述中有明确锁定期或在发行时明确限售期的股票除外），按估值日在证券交易所挂牌的同一股票的市价（收盘价）估值；该日无交易的，以最近一日的市价（收盘价）估值。</w:t>
      </w:r>
    </w:p>
    <w:p w14:paraId="4BE9995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B</w:t>
      </w:r>
      <w:r>
        <w:rPr>
          <w:rFonts w:hint="eastAsia" w:asciiTheme="minorEastAsia" w:hAnsiTheme="minorEastAsia" w:eastAsiaTheme="minorEastAsia"/>
          <w:color w:val="auto"/>
          <w:szCs w:val="21"/>
          <w:highlight w:val="none"/>
        </w:rPr>
        <w:t>、首次公开发行未上市的有价证券（如股票、交易所上市交易的基金、可转换债券等），按历史成本估值。</w:t>
      </w:r>
    </w:p>
    <w:p w14:paraId="5F7D8A79">
      <w:pPr>
        <w:adjustRightInd w:val="0"/>
        <w:snapToGrid w:val="0"/>
        <w:spacing w:before="93" w:beforeLines="30" w:after="93" w:afterLines="30" w:line="360" w:lineRule="auto"/>
        <w:ind w:firstLine="420" w:firstLineChars="200"/>
        <w:rPr>
          <w:rFonts w:asciiTheme="minorEastAsia" w:hAnsiTheme="minorEastAsia" w:eastAsiaTheme="minorEastAsia"/>
          <w:color w:val="auto"/>
          <w:kern w:val="0"/>
          <w:szCs w:val="21"/>
          <w:highlight w:val="none"/>
        </w:rPr>
      </w:pPr>
      <w:r>
        <w:rPr>
          <w:rFonts w:asciiTheme="minorEastAsia" w:hAnsiTheme="minorEastAsia" w:eastAsiaTheme="minorEastAsia"/>
          <w:color w:val="auto"/>
          <w:szCs w:val="21"/>
          <w:highlight w:val="none"/>
        </w:rPr>
        <w:t>C、</w:t>
      </w:r>
      <w:r>
        <w:rPr>
          <w:rFonts w:hint="eastAsia" w:asciiTheme="minorEastAsia" w:hAnsiTheme="minorEastAsia" w:eastAsiaTheme="minorEastAsia"/>
          <w:color w:val="auto"/>
          <w:szCs w:val="21"/>
          <w:highlight w:val="none"/>
        </w:rPr>
        <w:t>首次公开发行未上市的固定收益品种（包括但不限于债券、资产支持证券等投资品种，但可转换债券除外），选取第三方估值机构提供的相应品种当日的估值净价进行估值。如第三方估值机构不发布估值价的，按历史成本估值。</w:t>
      </w:r>
    </w:p>
    <w:p w14:paraId="4EF1EB0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D、</w:t>
      </w:r>
      <w:r>
        <w:rPr>
          <w:rFonts w:hint="eastAsia" w:asciiTheme="minorEastAsia" w:hAnsiTheme="minorEastAsia" w:eastAsiaTheme="minorEastAsia"/>
          <w:color w:val="auto"/>
          <w:szCs w:val="21"/>
          <w:highlight w:val="none"/>
        </w:rPr>
        <w:t>有明确锁定期或在发行时有明确限售期的股票（不包括全国中小企业股份转让系统的股票），包括但不限于非公开发行股票、首次公开发行股票时公司股东公开发售股份、首次公开发行网下配售有限售期的股票、大宗交易买入有限售期的股票，按监管机构或行业协会的有关规定确定公允价值。对于基金业协会规定的流通受限股票估值取值中的“流通受限股票的流动性折扣”，当估值日【第三方估值机构】未提供该流动性折扣时，则优先采用距估值日最近交易日【第三方估值机构】提供的流动性折扣进行估值处理。若【第三方估值机构】从未提供该流通受限股票的流动性折扣，则按估值日该流通受限股票在证券交易所上市交易的同一股票的市价（收盘价）估值；该日无交易的，以最近一日的市价（收盘价）估值。</w:t>
      </w:r>
    </w:p>
    <w:p w14:paraId="4D4F404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基金管理人应当及时通知私募基金托管人上述股票的锁定/限售情况，如私募基金管理人未及时告知私募基金托管人锁定/限售情况的，则按照无流通受限股票的方法估值。由此造成的后果由私募基金管理人承担，私募基金托管人不承担任何责任。</w:t>
      </w:r>
    </w:p>
    <w:p w14:paraId="161BDD1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特别地，流通受限股票估值取值中的“流通受限股票的流动性折扣”优先采用中央国债登记结算有限责任公司（简称“中债”）提供的数据。若管理人需调整为中证指数有限公司（简称“中证”）提供的数据，则应自行采购中证数据并提前2个工作日书面通知托管人。</w:t>
      </w:r>
    </w:p>
    <w:p w14:paraId="56BEB63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在全国银行间债券市场交易的固定收益品种（包括但不限于债券、资产支持证券、非公开定向债务融资工具、同业存单等投资品种），选取第三方估值机构（中央国债登记结算有限责任公司）提供的相应品种当日的估值净价进行估值。如第三方估值机构（中央国债登记结算有限责任公司）不发布估值价的，按历史成本估值。</w:t>
      </w:r>
    </w:p>
    <w:p w14:paraId="6AB2699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（4）同一债券同时在两个或两个以上市场交易的，按债券所处的市场分别估值。</w:t>
      </w:r>
    </w:p>
    <w:p w14:paraId="5A0AAC8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特别地，上述选用第三方估值机构提供的估值价进行估值的固定收益品种，其中：证券交易所固定收益品种优先按照中证指数有限公司（简称“中证”）提供的估值净价估值，银行间固定收益品种优先按照中央国债登记结算有限责任公司（简称“中债”）提供的估值净价估值。若管理人需调整前述对应第三方机构的，则以书面形式通知托管人。</w:t>
      </w:r>
    </w:p>
    <w:p w14:paraId="4C90A6F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对于发行人已破产、发行人未能按时足额偿付本金或利息，或者有其它可靠信息表明本金或利息无法按时足额偿付的债券投资品种，基金管理人在与基金托管人协商一致后，可选取第三方估值基准服务机构提供的推荐价格，同时也可采用其提供的价格区间中的数据作为该债券投资品种的公允价值。</w:t>
      </w:r>
    </w:p>
    <w:p w14:paraId="4A2B45E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6</w:t>
      </w:r>
      <w:r>
        <w:rPr>
          <w:rFonts w:hint="eastAsia" w:asciiTheme="minorEastAsia" w:hAnsiTheme="minorEastAsia" w:eastAsiaTheme="minorEastAsia"/>
          <w:color w:val="auto"/>
          <w:szCs w:val="21"/>
          <w:highlight w:val="none"/>
          <w:lang w:eastAsia="zh-CN"/>
        </w:rPr>
        <w:t>）</w:t>
      </w:r>
      <w:r>
        <w:rPr>
          <w:rFonts w:asciiTheme="minorEastAsia" w:hAnsiTheme="minorEastAsia" w:eastAsiaTheme="minorEastAsia"/>
          <w:color w:val="auto"/>
          <w:szCs w:val="21"/>
          <w:highlight w:val="none"/>
        </w:rPr>
        <w:t>债券、回购等计息资产按照约定利率在持有期内逐日计提应收利息，在利息到账日以实收利息入账。</w:t>
      </w:r>
    </w:p>
    <w:p w14:paraId="0748ABB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7</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银行存款每日计提应收利息，按本金加应收利息计入资产</w:t>
      </w:r>
      <w:r>
        <w:rPr>
          <w:rFonts w:hint="eastAsia" w:asciiTheme="minorEastAsia" w:hAnsiTheme="minorEastAsia" w:eastAsiaTheme="minorEastAsia"/>
          <w:color w:val="auto"/>
          <w:szCs w:val="21"/>
          <w:highlight w:val="none"/>
        </w:rPr>
        <w:t>；证券、期货资金账户内资金不计提利息，以实际结息数为准。</w:t>
      </w:r>
    </w:p>
    <w:p w14:paraId="17D09D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8</w:t>
      </w:r>
      <w:r>
        <w:rPr>
          <w:rFonts w:hint="eastAsia" w:asciiTheme="minorEastAsia" w:hAnsiTheme="minorEastAsia" w:eastAsiaTheme="minorEastAsia"/>
          <w:color w:val="auto"/>
          <w:szCs w:val="21"/>
          <w:highlight w:val="none"/>
        </w:rPr>
        <w:t>）基金持有的公募证券投资基金按以下方法估值：</w:t>
      </w:r>
    </w:p>
    <w:p w14:paraId="3A59A5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rPr>
        <w:t>、未在</w:t>
      </w:r>
      <w:r>
        <w:rPr>
          <w:rFonts w:hint="eastAsia" w:cs="宋体" w:asciiTheme="minorEastAsia" w:hAnsiTheme="minorEastAsia" w:eastAsiaTheme="minorEastAsia"/>
          <w:color w:val="auto"/>
          <w:kern w:val="0"/>
          <w:szCs w:val="21"/>
          <w:highlight w:val="none"/>
        </w:rPr>
        <w:t>证券</w:t>
      </w:r>
      <w:r>
        <w:rPr>
          <w:rFonts w:hint="eastAsia" w:asciiTheme="minorEastAsia" w:hAnsiTheme="minorEastAsia" w:eastAsiaTheme="minorEastAsia"/>
          <w:color w:val="auto"/>
          <w:szCs w:val="21"/>
          <w:highlight w:val="none"/>
        </w:rPr>
        <w:t>交易所上市交易的基金，按估值日前一交易日的基金份额净值估值；估值日前一交易日基金份额净值无公布的，按此前最近交易日的基金份额净值估值。</w:t>
      </w:r>
    </w:p>
    <w:p w14:paraId="7355454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B</w:t>
      </w:r>
      <w:r>
        <w:rPr>
          <w:rFonts w:hint="eastAsia" w:asciiTheme="minorEastAsia" w:hAnsiTheme="minorEastAsia" w:eastAsiaTheme="minorEastAsia"/>
          <w:color w:val="auto"/>
          <w:szCs w:val="21"/>
          <w:highlight w:val="none"/>
        </w:rPr>
        <w:t>、货币市场基金以成本列示，按基金管理公司公布的前一交易日（含节假日）的每万份收益计提收益。</w:t>
      </w:r>
    </w:p>
    <w:p w14:paraId="3650C37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9</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kern w:val="0"/>
          <w:szCs w:val="21"/>
          <w:highlight w:val="none"/>
        </w:rPr>
        <w:t>期货合约以估值日的结算价估值，若估值当日无结算价的，且最近交易日后未发生影响公允价值计量的重大变化的，采用最近交易日结算价估值。法律法规另有规定的，从其规定</w:t>
      </w:r>
      <w:r>
        <w:rPr>
          <w:rFonts w:hint="eastAsia" w:asciiTheme="minorEastAsia" w:hAnsiTheme="minorEastAsia" w:eastAsiaTheme="minorEastAsia"/>
          <w:color w:val="auto"/>
          <w:szCs w:val="21"/>
          <w:highlight w:val="none"/>
        </w:rPr>
        <w:t>。</w:t>
      </w:r>
    </w:p>
    <w:p w14:paraId="6430F96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上海黄金交易所挂盘的贵金属现货实盘合约，以其估值日在上海黄金交易所挂盘的收盘价估值。若估值当日无收盘价的，且最近交易日后未发生影响公允价值计量的重大变化的，以最近交易日的收盘价估值。法律法规另有规定的，从其规定。</w:t>
      </w:r>
    </w:p>
    <w:p w14:paraId="6778B1C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上海黄金交易所挂盘的贵金属现货延期和即期交收合约，以其估值日在上海黄金交易所挂盘的结算价估值。若估值当日无结算价的，且最近交易日后未发生影响公允价值计量的重大变化的，采用最近交易日结算价估值。法律法规另有规定的，从其规定。</w:t>
      </w:r>
    </w:p>
    <w:p w14:paraId="0BC1836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10</w:t>
      </w:r>
      <w:r>
        <w:rPr>
          <w:rFonts w:hint="eastAsia" w:asciiTheme="minorEastAsia" w:hAnsiTheme="minorEastAsia" w:eastAsiaTheme="minorEastAsia"/>
          <w:color w:val="auto"/>
          <w:szCs w:val="21"/>
          <w:highlight w:val="none"/>
        </w:rPr>
        <w:t>）基金持有的场内期权，按估值日的结算价估值；估值日没有交易的，按最近交易日的结算价估值。</w:t>
      </w:r>
    </w:p>
    <w:p w14:paraId="775261F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1</w:t>
      </w:r>
      <w:r>
        <w:rPr>
          <w:rFonts w:hint="eastAsia" w:asciiTheme="minorEastAsia" w:hAnsiTheme="minorEastAsia" w:eastAsiaTheme="minorEastAsia"/>
          <w:color w:val="auto"/>
          <w:szCs w:val="21"/>
          <w:highlight w:val="none"/>
        </w:rPr>
        <w:t>）基金持有的场外期权、场外收益互换以及其他金融衍生工具，依据合约盈亏估值结果或估值报告确认合约损益，无法获得或未及时获得合约盈亏估值结果或估值报告的，按最近一次的合约盈亏估值结果或估值报告进行估值，如从未获得合约盈亏估值结果或估值报告的，按历史成本估值。</w:t>
      </w:r>
    </w:p>
    <w:p w14:paraId="5612985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2</w:t>
      </w:r>
      <w:r>
        <w:rPr>
          <w:rFonts w:hint="eastAsia" w:asciiTheme="minorEastAsia" w:hAnsiTheme="minorEastAsia" w:eastAsiaTheme="minorEastAsia"/>
          <w:color w:val="auto"/>
          <w:szCs w:val="21"/>
          <w:highlight w:val="none"/>
        </w:rPr>
        <w:t>）基金持有的信用风险缓释工具，选取第三方估值机构提供的相应品种当日的估值价格进行估值，若第三方估值机构未提供估值价格的，依照有关法律法规及企业会计准则的要求采用合理估值技术确定其公允价值。</w:t>
      </w:r>
    </w:p>
    <w:p w14:paraId="5E8A9AB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3</w:t>
      </w:r>
      <w:r>
        <w:rPr>
          <w:rFonts w:hint="eastAsia" w:asciiTheme="minorEastAsia" w:hAnsiTheme="minorEastAsia" w:eastAsiaTheme="minorEastAsia"/>
          <w:color w:val="auto"/>
          <w:szCs w:val="21"/>
          <w:highlight w:val="none"/>
        </w:rPr>
        <w:t>）对于投资的证券公司及证券公司资产管理子公司发行的证券投资类资产管理计划、私募基金管理人（协会登记）发行的证券投资类金融产品（含本私募基金管理人发行的证券投资基金产品）、期货公司及期货公司子公司发行的证券投资类资产管理计划、基金公司及基金公司子公司发行的证券投资类资产管理计划等中国证监会认可的其他金融产品（以下简称“标的产品”），按如下方式进行估值：</w:t>
      </w:r>
    </w:p>
    <w:p w14:paraId="0F3C28A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A、如管理人在上述标的产品权益确认日提供了权益确认原始凭证，则在确认日当天以原始凭证为依据入账；如管理人无法在权益确认日提供上述标的产品的权益确认原始凭证，则在原始凭证提供日进行确认，并不再对以往账务进行追溯调整。</w:t>
      </w:r>
    </w:p>
    <w:p w14:paraId="6D013E1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B、场外投资标的合同或场外投资标的管理人出具的相关文件能够提供固定收益率的投资标的，按成本列示，并每日加计应收利息（或应计收益）进行估值</w:t>
      </w:r>
      <w:r>
        <w:rPr>
          <w:rFonts w:asciiTheme="minorEastAsia" w:hAnsiTheme="minorEastAsia" w:eastAsiaTheme="minorEastAsia"/>
          <w:color w:val="auto"/>
          <w:szCs w:val="21"/>
          <w:highlight w:val="none"/>
        </w:rPr>
        <w:t>；</w:t>
      </w:r>
    </w:p>
    <w:p w14:paraId="7BA5304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C</w:t>
      </w:r>
      <w:r>
        <w:rPr>
          <w:rFonts w:asciiTheme="minorEastAsia" w:hAnsiTheme="minorEastAsia" w:eastAsiaTheme="minorEastAsia"/>
          <w:color w:val="auto"/>
          <w:szCs w:val="21"/>
          <w:highlight w:val="none"/>
        </w:rPr>
        <w:t>、按面值及每万份收益计价的</w:t>
      </w:r>
      <w:r>
        <w:rPr>
          <w:rFonts w:hint="eastAsia" w:asciiTheme="minorEastAsia" w:hAnsiTheme="minorEastAsia" w:eastAsiaTheme="minorEastAsia"/>
          <w:color w:val="auto"/>
          <w:szCs w:val="21"/>
          <w:highlight w:val="none"/>
        </w:rPr>
        <w:t>场外</w:t>
      </w:r>
      <w:r>
        <w:rPr>
          <w:rFonts w:asciiTheme="minorEastAsia" w:hAnsiTheme="minorEastAsia" w:eastAsiaTheme="minorEastAsia"/>
          <w:color w:val="auto"/>
          <w:szCs w:val="21"/>
          <w:highlight w:val="none"/>
        </w:rPr>
        <w:t>投资标的，以成本列示，</w:t>
      </w:r>
      <w:r>
        <w:rPr>
          <w:rFonts w:hint="eastAsia" w:asciiTheme="minorEastAsia" w:hAnsiTheme="minorEastAsia" w:eastAsiaTheme="minorEastAsia"/>
          <w:color w:val="auto"/>
          <w:szCs w:val="21"/>
          <w:highlight w:val="none"/>
        </w:rPr>
        <w:t>按场外投资标的管理人、场外投资标的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服务机构或场外投资标的托管人提供的</w:t>
      </w:r>
      <w:r>
        <w:rPr>
          <w:rFonts w:asciiTheme="minorEastAsia" w:hAnsiTheme="minorEastAsia" w:eastAsiaTheme="minorEastAsia"/>
          <w:color w:val="auto"/>
          <w:szCs w:val="21"/>
          <w:highlight w:val="none"/>
        </w:rPr>
        <w:t>最新</w:t>
      </w:r>
      <w:r>
        <w:rPr>
          <w:rFonts w:hint="eastAsia" w:asciiTheme="minorEastAsia" w:hAnsiTheme="minorEastAsia" w:eastAsiaTheme="minorEastAsia"/>
          <w:color w:val="auto"/>
          <w:szCs w:val="21"/>
          <w:highlight w:val="none"/>
        </w:rPr>
        <w:t>（含节假日）</w:t>
      </w:r>
      <w:r>
        <w:rPr>
          <w:rFonts w:asciiTheme="minorEastAsia" w:hAnsiTheme="minorEastAsia" w:eastAsiaTheme="minorEastAsia"/>
          <w:color w:val="auto"/>
          <w:szCs w:val="21"/>
          <w:highlight w:val="none"/>
        </w:rPr>
        <w:t>每万份收益计提收益</w:t>
      </w:r>
      <w:r>
        <w:rPr>
          <w:rFonts w:hint="eastAsia" w:asciiTheme="minorEastAsia" w:hAnsiTheme="minorEastAsia" w:eastAsiaTheme="minorEastAsia"/>
          <w:color w:val="auto"/>
          <w:szCs w:val="21"/>
          <w:highlight w:val="none"/>
        </w:rPr>
        <w:t>；</w:t>
      </w:r>
    </w:p>
    <w:p w14:paraId="73F03EA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宋体" w:hAnsi="宋体" w:cs="宋体"/>
          <w:bCs/>
          <w:color w:val="auto"/>
          <w:highlight w:val="none"/>
        </w:rPr>
        <w:t>D</w:t>
      </w:r>
      <w:r>
        <w:rPr>
          <w:rFonts w:hint="eastAsia" w:ascii="宋体" w:hAnsi="宋体" w:cs="宋体"/>
          <w:bCs/>
          <w:color w:val="auto"/>
          <w:highlight w:val="none"/>
        </w:rPr>
        <w:t>、按</w:t>
      </w:r>
      <w:r>
        <w:rPr>
          <w:rFonts w:hint="eastAsia" w:asciiTheme="minorEastAsia" w:hAnsiTheme="minorEastAsia" w:eastAsiaTheme="minorEastAsia"/>
          <w:color w:val="auto"/>
          <w:szCs w:val="21"/>
          <w:highlight w:val="none"/>
        </w:rPr>
        <w:t>管理人或其委托的第三方机构提供的信息（份额数量、收益率、最新份额净值、扣除或有业绩报酬后的份额净值(如有)）估值。</w:t>
      </w:r>
    </w:p>
    <w:p w14:paraId="242AAAE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按份额净值计价的场外标的产品，由于私募金融产品的特性可能导致本基金在申购该产品时该产品净值中包含或有的业绩报酬（该笔业绩报酬可能因未到计提时间点、基金净值波动等因素，能否计提及具体计提金额均处于或有状态）。本基金估值时如不予考虑该笔或有业绩报酬影响，以所购买产品份额净值为估值依据，可能发生届时赎回投资者侵蚀未赎回及同期申购投资者利益情况；本基金估值时如以扣除该笔或有业绩报酬后的份额净值为估值依据，可能发生届时申购投资者侵蚀存量投资者及同期赎回投资者利益情况。基于该客观情况，由于当前尚无准确公允的方法解决该问题，故本基金明确界定：当本基金投资场外私募性质金融产品后，本基金采用扣除或有业绩报酬后的份额净值作为估值依据。管理人作为本基金的主会计方，应及时计算所投资私募性质金融产品扣除或有业绩报酬后的份额净值或委托第三方机构计算所投资私募性质金融产品扣除或有业绩报酬后的份额净值，并提供给托管人用于估值核算。如管理人及其委托的第三方机构（如有）无法提供所投资私募性质金融产品扣除或有业绩报酬后的份额净值或所投资私募性质金融产品本身不设置业绩报酬的，则以管理人或其委托的第三方机构提供的所投资私募性质金融产品的最新份额净值作为估值依据。如投资标的份额发生变动，则私募基金管理人或其委托的第三方机构应及时提供份额变动确认凭证。私募基金管理人或其委托的第三方机构应及时向私募基金托管人提供以上信息作为估值依据，并保证所提供的信息真实、完整、准确。</w:t>
      </w:r>
    </w:p>
    <w:p w14:paraId="2B01908E">
      <w:pPr>
        <w:pStyle w:val="17"/>
        <w:numPr>
          <w:ilvl w:val="255"/>
          <w:numId w:val="0"/>
        </w:numPr>
        <w:adjustRightInd w:val="0"/>
        <w:snapToGrid w:val="0"/>
        <w:ind w:firstLine="420" w:firstLineChars="200"/>
        <w:rPr>
          <w:rFonts w:asciiTheme="minorEastAsia" w:hAnsiTheme="minorEastAsia" w:eastAsiaTheme="minorEastAsia"/>
          <w:color w:val="auto"/>
          <w:sz w:val="21"/>
          <w:szCs w:val="21"/>
          <w:highlight w:val="none"/>
        </w:rPr>
      </w:pPr>
      <w:r>
        <w:rPr>
          <w:rFonts w:asciiTheme="minorEastAsia" w:hAnsiTheme="minorEastAsia" w:eastAsiaTheme="minorEastAsia"/>
          <w:color w:val="auto"/>
          <w:sz w:val="21"/>
          <w:szCs w:val="21"/>
          <w:highlight w:val="none"/>
        </w:rPr>
        <w:t>E</w:t>
      </w:r>
      <w:r>
        <w:rPr>
          <w:rFonts w:hint="eastAsia" w:asciiTheme="minorEastAsia" w:hAnsiTheme="minorEastAsia" w:eastAsiaTheme="minorEastAsia"/>
          <w:color w:val="auto"/>
          <w:sz w:val="21"/>
          <w:szCs w:val="21"/>
          <w:highlight w:val="none"/>
        </w:rPr>
        <w:t>、如果不属于上述情况的，则基金管理人应向基金托管人提供标的产品的估值方法和估值数据，并确保提供数据的真实、完整和有效。管理人应确保标的产品估值方法的一致性和公允性，并应就估值方法的变更事项及时向投资者披露，如因管理人未及时披露相关信息导致的纠纷，由管理人自行承担责任。</w:t>
      </w:r>
    </w:p>
    <w:p w14:paraId="0078725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4</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基金持有的券商收益凭证，如收益凭证投资协议中有明确预期或固定收益率的，按成本列示并每日加计应收利息（或应计收益）进行估值；没有约定的，按照凭证发行方提供的定期价值报告估值，如无法提供的，由私募基金管理人与私募基金托管人根据本金与收益结算条款协商估值方法（其中包含按历史成本估值）。</w:t>
      </w:r>
    </w:p>
    <w:p w14:paraId="3649D78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5</w:t>
      </w:r>
      <w:r>
        <w:rPr>
          <w:rFonts w:hint="eastAsia" w:asciiTheme="minorEastAsia" w:hAnsiTheme="minorEastAsia" w:eastAsiaTheme="minorEastAsia"/>
          <w:color w:val="auto"/>
          <w:szCs w:val="21"/>
          <w:highlight w:val="none"/>
        </w:rPr>
        <w:t>）在全国中小企业股份转让系统挂牌交易的股票，以连续竞价方式或做市转让方式交易的股票，以其估值日挂牌的市价（收盘价）估值，估值日无交易的，以最近交易日的市价（收盘价）估值；以集合竞价方式交易的股票按成本估值。特别地，当股票挂牌交易方式由连续竞价方式或者做市转让方式变更为集合竞价方式时，自转让方式变更日起按该股票变更日前最新的挂牌市价（收盘价）进行估值；由集合竞价方式变更为连续竞价方式或者做市转让方式的股票则自转让方式变更日起按最新的挂牌市价（收盘价）估值，变更日无挂牌市价（收盘价）的，按变更日前该股票的最新估值价格进行估值。本基金通过大宗交易等协议转让方式受让股票的，根据该股票的挂牌交易方式所对应的估值方法进行估值。</w:t>
      </w:r>
    </w:p>
    <w:p w14:paraId="0C42C42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6</w:t>
      </w:r>
      <w:r>
        <w:rPr>
          <w:rFonts w:hint="eastAsia" w:asciiTheme="minorEastAsia" w:hAnsiTheme="minorEastAsia" w:eastAsiaTheme="minorEastAsia"/>
          <w:color w:val="auto"/>
          <w:szCs w:val="21"/>
          <w:highlight w:val="none"/>
        </w:rPr>
        <w:t>）证券交易所、新三板退市/摘牌的股份，以退市/摘牌前该股票的最新估值价格进行估值。</w:t>
      </w:r>
    </w:p>
    <w:p w14:paraId="4DDD31D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7</w:t>
      </w:r>
      <w:r>
        <w:rPr>
          <w:rFonts w:hint="eastAsia" w:asciiTheme="minorEastAsia" w:hAnsiTheme="minorEastAsia" w:eastAsiaTheme="minorEastAsia"/>
          <w:color w:val="auto"/>
          <w:szCs w:val="21"/>
          <w:highlight w:val="none"/>
        </w:rPr>
        <w:t>）如存在上述估值约定未覆盖的投资品种，基金管理人可根据具体情况制定估值方法，并将估值方法提供给托管人进行估值。如管理人认为上述估值方法不合适，可就相关估值方法进行修改，并将修改后的方法提前通知托管人进行估值。</w:t>
      </w:r>
    </w:p>
    <w:p w14:paraId="2CA67FA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8</w:t>
      </w:r>
      <w:r>
        <w:rPr>
          <w:rFonts w:hint="eastAsia" w:asciiTheme="minorEastAsia" w:hAnsiTheme="minorEastAsia" w:eastAsiaTheme="minorEastAsia"/>
          <w:color w:val="auto"/>
          <w:szCs w:val="21"/>
          <w:highlight w:val="none"/>
        </w:rPr>
        <w:t>）如基金管理人和基金托管人对基金份额净值的计算结果不能达成一致时，为避免不能按时公布的情形，以基金管理人计算或确认的结果对外公布，基金管理人应在单方面对外公告基金份额净值计算结果时注明未经基金托管人复核，而基金托管人有权将有关情况向中国证监会报告，由此给基金投资者和基金造成的损失，由基金管理人承担赔偿责任。</w:t>
      </w:r>
    </w:p>
    <w:p w14:paraId="7164AEF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9</w:t>
      </w:r>
      <w:r>
        <w:rPr>
          <w:rFonts w:hint="eastAsia" w:asciiTheme="minorEastAsia" w:hAnsiTheme="minorEastAsia" w:eastAsiaTheme="minorEastAsia"/>
          <w:color w:val="auto"/>
          <w:szCs w:val="21"/>
          <w:highlight w:val="none"/>
        </w:rPr>
        <w:t>）相关法律法规以及监管部门有强制规定的，从其规定。如有新增事项，按国家最新规定估值。</w:t>
      </w:r>
    </w:p>
    <w:p w14:paraId="4A05FB9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基金估值核算需要的相关信息，包括但不限于场外交易信息和场外行情信息，如果托管人无法获得相关估值数据，则</w:t>
      </w:r>
      <w:r>
        <w:rPr>
          <w:rFonts w:asciiTheme="minorEastAsia" w:hAnsiTheme="minorEastAsia" w:eastAsiaTheme="minorEastAsia"/>
          <w:color w:val="auto"/>
          <w:szCs w:val="21"/>
          <w:highlight w:val="none"/>
        </w:rPr>
        <w:t>由</w:t>
      </w:r>
      <w:r>
        <w:rPr>
          <w:rFonts w:hint="eastAsia" w:asciiTheme="minorEastAsia" w:hAnsiTheme="minorEastAsia" w:eastAsiaTheme="minorEastAsia"/>
          <w:color w:val="auto"/>
          <w:szCs w:val="21"/>
          <w:highlight w:val="none"/>
        </w:rPr>
        <w:t>管理人</w:t>
      </w:r>
      <w:r>
        <w:rPr>
          <w:rFonts w:asciiTheme="minorEastAsia" w:hAnsiTheme="minorEastAsia" w:eastAsiaTheme="minorEastAsia"/>
          <w:color w:val="auto"/>
          <w:szCs w:val="21"/>
          <w:highlight w:val="none"/>
        </w:rPr>
        <w:t>负责</w:t>
      </w:r>
      <w:r>
        <w:rPr>
          <w:rFonts w:hint="eastAsia" w:asciiTheme="minorEastAsia" w:hAnsiTheme="minorEastAsia" w:eastAsiaTheme="minorEastAsia"/>
          <w:color w:val="auto"/>
          <w:szCs w:val="21"/>
          <w:highlight w:val="none"/>
        </w:rPr>
        <w:t>提供，并且管理人需对数据准确性、完整性和及时性负责。否则，由于上述情况导致的估值不准确、不完整或不及时，托管人不承担责任。</w:t>
      </w:r>
    </w:p>
    <w:p w14:paraId="77EA321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9</w:t>
      </w:r>
      <w:r>
        <w:rPr>
          <w:rFonts w:hint="eastAsia" w:asciiTheme="minorEastAsia" w:hAnsiTheme="minorEastAsia" w:eastAsiaTheme="minorEastAsia"/>
          <w:color w:val="auto"/>
          <w:szCs w:val="21"/>
          <w:highlight w:val="none"/>
        </w:rPr>
        <w:t>、汇率</w:t>
      </w:r>
    </w:p>
    <w:p w14:paraId="0C0EC07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若港股通估值计算中涉及港币的，将以中国证券登记结算有限责任公司或交易所提供的汇率进行估值。涉及其他货币的，如中国证券登记结算有限责任公司或交易所估值日提供了该币种兑人民币的汇率，则取该汇率，如未有提供，以双方协商一致的原则确定汇率。</w:t>
      </w:r>
    </w:p>
    <w:p w14:paraId="7B999C5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10</w:t>
      </w:r>
      <w:r>
        <w:rPr>
          <w:rFonts w:hint="eastAsia" w:asciiTheme="minorEastAsia" w:hAnsiTheme="minorEastAsia" w:eastAsiaTheme="minorEastAsia"/>
          <w:color w:val="auto"/>
          <w:szCs w:val="21"/>
          <w:highlight w:val="none"/>
        </w:rPr>
        <w:t>、税收</w:t>
      </w:r>
    </w:p>
    <w:p w14:paraId="63BECD0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对于因税收规定调整或其他原因导致基金实际交纳税金与估算的应交税金有差异的，基金将在相关税金调整日或实际支付日进行相应的估值调整。</w:t>
      </w:r>
    </w:p>
    <w:p w14:paraId="3A9179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、估值程序</w:t>
      </w:r>
    </w:p>
    <w:p w14:paraId="467E219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基金日常估值由基金管理人进行，根据相关法律法规，基金管理人可以委托</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服务机构办理基金的估值。基金管理人或其委托的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服务机构完成估值后，将估值结果以书面形式、发送电子对账数据</w:t>
      </w:r>
      <w:r>
        <w:rPr>
          <w:rFonts w:hint="eastAsia" w:asciiTheme="minorEastAsia" w:hAnsiTheme="minorEastAsia" w:eastAsiaTheme="minorEastAsia"/>
          <w:color w:val="auto"/>
          <w:szCs w:val="21"/>
          <w:highlight w:val="none"/>
          <w:lang w:val="en-US" w:eastAsia="zh-CN"/>
        </w:rPr>
        <w:t>或者</w:t>
      </w:r>
      <w:r>
        <w:rPr>
          <w:rFonts w:hint="eastAsia" w:asciiTheme="minorEastAsia" w:hAnsiTheme="minorEastAsia" w:eastAsiaTheme="minorEastAsia"/>
          <w:color w:val="auto"/>
          <w:szCs w:val="21"/>
          <w:highlight w:val="none"/>
        </w:rPr>
        <w:t>双方认可的其他形式送至基金托管人，基金托管人按法律法规、本合同规定的估值方法、时间、程序进行复核，复核无误后在基金管理人发送的书面估值结果上加盖业务章或者发送电子对账结果</w:t>
      </w:r>
      <w:r>
        <w:rPr>
          <w:rFonts w:hint="eastAsia" w:asciiTheme="minorEastAsia" w:hAnsiTheme="minorEastAsia" w:eastAsiaTheme="minorEastAsia"/>
          <w:color w:val="auto"/>
          <w:szCs w:val="21"/>
          <w:highlight w:val="none"/>
          <w:lang w:val="en-US" w:eastAsia="zh-CN"/>
        </w:rPr>
        <w:t>或者</w:t>
      </w:r>
      <w:r>
        <w:rPr>
          <w:rFonts w:hint="eastAsia" w:asciiTheme="minorEastAsia" w:hAnsiTheme="minorEastAsia" w:eastAsiaTheme="minorEastAsia"/>
          <w:color w:val="auto"/>
          <w:szCs w:val="21"/>
          <w:highlight w:val="none"/>
        </w:rPr>
        <w:t>双方认可的其他形式返回给基金管理人或其委托的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服务机构；月末、年中和年末估值复核与基金会计账目的核对同时进行。</w:t>
      </w:r>
    </w:p>
    <w:p w14:paraId="46F7A8F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在法律法规和中国证监会允许的情况下，基金管理人与基金托管人可以各自委托</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服务机构进行基金资产估值，但不改变基金管理人与基金托管人对基金资产估值各自承担的责</w:t>
      </w:r>
      <w:r>
        <w:rPr>
          <w:rFonts w:hint="eastAsia" w:cs="宋体" w:asciiTheme="minorEastAsia" w:hAnsiTheme="minorEastAsia" w:eastAsiaTheme="minorEastAsia"/>
          <w:color w:val="auto"/>
          <w:kern w:val="0"/>
          <w:szCs w:val="21"/>
          <w:highlight w:val="none"/>
        </w:rPr>
        <w:t>任。</w:t>
      </w:r>
    </w:p>
    <w:p w14:paraId="35EDEC9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、估值错误的处理</w:t>
      </w:r>
    </w:p>
    <w:p w14:paraId="05A44F9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当基金净值发生计算错误超过基金净值0.25%时，视为估值错误。</w:t>
      </w:r>
    </w:p>
    <w:p w14:paraId="6CD0194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本合同的当事人应按照以下约定处理：</w:t>
      </w:r>
    </w:p>
    <w:p w14:paraId="20DA593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（1）估值错误类型</w:t>
      </w:r>
    </w:p>
    <w:p w14:paraId="7A78F9C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本基金运作过程中，如果由于基金管理人、基金托管人、证券交易所、</w:t>
      </w:r>
      <w:r>
        <w:rPr>
          <w:rFonts w:hint="eastAsia" w:asciiTheme="minorEastAsia" w:hAnsiTheme="minorEastAsia" w:eastAsiaTheme="minorEastAsia"/>
          <w:color w:val="auto"/>
          <w:szCs w:val="21"/>
          <w:highlight w:val="none"/>
          <w:lang w:val="en-US" w:eastAsia="zh-CN"/>
        </w:rPr>
        <w:t>私募</w:t>
      </w:r>
      <w:r>
        <w:rPr>
          <w:rFonts w:hint="eastAsia" w:asciiTheme="minorEastAsia" w:hAnsiTheme="minorEastAsia" w:eastAsiaTheme="minorEastAsia"/>
          <w:color w:val="auto"/>
          <w:szCs w:val="21"/>
          <w:highlight w:val="none"/>
        </w:rPr>
        <w:t>基金服务机构、募集机构或基金投资者自身的过错造成估值错误，导致其他当事人遭受损失的，按如下估值错误处理原则和处理程序执行。</w:t>
      </w:r>
    </w:p>
    <w:p w14:paraId="5504181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上述估值错误的主要类型包括但不限于：资料申报差错、数据传输差错、数据计算差错、系统故障差错、下达指令差错等。</w:t>
      </w:r>
    </w:p>
    <w:p w14:paraId="7CD9F82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自然灾害、突发事件、以及因技术原因引起的差错，若系同行业现有技术水平不能预见、不能避免、不能克服，则属不可抗力，由于不可抗力造成基金份额持有人的交易资料灭失或被错误处理或造成其他差错，因不可抗力原因出现差错的当事人不对其他当事人承担赔偿责任，但因该差错取得不当得利的当事人仍应负有返还不当得利的义务。</w:t>
      </w:r>
    </w:p>
    <w:p w14:paraId="3A852E1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（2）估值错误处理原则</w:t>
      </w:r>
    </w:p>
    <w:p w14:paraId="23896C4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A、如基金管理人或基金托管人发现基金资产估值违反本合同订明的估值方法、程序的规定，导致基金净值发生计算错误超过基金净值0.25%时，应立即通知对方，共同查明原因，协商解决；</w:t>
      </w:r>
    </w:p>
    <w:p w14:paraId="641ADF7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B、估值错误的责任人应当对由于该估值错误遭受损失的直接当事人的直接损失承担赔偿责任；估值错误的责任人对有关当事人的直接损失负责，不对间接损失负责，并且仅对估值错误的有关直接当事人负责，不对第三方负责；</w:t>
      </w:r>
    </w:p>
    <w:p w14:paraId="0E90D85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C、因估值错误而获得不当得利的当事人负有及时返还不当得利的义务；</w:t>
      </w:r>
    </w:p>
    <w:p w14:paraId="409F90F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D、估值错误调整采用尽量恢复至假设未发生估值错误的正确情形的方式；</w:t>
      </w:r>
    </w:p>
    <w:p w14:paraId="3E97297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E、基金管理人和基金托管人由于各自技术系统设置而产生的净值计算尾差，以基金管理人计算结果为准；</w:t>
      </w:r>
    </w:p>
    <w:p w14:paraId="41A513B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F、基金</w:t>
      </w:r>
      <w:r>
        <w:rPr>
          <w:rFonts w:asciiTheme="minorEastAsia" w:hAnsiTheme="minorEastAsia" w:eastAsiaTheme="minorEastAsia"/>
          <w:color w:val="auto"/>
          <w:szCs w:val="21"/>
          <w:highlight w:val="none"/>
        </w:rPr>
        <w:t>管理人按</w:t>
      </w:r>
      <w:r>
        <w:rPr>
          <w:rFonts w:hint="eastAsia" w:asciiTheme="minorEastAsia" w:hAnsiTheme="minorEastAsia" w:eastAsiaTheme="minorEastAsia"/>
          <w:color w:val="auto"/>
          <w:szCs w:val="21"/>
          <w:highlight w:val="none"/>
        </w:rPr>
        <w:t>本合同约定的估值方法进行估值时，</w:t>
      </w:r>
      <w:r>
        <w:rPr>
          <w:rFonts w:asciiTheme="minorEastAsia" w:hAnsiTheme="minorEastAsia" w:eastAsiaTheme="minorEastAsia"/>
          <w:color w:val="auto"/>
          <w:szCs w:val="21"/>
          <w:highlight w:val="none"/>
        </w:rPr>
        <w:t>所造成的误差不作为</w:t>
      </w:r>
      <w:r>
        <w:rPr>
          <w:rFonts w:hint="eastAsia" w:asciiTheme="minorEastAsia" w:hAnsiTheme="minorEastAsia" w:eastAsiaTheme="minorEastAsia"/>
          <w:color w:val="auto"/>
          <w:szCs w:val="21"/>
          <w:highlight w:val="none"/>
        </w:rPr>
        <w:t>基金资产估值</w:t>
      </w:r>
      <w:r>
        <w:rPr>
          <w:rFonts w:asciiTheme="minorEastAsia" w:hAnsiTheme="minorEastAsia" w:eastAsiaTheme="minorEastAsia"/>
          <w:color w:val="auto"/>
          <w:szCs w:val="21"/>
          <w:highlight w:val="none"/>
        </w:rPr>
        <w:t>错误处理</w:t>
      </w:r>
      <w:r>
        <w:rPr>
          <w:rFonts w:hint="eastAsia" w:asciiTheme="minorEastAsia" w:hAnsiTheme="minorEastAsia" w:eastAsiaTheme="minorEastAsia"/>
          <w:color w:val="auto"/>
          <w:szCs w:val="21"/>
          <w:highlight w:val="none"/>
        </w:rPr>
        <w:t>；</w:t>
      </w:r>
    </w:p>
    <w:p w14:paraId="0202DDA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G、按法律法规规定的其他原则处理估值错误。</w:t>
      </w:r>
    </w:p>
    <w:p w14:paraId="32F7B34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（3）估值错误处理程序</w:t>
      </w:r>
    </w:p>
    <w:p w14:paraId="3F8284A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估值错误被发现后，有关的当事人应当及时进行处理，处理的程序如下：</w:t>
      </w:r>
    </w:p>
    <w:p w14:paraId="50BD40E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A、基金份额净值计算出现错误时，基金管理人应当立即予以纠正，通报基金托管人，并采取合理的措施防止损失进一步扩大；</w:t>
      </w:r>
    </w:p>
    <w:p w14:paraId="58271EFA">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B、当基金净值发生计算错误超过基金净值0.25%时，查明估值错误发生的原因，根据当事人协商的方法对因估值错误造成的损失进行评估；</w:t>
      </w:r>
    </w:p>
    <w:p w14:paraId="0DD95615">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C、根据估值错误处理原则或当事人协商的方法，对估值错误进行处理；</w:t>
      </w:r>
    </w:p>
    <w:p w14:paraId="59101D77">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D</w:t>
      </w:r>
      <w:r>
        <w:rPr>
          <w:rFonts w:hint="eastAsia" w:asciiTheme="minorEastAsia" w:hAnsiTheme="minorEastAsia" w:eastAsiaTheme="minorEastAsia"/>
          <w:color w:val="auto"/>
          <w:szCs w:val="21"/>
          <w:highlight w:val="none"/>
        </w:rPr>
        <w:t>、前述内容如法律法规或监管机关另有规定的，从其规定处理。</w:t>
      </w:r>
    </w:p>
    <w:p w14:paraId="1445333E">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、暂停估值的情形</w:t>
      </w:r>
    </w:p>
    <w:p w14:paraId="1A965893">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（1）基金投资所涉及的证券交易场所遇法定节假日或因其他原因暂停营业时；</w:t>
      </w:r>
    </w:p>
    <w:p w14:paraId="4255D156">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（2）因不可抗力或其他情形致使基金管理人、基金托管人无法准确评估基金财产价值时；</w:t>
      </w:r>
    </w:p>
    <w:p w14:paraId="195A7DAD">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（3）占基金相当比例的投资品种的估值出现重大转变，而基金管理人为保障基金投资者的利益，决定延迟估值的情形；</w:t>
      </w:r>
    </w:p>
    <w:p w14:paraId="1F21E7E4">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（4）对于没有或未及时获取交易数据或行情数据、交易数据或行情数据不完整或有误时；</w:t>
      </w:r>
    </w:p>
    <w:p w14:paraId="3B01990B">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（5）中国证监会认定的其他情形。</w:t>
      </w:r>
    </w:p>
    <w:p w14:paraId="45D24F18">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14、基金份额净值的确认</w:t>
      </w:r>
    </w:p>
    <w:p w14:paraId="0A249A8D">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用于基金信息披露的基金份额净值由基金管理人负责计算，基金托管人负责进行复核。基金管理人应于每个</w:t>
      </w:r>
      <w:r>
        <w:rPr>
          <w:rFonts w:hint="eastAsia" w:asciiTheme="minorEastAsia" w:hAnsiTheme="minorEastAsia" w:eastAsiaTheme="minorEastAsia"/>
          <w:color w:val="auto"/>
          <w:szCs w:val="21"/>
          <w:highlight w:val="none"/>
        </w:rPr>
        <w:t>估值核对</w:t>
      </w:r>
      <w:r>
        <w:rPr>
          <w:rFonts w:asciiTheme="minorEastAsia" w:hAnsiTheme="minorEastAsia" w:eastAsiaTheme="minorEastAsia"/>
          <w:color w:val="auto"/>
          <w:szCs w:val="21"/>
          <w:highlight w:val="none"/>
        </w:rPr>
        <w:t>日计算</w:t>
      </w:r>
      <w:r>
        <w:rPr>
          <w:rFonts w:hint="eastAsia" w:asciiTheme="minorEastAsia" w:hAnsiTheme="minorEastAsia" w:eastAsiaTheme="minorEastAsia"/>
          <w:color w:val="auto"/>
          <w:szCs w:val="21"/>
          <w:highlight w:val="none"/>
        </w:rPr>
        <w:t>估值</w:t>
      </w:r>
      <w:r>
        <w:rPr>
          <w:rFonts w:asciiTheme="minorEastAsia" w:hAnsiTheme="minorEastAsia" w:eastAsiaTheme="minorEastAsia"/>
          <w:color w:val="auto"/>
          <w:szCs w:val="21"/>
          <w:highlight w:val="none"/>
        </w:rPr>
        <w:t>日的基金</w:t>
      </w:r>
      <w:r>
        <w:rPr>
          <w:rFonts w:hint="eastAsia" w:asciiTheme="minorEastAsia" w:hAnsiTheme="minorEastAsia" w:eastAsiaTheme="minorEastAsia"/>
          <w:color w:val="auto"/>
          <w:szCs w:val="21"/>
          <w:highlight w:val="none"/>
        </w:rPr>
        <w:t>份额</w:t>
      </w:r>
      <w:r>
        <w:rPr>
          <w:rFonts w:asciiTheme="minorEastAsia" w:hAnsiTheme="minorEastAsia" w:eastAsiaTheme="minorEastAsia"/>
          <w:color w:val="auto"/>
          <w:szCs w:val="21"/>
          <w:highlight w:val="none"/>
        </w:rPr>
        <w:t>净值并发送给基金托管人。基金托管人对</w:t>
      </w:r>
      <w:r>
        <w:rPr>
          <w:rFonts w:hint="eastAsia" w:asciiTheme="minorEastAsia" w:hAnsiTheme="minorEastAsia" w:eastAsiaTheme="minorEastAsia"/>
          <w:color w:val="auto"/>
          <w:szCs w:val="21"/>
          <w:highlight w:val="none"/>
        </w:rPr>
        <w:t>份额</w:t>
      </w:r>
      <w:r>
        <w:rPr>
          <w:rFonts w:asciiTheme="minorEastAsia" w:hAnsiTheme="minorEastAsia" w:eastAsiaTheme="minorEastAsia"/>
          <w:color w:val="auto"/>
          <w:szCs w:val="21"/>
          <w:highlight w:val="none"/>
        </w:rPr>
        <w:t>净值计算结果复核确认后发送给基金管理人</w:t>
      </w:r>
      <w:r>
        <w:rPr>
          <w:rFonts w:hint="eastAsia" w:asciiTheme="minorEastAsia" w:hAnsiTheme="minorEastAsia" w:eastAsiaTheme="minorEastAsia"/>
          <w:color w:val="auto"/>
          <w:szCs w:val="21"/>
          <w:highlight w:val="none"/>
        </w:rPr>
        <w:t>。基金份额净值</w:t>
      </w:r>
      <w:r>
        <w:rPr>
          <w:rFonts w:asciiTheme="minorEastAsia" w:hAnsiTheme="minorEastAsia" w:eastAsiaTheme="minorEastAsia"/>
          <w:color w:val="auto"/>
          <w:szCs w:val="21"/>
          <w:highlight w:val="none"/>
        </w:rPr>
        <w:t>由基金管理人</w:t>
      </w:r>
      <w:r>
        <w:rPr>
          <w:rFonts w:hint="eastAsia" w:asciiTheme="minorEastAsia" w:hAnsiTheme="minorEastAsia" w:eastAsiaTheme="minorEastAsia"/>
          <w:color w:val="auto"/>
          <w:szCs w:val="21"/>
          <w:highlight w:val="none"/>
        </w:rPr>
        <w:t>负责对投资者</w:t>
      </w:r>
      <w:r>
        <w:rPr>
          <w:rFonts w:asciiTheme="minorEastAsia" w:hAnsiTheme="minorEastAsia" w:eastAsiaTheme="minorEastAsia"/>
          <w:color w:val="auto"/>
          <w:szCs w:val="21"/>
          <w:highlight w:val="none"/>
        </w:rPr>
        <w:t>公布。</w:t>
      </w:r>
    </w:p>
    <w:p w14:paraId="128CFADE">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根据相关法规，基金会计责任方由基金管理人担任。因此，就与本基金有关的会计问题，如经相关各方在平等基础上充分讨论后，仍无法达成一致的意见，基金管理人有权按照其对基金资产净值的计算结果对外予以公布，并承担由此而产生的责任。基金托管人有权将该等情况报相关监管机构备案。</w:t>
      </w:r>
    </w:p>
    <w:p w14:paraId="11E9E795">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15、特殊情况的处理</w:t>
      </w:r>
    </w:p>
    <w:p w14:paraId="004AE492">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由于不可抗力</w:t>
      </w:r>
      <w:r>
        <w:rPr>
          <w:rFonts w:hint="eastAsia" w:asciiTheme="minorEastAsia" w:hAnsiTheme="minorEastAsia" w:eastAsiaTheme="minorEastAsia"/>
          <w:color w:val="auto"/>
          <w:szCs w:val="21"/>
          <w:highlight w:val="none"/>
        </w:rPr>
        <w:t>、系统等</w:t>
      </w:r>
      <w:r>
        <w:rPr>
          <w:rFonts w:asciiTheme="minorEastAsia" w:hAnsiTheme="minorEastAsia" w:eastAsiaTheme="minorEastAsia"/>
          <w:color w:val="auto"/>
          <w:szCs w:val="21"/>
          <w:highlight w:val="none"/>
        </w:rPr>
        <w:t>原因，或由于证券交易所</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登记结算公司</w:t>
      </w:r>
      <w:r>
        <w:rPr>
          <w:rFonts w:hint="eastAsia" w:asciiTheme="minorEastAsia" w:hAnsiTheme="minorEastAsia" w:eastAsiaTheme="minorEastAsia"/>
          <w:color w:val="auto"/>
          <w:szCs w:val="21"/>
          <w:highlight w:val="none"/>
        </w:rPr>
        <w:t>或证券经纪商</w:t>
      </w:r>
      <w:r>
        <w:rPr>
          <w:rFonts w:asciiTheme="minorEastAsia" w:hAnsiTheme="minorEastAsia" w:eastAsiaTheme="minorEastAsia"/>
          <w:color w:val="auto"/>
          <w:szCs w:val="21"/>
          <w:highlight w:val="none"/>
        </w:rPr>
        <w:t>发送的数据错误，或国家会计政策变更、市场规则变更等，基金管理人和基金托管人虽然已经</w:t>
      </w:r>
      <w:r>
        <w:rPr>
          <w:rFonts w:hint="eastAsia" w:asciiTheme="minorEastAsia" w:hAnsiTheme="minorEastAsia" w:eastAsiaTheme="minorEastAsia"/>
          <w:color w:val="auto"/>
          <w:szCs w:val="21"/>
          <w:highlight w:val="none"/>
        </w:rPr>
        <w:t>按照本合同约定的估值方法、程序</w:t>
      </w:r>
      <w:r>
        <w:rPr>
          <w:rFonts w:asciiTheme="minorEastAsia" w:hAnsiTheme="minorEastAsia" w:eastAsiaTheme="minorEastAsia"/>
          <w:color w:val="auto"/>
          <w:szCs w:val="21"/>
          <w:highlight w:val="none"/>
        </w:rPr>
        <w:t>进行检查，但未能发现错误的，由此造成的基金资产估值错误，基金管理人和基金托管人免除赔偿责任。但基金管理人应当积极采取必要的措施消除由此造成的影响。</w:t>
      </w:r>
    </w:p>
    <w:p w14:paraId="3F743D4A">
      <w:pPr>
        <w:adjustRightInd w:val="0"/>
        <w:snapToGrid w:val="0"/>
        <w:spacing w:before="93" w:beforeLines="30" w:after="93" w:afterLines="30" w:line="355"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（二）基金的会计政策</w:t>
      </w:r>
    </w:p>
    <w:p w14:paraId="15D8165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、基金管理人为本基金的基金会计责任方；</w:t>
      </w:r>
    </w:p>
    <w:p w14:paraId="5D566ED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、基金的会计年度为公历年度的</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月</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日至</w:t>
      </w:r>
      <w:r>
        <w:rPr>
          <w:rFonts w:asciiTheme="minorEastAsia" w:hAnsiTheme="minorEastAsia" w:eastAsiaTheme="minorEastAsia"/>
          <w:color w:val="auto"/>
          <w:szCs w:val="21"/>
          <w:highlight w:val="none"/>
        </w:rPr>
        <w:t>12</w:t>
      </w:r>
      <w:r>
        <w:rPr>
          <w:rFonts w:hint="eastAsia" w:asciiTheme="minorEastAsia" w:hAnsiTheme="minorEastAsia" w:eastAsiaTheme="minorEastAsia"/>
          <w:color w:val="auto"/>
          <w:szCs w:val="21"/>
          <w:highlight w:val="none"/>
        </w:rPr>
        <w:t>月</w:t>
      </w:r>
      <w:r>
        <w:rPr>
          <w:rFonts w:asciiTheme="minorEastAsia" w:hAnsiTheme="minorEastAsia" w:eastAsiaTheme="minorEastAsia"/>
          <w:color w:val="auto"/>
          <w:szCs w:val="21"/>
          <w:highlight w:val="none"/>
        </w:rPr>
        <w:t>31</w:t>
      </w:r>
      <w:r>
        <w:rPr>
          <w:rFonts w:hint="eastAsia" w:asciiTheme="minorEastAsia" w:hAnsiTheme="minorEastAsia" w:eastAsiaTheme="minorEastAsia"/>
          <w:color w:val="auto"/>
          <w:szCs w:val="21"/>
          <w:highlight w:val="none"/>
        </w:rPr>
        <w:t>日；基金首次募集的会计年度按如下原则：如果《基金合同》生效少于</w:t>
      </w: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个月，可以并入下一个会计年度；</w:t>
      </w:r>
    </w:p>
    <w:p w14:paraId="1E509E2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、基金核算以人民币为记账本位币，以人民币元为记账单位；</w:t>
      </w:r>
    </w:p>
    <w:p w14:paraId="3494195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rPr>
        <w:t>、会计核算制度执行国家有关会计制度；</w:t>
      </w:r>
    </w:p>
    <w:p w14:paraId="5236650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5</w:t>
      </w:r>
      <w:r>
        <w:rPr>
          <w:rFonts w:hint="eastAsia" w:asciiTheme="minorEastAsia" w:hAnsiTheme="minorEastAsia" w:eastAsiaTheme="minorEastAsia"/>
          <w:color w:val="auto"/>
          <w:szCs w:val="21"/>
          <w:highlight w:val="none"/>
        </w:rPr>
        <w:t>、本基金独立建账、独立核算；</w:t>
      </w:r>
    </w:p>
    <w:p w14:paraId="772441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6</w:t>
      </w:r>
      <w:r>
        <w:rPr>
          <w:rFonts w:hint="eastAsia" w:asciiTheme="minorEastAsia" w:hAnsiTheme="minorEastAsia" w:eastAsiaTheme="minorEastAsia"/>
          <w:color w:val="auto"/>
          <w:szCs w:val="21"/>
          <w:highlight w:val="none"/>
        </w:rPr>
        <w:t>、基金管理人或其委托的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服务机构保留完整的会计账目、凭证并进行日常的会计核算，编制会计报表；基金托管人定期与基金管理人就基金的会计核算、报表编制等进行核对。</w:t>
      </w:r>
    </w:p>
    <w:p w14:paraId="5836C932">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79" w:name="_Toc194741918"/>
      <w:bookmarkEnd w:id="79"/>
      <w:bookmarkStart w:id="80" w:name="_Toc110605418"/>
      <w:bookmarkStart w:id="81" w:name="_Toc5965"/>
      <w:bookmarkStart w:id="82" w:name="_Toc459392419"/>
      <w:r>
        <w:rPr>
          <w:rFonts w:hint="eastAsia" w:asciiTheme="minorEastAsia" w:hAnsiTheme="minorEastAsia" w:eastAsiaTheme="minorEastAsia"/>
          <w:b/>
          <w:color w:val="auto"/>
          <w:sz w:val="28"/>
          <w:szCs w:val="28"/>
          <w:highlight w:val="none"/>
        </w:rPr>
        <w:t>十七、基金的费用与税收</w:t>
      </w:r>
      <w:bookmarkEnd w:id="80"/>
      <w:bookmarkEnd w:id="81"/>
      <w:bookmarkEnd w:id="82"/>
    </w:p>
    <w:p w14:paraId="065A4B5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（一）基金费用的种类</w:t>
      </w:r>
    </w:p>
    <w:p w14:paraId="18F001B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1、管理费；</w:t>
      </w:r>
    </w:p>
    <w:p w14:paraId="1599B3B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2、托管费；</w:t>
      </w:r>
    </w:p>
    <w:p w14:paraId="654AEA4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3、外包服务费；</w:t>
      </w:r>
    </w:p>
    <w:p w14:paraId="781B6A5A">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4、业绩报酬；</w:t>
      </w:r>
    </w:p>
    <w:p w14:paraId="22B3380A">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color w:val="auto"/>
          <w:szCs w:val="21"/>
          <w:highlight w:val="none"/>
        </w:rPr>
        <w:t>5、销售服务费；</w:t>
      </w:r>
    </w:p>
    <w:p w14:paraId="42E8339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6</w:t>
      </w:r>
      <w:r>
        <w:rPr>
          <w:rFonts w:hint="eastAsia" w:asciiTheme="minorEastAsia" w:hAnsiTheme="minorEastAsia" w:eastAsiaTheme="minorEastAsia"/>
          <w:color w:val="auto"/>
          <w:szCs w:val="21"/>
          <w:highlight w:val="none"/>
        </w:rPr>
        <w:t>、基金的证券、期货交易费用及账户开户费用；</w:t>
      </w:r>
    </w:p>
    <w:p w14:paraId="114DCBB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7</w:t>
      </w:r>
      <w:r>
        <w:rPr>
          <w:rFonts w:hint="eastAsia" w:asciiTheme="minorEastAsia" w:hAnsiTheme="minorEastAsia" w:eastAsiaTheme="minorEastAsia"/>
          <w:color w:val="auto"/>
          <w:szCs w:val="21"/>
          <w:highlight w:val="none"/>
        </w:rPr>
        <w:t>、基金备案后与之相关的会计师费和律师费；</w:t>
      </w:r>
    </w:p>
    <w:p w14:paraId="13BC5B0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8</w:t>
      </w:r>
      <w:r>
        <w:rPr>
          <w:rFonts w:hint="eastAsia" w:asciiTheme="minorEastAsia" w:hAnsiTheme="minorEastAsia" w:eastAsiaTheme="minorEastAsia"/>
          <w:color w:val="auto"/>
          <w:szCs w:val="21"/>
          <w:highlight w:val="none"/>
        </w:rPr>
        <w:t>、基金的银行汇划费用；</w:t>
      </w:r>
    </w:p>
    <w:p w14:paraId="0C61937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9</w:t>
      </w:r>
      <w:r>
        <w:rPr>
          <w:rFonts w:hint="eastAsia" w:asciiTheme="minorEastAsia" w:hAnsiTheme="minorEastAsia" w:eastAsiaTheme="minorEastAsia"/>
          <w:color w:val="auto"/>
          <w:szCs w:val="21"/>
          <w:highlight w:val="none"/>
        </w:rPr>
        <w:t>、合同文件制作、印刷费用；</w:t>
      </w:r>
    </w:p>
    <w:p w14:paraId="4ABB2E1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10</w:t>
      </w:r>
      <w:r>
        <w:rPr>
          <w:rFonts w:hint="eastAsia" w:asciiTheme="minorEastAsia" w:hAnsiTheme="minorEastAsia" w:eastAsiaTheme="minorEastAsia"/>
          <w:color w:val="auto"/>
          <w:szCs w:val="21"/>
          <w:highlight w:val="none"/>
        </w:rPr>
        <w:t>、电子签约服务费（如有）；</w:t>
      </w:r>
    </w:p>
    <w:p w14:paraId="76511BE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1</w:t>
      </w:r>
      <w:r>
        <w:rPr>
          <w:rFonts w:hint="eastAsia" w:asciiTheme="minorEastAsia" w:hAnsiTheme="minorEastAsia" w:eastAsiaTheme="minorEastAsia"/>
          <w:color w:val="auto"/>
          <w:szCs w:val="21"/>
          <w:highlight w:val="none"/>
        </w:rPr>
        <w:t>、按照国家有关规定和本合同约定，可以在基金资产中列支的其他费用。</w:t>
      </w:r>
    </w:p>
    <w:p w14:paraId="55153ED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（二）费用计提方式、计提标准和支付方式</w:t>
      </w:r>
    </w:p>
    <w:p w14:paraId="4AD6DE7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1、管理费</w:t>
      </w:r>
    </w:p>
    <w:p w14:paraId="31621495">
      <w:pPr>
        <w:adjustRightInd w:val="0"/>
        <w:snapToGrid w:val="0"/>
        <w:spacing w:before="93" w:beforeLines="30" w:after="93" w:afterLines="30" w:line="360" w:lineRule="auto"/>
        <w:ind w:firstLine="422"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b/>
          <w:color w:val="auto"/>
          <w:szCs w:val="21"/>
          <w:highlight w:val="none"/>
        </w:rPr>
        <w:t>本基金对</w:t>
      </w:r>
      <w:r>
        <w:rPr>
          <w:rFonts w:hint="eastAsia" w:asciiTheme="minorEastAsia" w:hAnsiTheme="minorEastAsia" w:eastAsiaTheme="minorEastAsia"/>
          <w:b/>
          <w:color w:val="auto"/>
          <w:szCs w:val="21"/>
          <w:highlight w:val="none"/>
          <w:lang w:val="en-US" w:eastAsia="zh-CN"/>
        </w:rPr>
        <w:t>D</w:t>
      </w:r>
      <w:r>
        <w:rPr>
          <w:rFonts w:hint="eastAsia" w:asciiTheme="minorEastAsia" w:hAnsiTheme="minorEastAsia" w:eastAsiaTheme="minorEastAsia"/>
          <w:b/>
          <w:color w:val="auto"/>
          <w:szCs w:val="21"/>
          <w:highlight w:val="none"/>
        </w:rPr>
        <w:t>类份额不收取管理费，仅对</w:t>
      </w:r>
      <w:r>
        <w:rPr>
          <w:rFonts w:asciiTheme="minorEastAsia" w:hAnsiTheme="minorEastAsia" w:eastAsiaTheme="minorEastAsia"/>
          <w:b/>
          <w:color w:val="auto"/>
          <w:szCs w:val="21"/>
          <w:highlight w:val="none"/>
        </w:rPr>
        <w:t>A</w:t>
      </w:r>
      <w:r>
        <w:rPr>
          <w:rFonts w:hint="eastAsia" w:asciiTheme="minorEastAsia" w:hAnsiTheme="minorEastAsia" w:eastAsiaTheme="minorEastAsia"/>
          <w:b/>
          <w:color w:val="auto"/>
          <w:szCs w:val="21"/>
          <w:highlight w:val="none"/>
          <w:lang w:eastAsia="zh-CN"/>
        </w:rPr>
        <w:t>、</w:t>
      </w:r>
      <w:r>
        <w:rPr>
          <w:rFonts w:hint="eastAsia" w:asciiTheme="minorEastAsia" w:hAnsiTheme="minorEastAsia" w:eastAsiaTheme="minorEastAsia"/>
          <w:b/>
          <w:color w:val="auto"/>
          <w:szCs w:val="21"/>
          <w:highlight w:val="none"/>
          <w:lang w:val="en-US" w:eastAsia="zh-CN"/>
        </w:rPr>
        <w:t>B、C</w:t>
      </w:r>
      <w:r>
        <w:rPr>
          <w:rFonts w:hint="eastAsia" w:asciiTheme="minorEastAsia" w:hAnsiTheme="minorEastAsia" w:eastAsiaTheme="minorEastAsia"/>
          <w:b/>
          <w:color w:val="auto"/>
          <w:szCs w:val="21"/>
          <w:highlight w:val="none"/>
        </w:rPr>
        <w:t>类份额收取管理费。</w:t>
      </w:r>
    </w:p>
    <w:p w14:paraId="1D3D662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基金的年管理费率详见“基金的基本情况”章节之“基金的份额分类”。计算方法如下：</w:t>
      </w:r>
    </w:p>
    <w:p w14:paraId="5F3D4A3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H＝E×各类份额年管理费率÷N</w:t>
      </w:r>
    </w:p>
    <w:p w14:paraId="1434797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H：每日应计提的各类份额基金管理费</w:t>
      </w:r>
    </w:p>
    <w:p w14:paraId="7EF953D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E：前一自然日的各类份额基金资产净值</w:t>
      </w:r>
    </w:p>
    <w:p w14:paraId="7E81BF2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N：当年天数</w:t>
      </w:r>
    </w:p>
    <w:p w14:paraId="6186EF8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本基金的管理费自基金成立日</w:t>
      </w:r>
      <w:r>
        <w:rPr>
          <w:rFonts w:hint="eastAsia" w:ascii="宋体" w:hAnsi="宋体"/>
          <w:color w:val="auto"/>
          <w:highlight w:val="none"/>
        </w:rPr>
        <w:t>的下一个自然日</w:t>
      </w:r>
      <w:r>
        <w:rPr>
          <w:rFonts w:hint="eastAsia" w:asciiTheme="minorEastAsia" w:hAnsiTheme="minorEastAsia" w:eastAsiaTheme="minorEastAsia"/>
          <w:color w:val="auto"/>
          <w:szCs w:val="21"/>
          <w:highlight w:val="none"/>
        </w:rPr>
        <w:t>起，每日计提，按季支付给基金管理人。由基金托管人根据与基金管理人核对一致的财务数据，自动在下个自然季度起按照指定的账户路径进行资金支付，直至支付完毕，基金管理人无需再出具资金划拨指令，但应对托管资金账户的现金头寸进行管理，并自行解决由于费用自动支付可能产生的其他头寸问题。费用自动扣划后，基金管理人应进行核对，如发现数据不符，及时联系基金托管人协商解决。</w:t>
      </w:r>
    </w:p>
    <w:p w14:paraId="451C5FF1">
      <w:pPr>
        <w:adjustRightInd w:val="0"/>
        <w:snapToGrid w:val="0"/>
        <w:spacing w:before="93" w:beforeLines="30" w:after="93" w:afterLines="30" w:line="379"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管理费收款账户：</w:t>
      </w:r>
    </w:p>
    <w:p w14:paraId="0C57F7B5">
      <w:pPr>
        <w:adjustRightInd w:val="0"/>
        <w:snapToGrid w:val="0"/>
        <w:spacing w:before="93" w:beforeLines="30" w:after="93" w:afterLines="30" w:line="379"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账户名称：</w:t>
      </w:r>
      <w:r>
        <w:rPr>
          <w:rFonts w:hint="eastAsia" w:asciiTheme="minorEastAsia" w:hAnsiTheme="minorEastAsia" w:eastAsiaTheme="minorEastAsia"/>
          <w:color w:val="auto"/>
          <w:szCs w:val="21"/>
          <w:highlight w:val="none"/>
          <w:lang w:eastAsia="zh-CN"/>
        </w:rPr>
        <w:t>石云科技股份有限公司</w:t>
      </w:r>
    </w:p>
    <w:p w14:paraId="789C30D8">
      <w:pPr>
        <w:adjustRightInd w:val="0"/>
        <w:snapToGrid w:val="0"/>
        <w:spacing w:before="93" w:beforeLines="30" w:after="93" w:afterLines="30" w:line="379"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账号：</w:t>
      </w:r>
      <w:r>
        <w:rPr>
          <w:rFonts w:hint="eastAsia" w:asciiTheme="minorEastAsia" w:hAnsiTheme="minorEastAsia" w:eastAsiaTheme="minorEastAsia"/>
          <w:color w:val="auto"/>
          <w:szCs w:val="21"/>
          <w:highlight w:val="none"/>
          <w:lang w:eastAsia="zh-CN"/>
        </w:rPr>
        <w:t>8150351235100000152000</w:t>
      </w:r>
    </w:p>
    <w:p w14:paraId="3D94CAC5">
      <w:pPr>
        <w:adjustRightInd w:val="0"/>
        <w:snapToGrid w:val="0"/>
        <w:spacing w:before="93" w:beforeLines="30" w:after="93" w:afterLines="30" w:line="379"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开户银行全称：浙江泰隆商业银行股份有限公司上海浦东支行</w:t>
      </w:r>
      <w:r>
        <w:rPr>
          <w:rFonts w:asciiTheme="minorEastAsia" w:hAnsiTheme="minorEastAsia" w:eastAsiaTheme="minorEastAsia"/>
          <w:color w:val="auto"/>
          <w:szCs w:val="21"/>
          <w:highlight w:val="none"/>
        </w:rPr>
        <w:t xml:space="preserve"> </w:t>
      </w:r>
    </w:p>
    <w:p w14:paraId="4F60BC8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2、托管费</w:t>
      </w:r>
    </w:p>
    <w:p w14:paraId="7FD29B31">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本基金托管费计提时不区分基金份额类别，为免歧义，计算公式中基金资产净值为本基金资产总值减去负债后的价值，非子类别资产净值。</w:t>
      </w:r>
    </w:p>
    <w:p w14:paraId="704FBD8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基金的年托管费率为</w:t>
      </w:r>
      <w:r>
        <w:rPr>
          <w:rFonts w:asciiTheme="minorEastAsia" w:hAnsiTheme="minorEastAsia" w:eastAsiaTheme="minorEastAsia"/>
          <w:color w:val="auto"/>
          <w:szCs w:val="21"/>
          <w:highlight w:val="none"/>
        </w:rPr>
        <w:t>0.0</w:t>
      </w:r>
      <w:r>
        <w:rPr>
          <w:rFonts w:hint="eastAsia" w:asciiTheme="minorEastAsia" w:hAnsiTheme="minorEastAsia" w:eastAsiaTheme="minorEastAsia"/>
          <w:color w:val="auto"/>
          <w:szCs w:val="21"/>
          <w:highlight w:val="none"/>
          <w:lang w:val="en-US" w:eastAsia="zh-CN"/>
        </w:rPr>
        <w:t>3</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。计算方法如下：</w:t>
      </w:r>
    </w:p>
    <w:p w14:paraId="4359337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H＝E×</w:t>
      </w:r>
      <w:r>
        <w:rPr>
          <w:rFonts w:asciiTheme="minorEastAsia" w:hAnsiTheme="minorEastAsia" w:eastAsiaTheme="minorEastAsia"/>
          <w:color w:val="auto"/>
          <w:szCs w:val="21"/>
          <w:highlight w:val="none"/>
        </w:rPr>
        <w:t>0.0</w:t>
      </w:r>
      <w:r>
        <w:rPr>
          <w:rFonts w:hint="eastAsia" w:asciiTheme="minorEastAsia" w:hAnsiTheme="minorEastAsia" w:eastAsiaTheme="minorEastAsia"/>
          <w:color w:val="auto"/>
          <w:szCs w:val="21"/>
          <w:highlight w:val="none"/>
          <w:lang w:val="en-US" w:eastAsia="zh-CN"/>
        </w:rPr>
        <w:t>3</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÷N</w:t>
      </w:r>
    </w:p>
    <w:p w14:paraId="569CD0D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H：每日应计提的托管费</w:t>
      </w:r>
    </w:p>
    <w:p w14:paraId="4B1216D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E：前一自然日的基金资产净值</w:t>
      </w:r>
    </w:p>
    <w:p w14:paraId="6660617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N：当年天数</w:t>
      </w:r>
    </w:p>
    <w:p w14:paraId="2689DA3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本基金的托管费自基金成立日</w:t>
      </w:r>
      <w:r>
        <w:rPr>
          <w:rFonts w:hint="eastAsia" w:ascii="宋体" w:hAnsi="宋体"/>
          <w:color w:val="auto"/>
          <w:highlight w:val="none"/>
        </w:rPr>
        <w:t>的下一个自然日</w:t>
      </w:r>
      <w:r>
        <w:rPr>
          <w:rFonts w:hint="eastAsia" w:asciiTheme="minorEastAsia" w:hAnsiTheme="minorEastAsia" w:eastAsiaTheme="minorEastAsia"/>
          <w:color w:val="auto"/>
          <w:szCs w:val="21"/>
          <w:highlight w:val="none"/>
        </w:rPr>
        <w:t>起，每日计提，按季支付给基金托管人。由基金托管人根据与基金管理人核对一致的财务数据，自动在下个自然季度起按照指定的账户路径进行资金支付，直至支付完毕，基金管理人无需再出具资金划拨指令，但应对托管资金账户的现金头寸进行管理，并自行解决由于费用自动支付可能产生的其他头寸问题。费用自动扣划后，基金管理人应进行核对，如发现数据不符，及时联系基金托管人协商解决。</w:t>
      </w:r>
    </w:p>
    <w:p w14:paraId="2CDCAC8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托管费收款账户：</w:t>
      </w:r>
    </w:p>
    <w:p w14:paraId="1C8275AF">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账户名称：</w:t>
      </w:r>
      <w:r>
        <w:rPr>
          <w:rFonts w:hint="eastAsia" w:asciiTheme="minorEastAsia" w:hAnsiTheme="minorEastAsia" w:eastAsiaTheme="minorEastAsia"/>
          <w:color w:val="auto"/>
          <w:szCs w:val="21"/>
          <w:highlight w:val="none"/>
          <w:lang w:eastAsia="zh-CN"/>
        </w:rPr>
        <w:t>招商证券股份有限公司</w:t>
      </w:r>
    </w:p>
    <w:p w14:paraId="6EF5E7AE">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账号：</w:t>
      </w:r>
      <w:r>
        <w:rPr>
          <w:rFonts w:hint="eastAsia" w:asciiTheme="minorEastAsia" w:hAnsiTheme="minorEastAsia" w:eastAsiaTheme="minorEastAsia"/>
          <w:color w:val="auto"/>
          <w:szCs w:val="21"/>
          <w:highlight w:val="none"/>
          <w:lang w:eastAsia="zh-CN"/>
        </w:rPr>
        <w:t>820000026014786222</w:t>
      </w:r>
    </w:p>
    <w:p w14:paraId="7D106AF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开户银行全称：兴业银行福州东街支行</w:t>
      </w:r>
    </w:p>
    <w:p w14:paraId="210D8B01">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大额支付号：</w:t>
      </w:r>
      <w:r>
        <w:rPr>
          <w:rFonts w:hint="eastAsia" w:asciiTheme="minorEastAsia" w:hAnsiTheme="minorEastAsia" w:eastAsiaTheme="minorEastAsia"/>
          <w:color w:val="auto"/>
          <w:szCs w:val="21"/>
          <w:highlight w:val="none"/>
          <w:lang w:eastAsia="zh-CN"/>
        </w:rPr>
        <w:t>89545201020</w:t>
      </w:r>
    </w:p>
    <w:p w14:paraId="7FA0614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3、外包服务费</w:t>
      </w:r>
    </w:p>
    <w:p w14:paraId="76220792">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本基金外包服务费计提时不区分基金份额类别，为免歧义，计算公式中基金资产净值为本基金资产总值减去负债后的价值，非子类别资产净值。</w:t>
      </w:r>
    </w:p>
    <w:p w14:paraId="71AE4BB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本基金份额登记、基金估值核算等服务费用，年费率为</w:t>
      </w:r>
      <w:r>
        <w:rPr>
          <w:rFonts w:asciiTheme="minorEastAsia" w:hAnsiTheme="minorEastAsia" w:eastAsiaTheme="minorEastAsia"/>
          <w:color w:val="auto"/>
          <w:szCs w:val="21"/>
          <w:highlight w:val="none"/>
        </w:rPr>
        <w:t>0.0</w:t>
      </w:r>
      <w:r>
        <w:rPr>
          <w:rFonts w:hint="eastAsia" w:asciiTheme="minorEastAsia" w:hAnsiTheme="minorEastAsia" w:eastAsiaTheme="minorEastAsia"/>
          <w:color w:val="auto"/>
          <w:szCs w:val="21"/>
          <w:highlight w:val="none"/>
          <w:lang w:val="en-US" w:eastAsia="zh-CN"/>
        </w:rPr>
        <w:t>1</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。计算方法如下：</w:t>
      </w:r>
    </w:p>
    <w:p w14:paraId="2BEE1C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H=E×0.0</w:t>
      </w:r>
      <w:r>
        <w:rPr>
          <w:rFonts w:hint="eastAsia" w:asciiTheme="minorEastAsia" w:hAnsiTheme="minorEastAsia" w:eastAsiaTheme="minorEastAsia"/>
          <w:color w:val="auto"/>
          <w:szCs w:val="21"/>
          <w:highlight w:val="none"/>
          <w:lang w:val="en-US" w:eastAsia="zh-CN"/>
        </w:rPr>
        <w:t>1</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N</w:t>
      </w:r>
    </w:p>
    <w:p w14:paraId="4548BC8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H</w:t>
      </w:r>
      <w:r>
        <w:rPr>
          <w:rFonts w:hint="eastAsia" w:asciiTheme="minorEastAsia" w:hAnsiTheme="minorEastAsia" w:eastAsiaTheme="minorEastAsia"/>
          <w:color w:val="auto"/>
          <w:szCs w:val="21"/>
          <w:highlight w:val="none"/>
        </w:rPr>
        <w:t>：每日应计提的外包服务费</w:t>
      </w:r>
    </w:p>
    <w:p w14:paraId="19CCE84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E</w:t>
      </w:r>
      <w:r>
        <w:rPr>
          <w:rFonts w:hint="eastAsia" w:asciiTheme="minorEastAsia" w:hAnsiTheme="minorEastAsia" w:eastAsiaTheme="minorEastAsia"/>
          <w:color w:val="auto"/>
          <w:szCs w:val="21"/>
          <w:highlight w:val="none"/>
        </w:rPr>
        <w:t>：前一日基金资产净值</w:t>
      </w:r>
    </w:p>
    <w:p w14:paraId="5ECC1B93">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N：当年天数</w:t>
      </w:r>
    </w:p>
    <w:p w14:paraId="6644DBFF">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本基金的外包服务费自基金成立日</w:t>
      </w:r>
      <w:r>
        <w:rPr>
          <w:rFonts w:hint="eastAsia" w:ascii="宋体" w:hAnsi="宋体"/>
          <w:color w:val="auto"/>
          <w:highlight w:val="none"/>
        </w:rPr>
        <w:t>的下一个自然日</w:t>
      </w:r>
      <w:r>
        <w:rPr>
          <w:rFonts w:hint="eastAsia" w:asciiTheme="minorEastAsia" w:hAnsiTheme="minorEastAsia" w:eastAsiaTheme="minorEastAsia"/>
          <w:color w:val="auto"/>
          <w:szCs w:val="21"/>
          <w:highlight w:val="none"/>
        </w:rPr>
        <w:t>起，每日计提，按季支付给</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由基金托管人根据与基金管理人核对一致的财务数据，自动在下个自然季度起按照指定的账户路径进行资金支付，直至支付完毕，基金管理人无需再出具资金划拨指令，但应对托管资金账户的现金头寸进行管理，并自行解决由于费用自动支付可能产生的其他头寸问题。费用自动扣划后，基金管理人应进行核对，如发现数据不符，及时联系基金托管人协商解决。</w:t>
      </w:r>
    </w:p>
    <w:p w14:paraId="1840B00D">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外包服务</w:t>
      </w:r>
      <w:r>
        <w:rPr>
          <w:rFonts w:asciiTheme="minorEastAsia" w:hAnsiTheme="minorEastAsia" w:eastAsiaTheme="minorEastAsia"/>
          <w:color w:val="auto"/>
          <w:szCs w:val="21"/>
          <w:highlight w:val="none"/>
        </w:rPr>
        <w:t>费收费账户</w:t>
      </w:r>
    </w:p>
    <w:p w14:paraId="25C69843">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账户名称：兴业证券股份有限公司</w:t>
      </w:r>
    </w:p>
    <w:p w14:paraId="5036A3DB">
      <w:pPr>
        <w:adjustRightInd w:val="0"/>
        <w:snapToGrid w:val="0"/>
        <w:spacing w:before="93" w:beforeLines="30" w:after="93" w:afterLines="30" w:line="372"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账号：</w:t>
      </w:r>
      <w:r>
        <w:rPr>
          <w:rFonts w:hint="eastAsia" w:asciiTheme="minorEastAsia" w:hAnsiTheme="minorEastAsia" w:eastAsiaTheme="minorEastAsia"/>
          <w:color w:val="auto"/>
          <w:szCs w:val="21"/>
          <w:highlight w:val="none"/>
          <w:lang w:eastAsia="zh-CN"/>
        </w:rPr>
        <w:t>815035123300152000</w:t>
      </w:r>
    </w:p>
    <w:p w14:paraId="51DF12F7">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开户银行全称：兴业银行福州湖东支行</w:t>
      </w:r>
    </w:p>
    <w:p w14:paraId="4CB0A707">
      <w:pPr>
        <w:numPr>
          <w:ilvl w:val="0"/>
          <w:numId w:val="3"/>
        </w:numPr>
        <w:adjustRightInd w:val="0"/>
        <w:snapToGrid w:val="0"/>
        <w:spacing w:before="93" w:beforeLines="30" w:after="93" w:afterLines="30" w:line="372"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基金管理人的业绩报酬</w:t>
      </w:r>
    </w:p>
    <w:p w14:paraId="29C0D9D0">
      <w:pPr>
        <w:adjustRightInd w:val="0"/>
        <w:snapToGrid w:val="0"/>
        <w:spacing w:before="30" w:beforeLines="-2147483648" w:after="30" w:afterLines="-2147483648" w:line="360" w:lineRule="auto"/>
        <w:ind w:firstLine="420" w:firstLineChars="200"/>
        <w:rPr>
          <w:rFonts w:hint="default"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rPr>
        <w:t>本基金对</w:t>
      </w:r>
      <w:r>
        <w:rPr>
          <w:rFonts w:hint="eastAsia" w:asciiTheme="minorEastAsia" w:hAnsiTheme="minorEastAsia" w:eastAsiaTheme="minorEastAsia"/>
          <w:color w:val="auto"/>
          <w:szCs w:val="21"/>
          <w:highlight w:val="none"/>
          <w:lang w:val="en-US" w:eastAsia="zh-CN"/>
        </w:rPr>
        <w:t>D</w:t>
      </w:r>
      <w:r>
        <w:rPr>
          <w:rFonts w:hint="eastAsia" w:asciiTheme="minorEastAsia" w:hAnsiTheme="minorEastAsia" w:eastAsiaTheme="minorEastAsia"/>
          <w:color w:val="auto"/>
          <w:szCs w:val="21"/>
          <w:highlight w:val="none"/>
        </w:rPr>
        <w:t>类份额不提取业绩报酬，仅对</w:t>
      </w: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B、C</w:t>
      </w:r>
      <w:r>
        <w:rPr>
          <w:rFonts w:hint="eastAsia" w:asciiTheme="minorEastAsia" w:hAnsiTheme="minorEastAsia" w:eastAsiaTheme="minorEastAsia"/>
          <w:color w:val="auto"/>
          <w:szCs w:val="21"/>
          <w:highlight w:val="none"/>
        </w:rPr>
        <w:t>类份额提取业绩报酬（如无特别说明，本“业绩报酬”项下计提业绩报酬的“基金份额持有人”均指“</w:t>
      </w: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rPr>
        <w:t>类</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B类和C类</w:t>
      </w:r>
      <w:r>
        <w:rPr>
          <w:rFonts w:hint="eastAsia" w:asciiTheme="minorEastAsia" w:hAnsiTheme="minorEastAsia" w:eastAsiaTheme="minorEastAsia"/>
          <w:color w:val="auto"/>
          <w:szCs w:val="21"/>
          <w:highlight w:val="none"/>
        </w:rPr>
        <w:t>基金份额持有人”，“基金份额”均指“</w:t>
      </w:r>
      <w:r>
        <w:rPr>
          <w:rFonts w:asciiTheme="minorEastAsia" w:hAnsiTheme="minorEastAsia" w:eastAsiaTheme="minorEastAsia"/>
          <w:color w:val="auto"/>
          <w:szCs w:val="21"/>
          <w:highlight w:val="none"/>
        </w:rPr>
        <w:t>A</w:t>
      </w:r>
      <w:r>
        <w:rPr>
          <w:rFonts w:hint="eastAsia" w:asciiTheme="minorEastAsia" w:hAnsiTheme="minorEastAsia" w:eastAsiaTheme="minorEastAsia"/>
          <w:color w:val="auto"/>
          <w:szCs w:val="21"/>
          <w:highlight w:val="none"/>
        </w:rPr>
        <w:t>类</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B类和C类</w:t>
      </w:r>
      <w:r>
        <w:rPr>
          <w:rFonts w:hint="eastAsia" w:asciiTheme="minorEastAsia" w:hAnsiTheme="minorEastAsia" w:eastAsiaTheme="minorEastAsia"/>
          <w:color w:val="auto"/>
          <w:szCs w:val="21"/>
          <w:highlight w:val="none"/>
        </w:rPr>
        <w:t>基金份额”），“基金份额累计净值”是指“对应类别基金份额累计净值”,如该日无“对应类别基金份额累计净值”，则为“基金份额累计净值”。业绩报酬的计提方式如下：</w:t>
      </w:r>
    </w:p>
    <w:p w14:paraId="097DAADD">
      <w:pPr>
        <w:numPr>
          <w:ilvl w:val="0"/>
          <w:numId w:val="4"/>
        </w:numPr>
        <w:adjustRightInd w:val="0"/>
        <w:snapToGrid w:val="0"/>
        <w:spacing w:line="360" w:lineRule="auto"/>
        <w:outlineLvl w:val="3"/>
        <w:rPr>
          <w:rFonts w:ascii="宋体" w:hAnsi="宋体"/>
          <w:color w:val="auto"/>
          <w:highlight w:val="none"/>
        </w:rPr>
      </w:pPr>
      <w:bookmarkStart w:id="83" w:name="_Toc25115"/>
      <w:r>
        <w:rPr>
          <w:rFonts w:hint="eastAsia" w:ascii="宋体" w:hAnsi="宋体"/>
          <w:color w:val="auto"/>
          <w:highlight w:val="none"/>
        </w:rPr>
        <w:t>业绩报酬计提原则</w:t>
      </w:r>
    </w:p>
    <w:p w14:paraId="5C195811">
      <w:pPr>
        <w:widowControl/>
        <w:adjustRightInd w:val="0"/>
        <w:snapToGrid w:val="0"/>
        <w:spacing w:line="360" w:lineRule="auto"/>
        <w:ind w:firstLine="420" w:firstLineChars="200"/>
        <w:rPr>
          <w:rFonts w:ascii="宋体" w:hAnsi="宋体"/>
          <w:color w:val="auto"/>
          <w:szCs w:val="24"/>
          <w:highlight w:val="none"/>
        </w:rPr>
      </w:pPr>
      <w:r>
        <w:rPr>
          <w:rFonts w:hint="eastAsia" w:ascii="宋体" w:hAnsi="宋体"/>
          <w:color w:val="auto"/>
          <w:kern w:val="0"/>
          <w:szCs w:val="24"/>
          <w:highlight w:val="none"/>
        </w:rPr>
        <w:t>符合业绩报酬计提条件时，在本基金业绩报酬基准日（基金份额持有人赎回申请日、本基金清算日、</w:t>
      </w:r>
      <w:r>
        <w:rPr>
          <w:rFonts w:hint="eastAsia" w:ascii="宋体" w:hAnsi="宋体"/>
          <w:color w:val="auto"/>
          <w:kern w:val="0"/>
          <w:szCs w:val="24"/>
          <w:highlight w:val="none"/>
          <w:lang w:val="en-US" w:eastAsia="zh-CN"/>
        </w:rPr>
        <w:t>分红</w:t>
      </w:r>
      <w:r>
        <w:rPr>
          <w:rFonts w:hint="eastAsia" w:ascii="宋体" w:hAnsi="宋体"/>
          <w:color w:val="auto"/>
          <w:kern w:val="0"/>
          <w:szCs w:val="24"/>
          <w:highlight w:val="none"/>
        </w:rPr>
        <w:t>权益登记日）采用“年化收益率”法计提业绩报酬。实际发生业绩报酬计提的基准日为业绩报酬计提日。</w:t>
      </w:r>
    </w:p>
    <w:p w14:paraId="10DFC0DB">
      <w:pPr>
        <w:widowControl/>
        <w:adjustRightInd w:val="0"/>
        <w:snapToGrid w:val="0"/>
        <w:spacing w:line="360" w:lineRule="auto"/>
        <w:ind w:firstLine="420" w:firstLineChars="200"/>
        <w:rPr>
          <w:rFonts w:ascii="宋体" w:hAnsi="宋体"/>
          <w:color w:val="auto"/>
          <w:szCs w:val="24"/>
          <w:highlight w:val="none"/>
        </w:rPr>
      </w:pPr>
      <w:r>
        <w:rPr>
          <w:rFonts w:hint="eastAsia" w:ascii="宋体" w:hAnsi="宋体"/>
          <w:color w:val="auto"/>
          <w:highlight w:val="none"/>
        </w:rPr>
        <w:t>本基金连续两次计提业绩报酬的间隔期不得短于6个月，基金份额持有人赎回基金份额、本基金清算、以及合同约定的其他业绩报酬计提基准日遇非交易日顺延的情况不受前述间隔期限制。</w:t>
      </w:r>
    </w:p>
    <w:p w14:paraId="3B3024FC">
      <w:pPr>
        <w:numPr>
          <w:ilvl w:val="0"/>
          <w:numId w:val="4"/>
        </w:numPr>
        <w:adjustRightInd w:val="0"/>
        <w:snapToGrid w:val="0"/>
        <w:spacing w:line="360" w:lineRule="auto"/>
        <w:outlineLvl w:val="3"/>
        <w:rPr>
          <w:rFonts w:ascii="宋体" w:hAnsi="宋体"/>
          <w:color w:val="auto"/>
          <w:highlight w:val="none"/>
        </w:rPr>
      </w:pPr>
      <w:r>
        <w:rPr>
          <w:rFonts w:hint="eastAsia" w:ascii="宋体" w:hAnsi="宋体"/>
          <w:color w:val="auto"/>
          <w:highlight w:val="none"/>
        </w:rPr>
        <w:t>业绩报酬计提方法</w:t>
      </w:r>
    </w:p>
    <w:p w14:paraId="1DEDC8AF">
      <w:pPr>
        <w:widowControl/>
        <w:adjustRightInd w:val="0"/>
        <w:snapToGrid w:val="0"/>
        <w:spacing w:line="360" w:lineRule="auto"/>
        <w:ind w:firstLine="420" w:firstLineChars="200"/>
        <w:rPr>
          <w:rFonts w:ascii="宋体" w:hAnsi="宋体"/>
          <w:b/>
          <w:color w:val="auto"/>
          <w:szCs w:val="24"/>
          <w:highlight w:val="none"/>
        </w:rPr>
      </w:pPr>
      <w:r>
        <w:rPr>
          <w:rFonts w:hint="eastAsia" w:ascii="宋体" w:hAnsi="宋体"/>
          <w:color w:val="auto"/>
          <w:szCs w:val="24"/>
          <w:highlight w:val="none"/>
        </w:rPr>
        <w:t>在业绩报酬计提基准日（</w:t>
      </w:r>
      <w:r>
        <w:rPr>
          <w:rFonts w:hint="eastAsia" w:ascii="宋体" w:hAnsi="宋体"/>
          <w:color w:val="auto"/>
          <w:kern w:val="0"/>
          <w:szCs w:val="24"/>
          <w:highlight w:val="none"/>
        </w:rPr>
        <w:t>基金份额持有人赎回申请日、本基金清算日、</w:t>
      </w:r>
      <w:r>
        <w:rPr>
          <w:rFonts w:hint="eastAsia" w:ascii="宋体" w:hAnsi="宋体"/>
          <w:color w:val="auto"/>
          <w:kern w:val="0"/>
          <w:szCs w:val="24"/>
          <w:highlight w:val="none"/>
          <w:lang w:val="en-US" w:eastAsia="zh-CN"/>
        </w:rPr>
        <w:t>分红</w:t>
      </w:r>
      <w:r>
        <w:rPr>
          <w:rFonts w:hint="eastAsia" w:ascii="宋体" w:hAnsi="宋体"/>
          <w:color w:val="auto"/>
          <w:kern w:val="0"/>
          <w:szCs w:val="24"/>
          <w:highlight w:val="none"/>
        </w:rPr>
        <w:t>权益登记日</w:t>
      </w:r>
      <w:r>
        <w:rPr>
          <w:rFonts w:hint="eastAsia" w:ascii="宋体" w:hAnsi="宋体"/>
          <w:color w:val="auto"/>
          <w:szCs w:val="24"/>
          <w:highlight w:val="none"/>
        </w:rPr>
        <w:t>），当且仅当单个基金份额持有人单笔投资收益r大于0%，并且单个基金份额持有人单笔投资相对于同期</w:t>
      </w:r>
      <w:r>
        <w:rPr>
          <w:rFonts w:hint="eastAsia" w:ascii="宋体" w:hAnsi="宋体" w:cs="宋体"/>
          <w:bCs/>
          <w:color w:val="auto"/>
          <w:kern w:val="0"/>
          <w:highlight w:val="none"/>
        </w:rPr>
        <w:t>中证500</w:t>
      </w:r>
      <w:r>
        <w:rPr>
          <w:rFonts w:hint="eastAsia" w:ascii="宋体" w:hAnsi="宋体"/>
          <w:color w:val="auto"/>
          <w:szCs w:val="24"/>
          <w:highlight w:val="none"/>
        </w:rPr>
        <w:t>指数（基准指数代码：【</w:t>
      </w:r>
      <w:r>
        <w:rPr>
          <w:rFonts w:hint="eastAsia" w:ascii="宋体" w:hAnsi="宋体" w:cs="宋体"/>
          <w:bCs/>
          <w:color w:val="auto"/>
          <w:kern w:val="0"/>
          <w:highlight w:val="none"/>
        </w:rPr>
        <w:t>000905</w:t>
      </w:r>
      <w:r>
        <w:rPr>
          <w:rFonts w:hint="eastAsia" w:ascii="宋体" w:hAnsi="宋体"/>
          <w:color w:val="auto"/>
          <w:szCs w:val="24"/>
          <w:highlight w:val="none"/>
        </w:rPr>
        <w:t>】）的超额年化收益率Re大于</w:t>
      </w:r>
      <w:r>
        <w:rPr>
          <w:rFonts w:ascii="宋体" w:hAnsi="宋体"/>
          <w:color w:val="auto"/>
          <w:szCs w:val="24"/>
          <w:highlight w:val="none"/>
        </w:rPr>
        <w:t>0</w:t>
      </w:r>
      <w:r>
        <w:rPr>
          <w:rFonts w:hint="eastAsia" w:ascii="宋体" w:hAnsi="宋体"/>
          <w:color w:val="auto"/>
          <w:szCs w:val="24"/>
          <w:highlight w:val="none"/>
        </w:rPr>
        <w:t>%时（Re =同期基金份额年化收益率–同期中证500指数年化收益率（收盘价计），管理人可按照超额年化收益率Re的</w:t>
      </w:r>
      <w:r>
        <w:rPr>
          <w:rFonts w:ascii="宋体" w:hAnsi="宋体"/>
          <w:color w:val="auto"/>
          <w:szCs w:val="24"/>
          <w:highlight w:val="none"/>
        </w:rPr>
        <w:t>20%</w:t>
      </w:r>
      <w:r>
        <w:rPr>
          <w:rFonts w:hint="eastAsia" w:ascii="宋体" w:hAnsi="宋体"/>
          <w:color w:val="auto"/>
          <w:szCs w:val="24"/>
          <w:highlight w:val="none"/>
        </w:rPr>
        <w:t>计提业绩报酬，</w:t>
      </w:r>
      <w:r>
        <w:rPr>
          <w:rFonts w:hint="eastAsia" w:ascii="宋体" w:hAnsi="宋体"/>
          <w:b/>
          <w:color w:val="auto"/>
          <w:szCs w:val="24"/>
          <w:highlight w:val="none"/>
        </w:rPr>
        <w:t>实际提取值以期间单笔份额对应的盈利部分为限。</w:t>
      </w:r>
    </w:p>
    <w:p w14:paraId="2A6B478B">
      <w:pPr>
        <w:pStyle w:val="18"/>
        <w:adjustRightInd w:val="0"/>
        <w:snapToGrid w:val="0"/>
        <w:spacing w:line="360" w:lineRule="auto"/>
        <w:ind w:firstLine="480"/>
        <w:rPr>
          <w:rFonts w:ascii="宋体" w:hAnsi="宋体"/>
          <w:color w:val="auto"/>
          <w:sz w:val="24"/>
          <w:szCs w:val="24"/>
          <w:highlight w:val="none"/>
        </w:rPr>
      </w:pPr>
      <w:r>
        <w:rPr>
          <w:rFonts w:hint="eastAsia" w:ascii="宋体" w:hAnsi="宋体"/>
          <w:color w:val="auto"/>
          <w:sz w:val="24"/>
          <w:szCs w:val="24"/>
          <w:highlight w:val="none"/>
        </w:rPr>
        <w:t>业绩报酬（R）的具体计算方法如下：</w:t>
      </w:r>
    </w:p>
    <w:p w14:paraId="553377EE">
      <w:pPr>
        <w:pStyle w:val="18"/>
        <w:adjustRightInd w:val="0"/>
        <w:snapToGrid w:val="0"/>
        <w:spacing w:line="360" w:lineRule="auto"/>
        <w:jc w:val="center"/>
        <w:rPr>
          <w:rFonts w:ascii="宋体" w:hAnsi="宋体"/>
          <w:color w:val="auto"/>
          <w:sz w:val="24"/>
          <w:szCs w:val="24"/>
          <w:highlight w:val="none"/>
        </w:rPr>
      </w:pPr>
      <m:oMath>
        <m:r>
          <m:rPr/>
          <w:rPr>
            <w:rFonts w:hint="eastAsia" w:ascii="Cambria Math" w:hAnsi="Cambria Math"/>
            <w:color w:val="auto"/>
            <w:szCs w:val="24"/>
            <w:highlight w:val="none"/>
          </w:rPr>
          <m:t>r</m:t>
        </m:r>
        <m:r>
          <m:rPr>
            <m:sty m:val="p"/>
          </m:rPr>
          <w:rPr>
            <w:rFonts w:hint="eastAsia" w:ascii="Cambria Math" w:hAnsi="Cambria Math"/>
            <w:color w:val="auto"/>
            <w:szCs w:val="24"/>
            <w:highlight w:val="none"/>
          </w:rPr>
          <m:t>=</m:t>
        </m:r>
      </m:oMath>
      <w:r>
        <w:rPr>
          <w:rFonts w:ascii="宋体" w:hAnsi="宋体"/>
          <w:color w:val="auto"/>
          <w:sz w:val="24"/>
          <w:szCs w:val="24"/>
          <w:highlight w:val="none"/>
        </w:rPr>
        <w:t xml:space="preserve"> </w:t>
      </w:r>
      <w:r>
        <w:rPr>
          <w:rFonts w:hint="eastAsia" w:ascii="宋体" w:hAnsi="宋体"/>
          <w:color w:val="auto"/>
          <w:sz w:val="24"/>
          <w:szCs w:val="24"/>
          <w:highlight w:val="none"/>
        </w:rPr>
        <w:t>同期客户每笔份额年化收益率，</w:t>
      </w:r>
    </w:p>
    <w:p w14:paraId="32E2E228">
      <w:pPr>
        <w:pStyle w:val="18"/>
        <w:adjustRightInd w:val="0"/>
        <w:snapToGrid w:val="0"/>
        <w:spacing w:line="360" w:lineRule="auto"/>
        <w:jc w:val="center"/>
        <w:rPr>
          <w:rFonts w:ascii="宋体" w:hAnsi="宋体"/>
          <w:color w:val="auto"/>
          <w:sz w:val="24"/>
          <w:szCs w:val="24"/>
          <w:highlight w:val="none"/>
        </w:rPr>
      </w:pPr>
      <m:oMathPara>
        <m:oMath>
          <m:r>
            <m:rPr>
              <m:sty m:val="p"/>
            </m:rPr>
            <w:rPr>
              <w:rFonts w:ascii="Cambria Math" w:hAnsi="Cambria Math"/>
              <w:color w:val="auto"/>
              <w:szCs w:val="24"/>
              <w:highlight w:val="none"/>
            </w:rPr>
            <m:t>r=</m:t>
          </m:r>
          <m:f>
            <m:fPr>
              <m:ctrlPr>
                <w:rPr>
                  <w:rFonts w:ascii="Cambria Math" w:hAnsi="Cambria Math"/>
                  <w:color w:val="auto"/>
                  <w:szCs w:val="24"/>
                  <w:highlight w:val="none"/>
                </w:rPr>
              </m:ctrlPr>
            </m:fPr>
            <m:num>
              <m:sSub>
                <m:sSubPr>
                  <m:ctrlPr>
                    <w:rPr>
                      <w:rFonts w:ascii="Cambria Math" w:hAnsi="Cambria Math"/>
                      <w:color w:val="auto"/>
                      <w:szCs w:val="24"/>
                      <w:highlight w:val="none"/>
                    </w:rPr>
                  </m:ctrlPr>
                </m:sSubPr>
                <m:e>
                  <m:r>
                    <m:rPr>
                      <m:sty m:val="p"/>
                    </m:rPr>
                    <w:rPr>
                      <w:rFonts w:ascii="Cambria Math" w:hAnsi="Cambria Math"/>
                      <w:color w:val="auto"/>
                      <w:szCs w:val="24"/>
                      <w:highlight w:val="none"/>
                    </w:rPr>
                    <m:t>C</m:t>
                  </m:r>
                  <m:ctrlPr>
                    <w:rPr>
                      <w:rFonts w:ascii="Cambria Math" w:hAnsi="Cambria Math"/>
                      <w:color w:val="auto"/>
                      <w:szCs w:val="24"/>
                      <w:highlight w:val="none"/>
                    </w:rPr>
                  </m:ctrlPr>
                </m:e>
                <m:sub>
                  <m:r>
                    <m:rPr>
                      <m:sty m:val="p"/>
                    </m:rPr>
                    <w:rPr>
                      <w:rFonts w:ascii="Cambria Math" w:hAnsi="Cambria Math"/>
                      <w:color w:val="auto"/>
                      <w:szCs w:val="24"/>
                      <w:highlight w:val="none"/>
                    </w:rPr>
                    <m:t>T</m:t>
                  </m:r>
                  <m:ctrlPr>
                    <w:rPr>
                      <w:rFonts w:ascii="Cambria Math" w:hAnsi="Cambria Math"/>
                      <w:color w:val="auto"/>
                      <w:szCs w:val="24"/>
                      <w:highlight w:val="none"/>
                    </w:rPr>
                  </m:ctrlPr>
                </m:sub>
              </m:sSub>
              <m:r>
                <m:rPr>
                  <m:sty m:val="p"/>
                </m:rPr>
                <w:rPr>
                  <w:rFonts w:hint="eastAsia" w:ascii="Cambria Math" w:hAnsi="Cambria Math" w:eastAsia="微软雅黑" w:cs="微软雅黑"/>
                  <w:color w:val="auto"/>
                  <w:szCs w:val="24"/>
                  <w:highlight w:val="none"/>
                </w:rPr>
                <m:t>−</m:t>
              </m:r>
              <m:sSub>
                <m:sSubPr>
                  <m:ctrlPr>
                    <w:rPr>
                      <w:rFonts w:ascii="Cambria Math" w:hAnsi="Cambria Math"/>
                      <w:color w:val="auto"/>
                      <w:szCs w:val="24"/>
                      <w:highlight w:val="none"/>
                    </w:rPr>
                  </m:ctrlPr>
                </m:sSubPr>
                <m:e>
                  <m:r>
                    <m:rPr>
                      <m:sty m:val="p"/>
                    </m:rPr>
                    <w:rPr>
                      <w:rFonts w:ascii="Cambria Math" w:hAnsi="Cambria Math"/>
                      <w:color w:val="auto"/>
                      <w:szCs w:val="24"/>
                      <w:highlight w:val="none"/>
                    </w:rPr>
                    <m:t>C</m:t>
                  </m:r>
                  <m:ctrlPr>
                    <w:rPr>
                      <w:rFonts w:ascii="Cambria Math" w:hAnsi="Cambria Math"/>
                      <w:color w:val="auto"/>
                      <w:szCs w:val="24"/>
                      <w:highlight w:val="none"/>
                    </w:rPr>
                  </m:ctrlPr>
                </m:e>
                <m:sub>
                  <m:r>
                    <m:rPr>
                      <m:sty m:val="p"/>
                    </m:rPr>
                    <w:rPr>
                      <w:rFonts w:ascii="Cambria Math" w:hAnsi="Cambria Math"/>
                      <w:color w:val="auto"/>
                      <w:szCs w:val="24"/>
                      <w:highlight w:val="none"/>
                    </w:rPr>
                    <m:t>0</m:t>
                  </m:r>
                  <m:ctrlPr>
                    <w:rPr>
                      <w:rFonts w:ascii="Cambria Math" w:hAnsi="Cambria Math"/>
                      <w:color w:val="auto"/>
                      <w:szCs w:val="24"/>
                      <w:highlight w:val="none"/>
                    </w:rPr>
                  </m:ctrlPr>
                </m:sub>
              </m:sSub>
              <m:ctrlPr>
                <w:rPr>
                  <w:rFonts w:ascii="Cambria Math" w:hAnsi="Cambria Math"/>
                  <w:color w:val="auto"/>
                  <w:szCs w:val="24"/>
                  <w:highlight w:val="none"/>
                </w:rPr>
              </m:ctrlPr>
            </m:num>
            <m:den>
              <m:r>
                <m:rPr>
                  <m:sty m:val="p"/>
                </m:rPr>
                <w:rPr>
                  <w:rFonts w:ascii="Cambria Math" w:hAnsi="Cambria Math"/>
                  <w:color w:val="auto"/>
                  <w:szCs w:val="24"/>
                  <w:highlight w:val="none"/>
                </w:rPr>
                <m:t>C</m:t>
              </m:r>
              <m:ctrlPr>
                <w:rPr>
                  <w:rFonts w:ascii="Cambria Math" w:hAnsi="Cambria Math"/>
                  <w:color w:val="auto"/>
                  <w:szCs w:val="24"/>
                  <w:highlight w:val="none"/>
                </w:rPr>
              </m:ctrlPr>
            </m:den>
          </m:f>
          <m:r>
            <m:rPr>
              <m:sty m:val="p"/>
            </m:rPr>
            <w:rPr>
              <w:rFonts w:ascii="Cambria Math" w:hAnsi="Cambria Math"/>
              <w:color w:val="auto"/>
              <w:szCs w:val="24"/>
              <w:highlight w:val="none"/>
            </w:rPr>
            <m:t>×</m:t>
          </m:r>
          <m:f>
            <m:fPr>
              <m:ctrlPr>
                <w:rPr>
                  <w:rFonts w:ascii="Cambria Math" w:hAnsi="Cambria Math"/>
                  <w:color w:val="auto"/>
                  <w:szCs w:val="24"/>
                  <w:highlight w:val="none"/>
                </w:rPr>
              </m:ctrlPr>
            </m:fPr>
            <m:num>
              <m:r>
                <m:rPr>
                  <m:sty m:val="p"/>
                </m:rPr>
                <w:rPr>
                  <w:rFonts w:ascii="Cambria Math" w:hAnsi="Cambria Math"/>
                  <w:color w:val="auto"/>
                  <w:szCs w:val="24"/>
                  <w:highlight w:val="none"/>
                </w:rPr>
                <m:t>365</m:t>
              </m:r>
              <m:ctrlPr>
                <w:rPr>
                  <w:rFonts w:ascii="Cambria Math" w:hAnsi="Cambria Math"/>
                  <w:color w:val="auto"/>
                  <w:szCs w:val="24"/>
                  <w:highlight w:val="none"/>
                </w:rPr>
              </m:ctrlPr>
            </m:num>
            <m:den>
              <m:r>
                <m:rPr>
                  <m:sty m:val="p"/>
                </m:rPr>
                <w:rPr>
                  <w:rFonts w:ascii="Cambria Math" w:hAnsi="Cambria Math"/>
                  <w:color w:val="auto"/>
                  <w:szCs w:val="24"/>
                  <w:highlight w:val="none"/>
                </w:rPr>
                <m:t>T</m:t>
              </m:r>
              <m:ctrlPr>
                <w:rPr>
                  <w:rFonts w:ascii="Cambria Math" w:hAnsi="Cambria Math"/>
                  <w:color w:val="auto"/>
                  <w:szCs w:val="24"/>
                  <w:highlight w:val="none"/>
                </w:rPr>
              </m:ctrlPr>
            </m:den>
          </m:f>
          <m:r>
            <m:rPr>
              <m:sty m:val="p"/>
            </m:rPr>
            <w:rPr>
              <w:rFonts w:ascii="Cambria Math" w:hAnsi="Cambria Math"/>
              <w:color w:val="auto"/>
              <w:szCs w:val="24"/>
              <w:highlight w:val="none"/>
            </w:rPr>
            <m:t>×100%</m:t>
          </m:r>
        </m:oMath>
      </m:oMathPara>
    </w:p>
    <w:p w14:paraId="7B175D8C">
      <w:pPr>
        <w:pStyle w:val="18"/>
        <w:adjustRightInd w:val="0"/>
        <w:snapToGrid w:val="0"/>
        <w:spacing w:line="360" w:lineRule="auto"/>
        <w:ind w:firstLine="480"/>
        <w:rPr>
          <w:rFonts w:ascii="宋体" w:hAnsi="宋体"/>
          <w:color w:val="auto"/>
          <w:sz w:val="24"/>
          <w:szCs w:val="24"/>
          <w:highlight w:val="none"/>
        </w:rPr>
      </w:pPr>
      <w:r>
        <w:rPr>
          <w:rFonts w:hint="eastAsia" w:ascii="宋体" w:hAnsi="宋体"/>
          <w:color w:val="auto"/>
          <w:sz w:val="24"/>
          <w:szCs w:val="24"/>
          <w:highlight w:val="none"/>
        </w:rPr>
        <w:t>其中：</w:t>
      </w:r>
    </w:p>
    <w:p w14:paraId="08FD8CDA">
      <w:pPr>
        <w:spacing w:line="360" w:lineRule="auto"/>
        <w:ind w:firstLine="420" w:firstLineChars="200"/>
        <w:rPr>
          <w:rFonts w:ascii="宋体" w:hAnsi="宋体"/>
          <w:color w:val="auto"/>
          <w:szCs w:val="21"/>
          <w:highlight w:val="none"/>
        </w:rPr>
      </w:pPr>
      <w:r>
        <w:rPr>
          <w:rFonts w:ascii="宋体" w:hAnsi="宋体"/>
          <w:color w:val="auto"/>
          <w:szCs w:val="21"/>
          <w:highlight w:val="none"/>
        </w:rPr>
        <w:fldChar w:fldCharType="begin"/>
      </w:r>
      <w:r>
        <w:rPr>
          <w:rFonts w:ascii="宋体" w:hAnsi="宋体"/>
          <w:color w:val="auto"/>
          <w:szCs w:val="21"/>
          <w:highlight w:val="none"/>
        </w:rPr>
        <w:instrText xml:space="preserve"> QUOTE </w:instrText>
      </w:r>
      <w:r>
        <w:rPr>
          <w:color w:val="auto"/>
          <w:position w:val="-12"/>
          <w:highlight w:val="none"/>
        </w:rPr>
        <w:pict>
          <v:shape id="_x0000_i1025" o:spt="75" type="#_x0000_t75" style="height:22.5pt;width:27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D8B&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6C4D8B&quot; wsp:rsidP=&quot;006C4D8B&quot;&gt;&lt;aml:annotation aml:id=&quot;0&quot; w:type=&quot;Word.Insertion&quot; aml:author=&quot;zcs&quot; aml:createdate=&quot;2024-12-16T13:29:00Z&quot;&gt;&lt;aml:content&gt;&lt;m:oMathPara&gt;&lt;m:oMath&gt;&lt;m:r&gt;&lt;w:rPr&gt;&lt;w:rFonts w:ascii=&quot;Cambria Math&quot; w:fareast=&quot;宋体&quot; w:h-ansi=&quot;Cambria Math&quot; w:cs=&quot;宋体&quot;wsp:wsp:wsp:wsp:wsp:wsp:wsp:wsp:wsp:wsp:/&gt;p:rs&lt;wx:font wx:val=&quot;Cambria Math&quot;/&gt;&lt;w:i/&gt;&lt;w:sz-cs w:val=&quot;21&quot;/&gt;&lt;w:lang w:val=&quot;ZH-CN&quot;/&gt;&lt;/w:rPr&gt;&lt;m:t&gt;T&lt;/m:t&gt;&lt;/m:r&gt;&lt;m:r&gt;&lt;w:rPr&gt;&lt;w:rFonts w:ascii=&quot;Cambria Math&quot; w:fareast=&quot;宋体&quot; w:h-ansi=&quot;Cambria Math&quot;/&gt;&lt;wx:font wx:val=&quot;Cp:ambrp:ia Mp:ath&quot;p:/&gt;&lt;wp::i/&gt;p:&lt;w:sp:z-csp: w:vp:al=&quot;p:21&quot;/&gt;&lt;rs/w:rPr&gt;&lt;m:t&gt;= &lt;/m:t&gt;&lt;/m:r&gt;&lt;/m:oMath&gt;&lt;/m:oMathPara&gt;&lt;/aml:content&gt;&lt;/aml:annotation&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 chromakey="#FFFFFF" o:title=""/>
            <o:lock v:ext="edit" aspectratio="t"/>
            <w10:wrap type="none"/>
            <w10:anchorlock/>
          </v:shape>
        </w:pict>
      </w:r>
      <w:r>
        <w:rPr>
          <w:rFonts w:ascii="宋体" w:hAnsi="宋体"/>
          <w:color w:val="auto"/>
          <w:szCs w:val="21"/>
          <w:highlight w:val="none"/>
        </w:rPr>
        <w:instrText xml:space="preserve"> </w:instrText>
      </w:r>
      <w:r>
        <w:rPr>
          <w:rFonts w:ascii="宋体" w:hAnsi="宋体"/>
          <w:color w:val="auto"/>
          <w:szCs w:val="21"/>
          <w:highlight w:val="none"/>
        </w:rPr>
        <w:fldChar w:fldCharType="separate"/>
      </w:r>
      <w:r>
        <w:rPr>
          <w:color w:val="auto"/>
          <w:position w:val="-12"/>
          <w:highlight w:val="none"/>
        </w:rPr>
        <w:pict>
          <v:shape id="_x0000_i1026" o:spt="75" type="#_x0000_t75" style="height:22.5pt;width:27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D8B&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6C4D8B&quot; wsp:rsidP=&quot;006C4D8B&quot;&gt;&lt;aml:annotation aml:id=&quot;0&quot; w:type=&quot;Word.Insertion&quot; aml:author=&quot;zcs&quot; aml:createdate=&quot;2024-12-16T13:29:00Z&quot;&gt;&lt;aml:content&gt;&lt;m:oMathPara&gt;&lt;m:oMath&gt;&lt;m:r&gt;&lt;w:rPr&gt;&lt;w:rFonts w:ascii=&quot;Cambria Math&quot; w:fareast=&quot;宋体&quot; w:h-ansi=&quot;Cambria Math&quot; w:cs=&quot;宋体&quot;wsp:wsp:wsp:wsp:wsp:wsp:wsp:wsp:wsp:wsp:/&gt;p:rs&lt;wx:font wx:val=&quot;Cambria Math&quot;/&gt;&lt;w:i/&gt;&lt;w:sz-cs w:val=&quot;21&quot;/&gt;&lt;w:lang w:val=&quot;ZH-CN&quot;/&gt;&lt;/w:rPr&gt;&lt;m:t&gt;T&lt;/m:t&gt;&lt;/m:r&gt;&lt;m:r&gt;&lt;w:rPr&gt;&lt;w:rFonts w:ascii=&quot;Cambria Math&quot; w:fareast=&quot;宋体&quot; w:h-ansi=&quot;Cambria Math&quot;/&gt;&lt;wx:font wx:val=&quot;Cp:ambrp:ia Mp:ath&quot;p:/&gt;&lt;wp::i/&gt;p:&lt;w:sp:z-csp: w:vp:al=&quot;p:21&quot;/&gt;&lt;rs/w:rPr&gt;&lt;m:t&gt;= &lt;/m:t&gt;&lt;/m:r&gt;&lt;/m:oMath&gt;&lt;/m:oMathPara&gt;&lt;/aml:content&gt;&lt;/aml:annotation&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7" chromakey="#FFFFFF" o:title=""/>
            <o:lock v:ext="edit" aspectratio="t"/>
            <w10:wrap type="none"/>
            <w10:anchorlock/>
          </v:shape>
        </w:pict>
      </w:r>
      <w:r>
        <w:rPr>
          <w:rFonts w:ascii="宋体" w:hAnsi="宋体"/>
          <w:color w:val="auto"/>
          <w:szCs w:val="21"/>
          <w:highlight w:val="none"/>
        </w:rPr>
        <w:fldChar w:fldCharType="end"/>
      </w:r>
      <w:r>
        <w:rPr>
          <w:rFonts w:hint="eastAsia" w:ascii="宋体" w:hAnsi="宋体"/>
          <w:color w:val="auto"/>
          <w:szCs w:val="21"/>
          <w:highlight w:val="none"/>
        </w:rPr>
        <w:t>上一次业绩报酬计提日对应的申请日（首次计提时，如为启用日前（含启用日）参与份额，则为启用日（管理人需在首次计提前，提供产品启用日日期），如为启用日后参与份额，则为申购份额参与日对应的申请日）至本次业绩报酬计提日对应的申请日的间隔天数；</w:t>
      </w:r>
    </w:p>
    <w:p w14:paraId="7DDB9FEF">
      <w:pPr>
        <w:spacing w:line="360" w:lineRule="auto"/>
        <w:ind w:firstLine="420" w:firstLineChars="200"/>
        <w:rPr>
          <w:rFonts w:ascii="宋体" w:hAnsi="宋体"/>
          <w:color w:val="auto"/>
          <w:szCs w:val="21"/>
          <w:highlight w:val="none"/>
        </w:rPr>
      </w:pPr>
      <w:r>
        <w:rPr>
          <w:rFonts w:ascii="宋体" w:hAnsi="宋体"/>
          <w:color w:val="auto"/>
          <w:szCs w:val="21"/>
          <w:highlight w:val="none"/>
        </w:rPr>
        <w:fldChar w:fldCharType="begin"/>
      </w:r>
      <w:r>
        <w:rPr>
          <w:rFonts w:ascii="宋体" w:hAnsi="宋体"/>
          <w:color w:val="auto"/>
          <w:szCs w:val="21"/>
          <w:highlight w:val="none"/>
        </w:rPr>
        <w:instrText xml:space="preserve"> QUOTE </w:instrText>
      </w:r>
      <w:r>
        <w:rPr>
          <w:color w:val="auto"/>
          <w:position w:val="-26"/>
          <w:highlight w:val="none"/>
        </w:rPr>
        <w:pict>
          <v:shape id="_x0000_i1027" o:spt="75" type="#_x0000_t75" style="height:32.5pt;width:36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365&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935365&quot; wsp:rsidP=&quot;00935365&quot;&gt;&lt;m:oMathPara&gt;&lt;m:oMath&gt;&lt;m:sSub&gt;&lt;m:sSubPr&gt;&lt;m:ctrlPr&gt;&lt;aml:annotation aml:id=&quot;0&quot; w:type=&quot;Word.Insertion&quot; aml:author=&quot;zcs&quot; aml:createdate=&quot;2024-12-16T13:29:00Z&quot;&gt;&lt;aml:content&gt;&lt;w:rPr&gt;&lt;w:rFonts w:ascii=&quot;Cambria Math&quot; w:fareast=&quot;宋体&quot; w:h-ansi=&quot;Cap:p:p:p:p:p:p:p:p:p:mbrsria Math&quot; w:cs=&quot;宋体&quot;/&gt;&lt;wx:font wx:val=&quot;Cambria Math&quot;/&gt;&lt;w:i/&gt;&lt;w:sz-cs w:val=&quot;21&quot;/&gt;&lt;w:lang w:val=&quot;ZH-CN&quot;/&gt;&lt;/w:rPr&gt;&lt;/aml:content&gt;&lt;/aml:annotation&gt;&lt;/m:ctrlPr&gt;&lt;/m:sSubPr&gt;&lt;m:e&gt;&lt;aml:annotation aml:id=&quot;1&quot; w:type=&quot;Word.Insertion&quot; aml:author=p:&quot;zp:csp:&quot; p:amp:l:p:crp:eap:tep:dap:te=&quot;rs2024-12-16T13:29:00Z&quot;&gt;&lt;aml:content&gt;&lt;m:r&gt;&lt;w:rPr&gt;&lt;w:rFonts w:ascii=&quot;Cambria Math&quot; w:fareast=&quot;宋体&quot; w:h-ansi=&quot;Cambria Math&quot; w:cs=&quot;宋体&quot;/&gt;&lt;wx:font wx:val=&quot;Cambria Math&quot;/&gt;&lt;w:i/&gt;&lt;w:sz-cs w:val=&quot;21&quot;/&gt;&lt;w:lang w:val=&quot;ZH-CNr=p:&quot;/&gt;&lt;&quot;zp:/w:rcsp:Pr&gt;&lt;&quot; p:m:t&gt;amp:C&lt;/ml:p::t&gt;&lt;crp:/m:reap:&gt;&lt;/atep:ml:cdap:ontent=&quot;rs&gt;&lt;/aml:annotation&gt;&lt;/m:e&gt;&lt;m:sub&gt;&lt;aml:annotation aml:id=&quot;2&quot; w:type=&quot;Word.Insertion&quot; aml:author=&quot;zcs&quot; aml:createdate=&quot;2024-12-16T13:29:00Z&quot;&gt;&lt;aml:content&gt;&lt;m:r&gt;&lt;w:rPr&gt;&lt;w:rFonts w:ascii=&quot;Cambria Math&quot; w:fareast=&quot;宋体&quot; wp::h-ansi=p:&quot;Cambriap: Math&quot; wp::cs=&quot;宋?ap:?/&gt;&lt;wx:fo=&quot;rsnt wx:val=&quot;Cambria Math&quot;/&gt;&lt;w:i/&gt;&lt;w:sz-cs w:val=&quot;21&quot;/&gt;&lt;w:lang w:val=&quot;ZH-CN&quot;/&gt;&lt;/w:rPr&gt;&lt;m:t&gt;T&lt;/m:t&gt;&lt;/m:r&gt;&lt;/aml:content&gt;&lt;/aml:annotation&gt;&lt;/m:sub&gt;&lt;/m:sSub&gt;&lt;aml:annos wtation ai=&quot;ml:id=&quot;3ia &quot; w:type w:=&quot;Word.Ist=nsertion&quot; :aml:author:=&quot;zcs&quot; aml::createdat:e=&quot;2024-12:-16T13:29:00Z&quot;&gt;&lt;aml:content&gt;&lt;m:r&gt;&lt;w:rPr&gt;&lt;w:rFonts w:ascii=&quot;Cambria Math&quot; w:fareast=&quot;宋体&quot; w:h-ansi=&quot;Cambria Math&quot;/&gt;&lt;wx:font wx:val=&quot;Cambria Math&quot;/&gt;&lt;w:i/&gt;&lt;w: wsz-cs w:val=&quot;=&quot;21&quot;/&gt;&lt;w:la ang w:val=&quot;w:ZH-CN&quot;/&gt;&lt;/wt=:rPr&gt;&lt;m:t&gt;= : &lt;/m:t&gt;&lt;/m:r:r&gt;&lt;/aml:conl:tent&gt;&lt;/aml:t:annotation&gt;2:&lt;/m:oMath&gt;&lt;/m:Z&quot;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8" chromakey="#FFFFFF" o:title=""/>
            <o:lock v:ext="edit" aspectratio="t"/>
            <w10:wrap type="none"/>
            <w10:anchorlock/>
          </v:shape>
        </w:pict>
      </w:r>
      <w:r>
        <w:rPr>
          <w:rFonts w:ascii="宋体" w:hAnsi="宋体"/>
          <w:color w:val="auto"/>
          <w:szCs w:val="21"/>
          <w:highlight w:val="none"/>
        </w:rPr>
        <w:instrText xml:space="preserve"> </w:instrText>
      </w:r>
      <w:r>
        <w:rPr>
          <w:rFonts w:ascii="宋体" w:hAnsi="宋体"/>
          <w:color w:val="auto"/>
          <w:szCs w:val="21"/>
          <w:highlight w:val="none"/>
        </w:rPr>
        <w:fldChar w:fldCharType="separate"/>
      </w:r>
      <w:r>
        <w:rPr>
          <w:color w:val="auto"/>
          <w:position w:val="-26"/>
          <w:highlight w:val="none"/>
        </w:rPr>
        <w:pict>
          <v:shape id="_x0000_i1028" o:spt="75" type="#_x0000_t75" style="height:32.5pt;width:36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365&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935365&quot; wsp:rsidP=&quot;00935365&quot;&gt;&lt;m:oMathPara&gt;&lt;m:oMath&gt;&lt;m:sSub&gt;&lt;m:sSubPr&gt;&lt;m:ctrlPr&gt;&lt;aml:annotation aml:id=&quot;0&quot; w:type=&quot;Word.Insertion&quot; aml:author=&quot;zcs&quot; aml:createdate=&quot;2024-12-16T13:29:00Z&quot;&gt;&lt;aml:content&gt;&lt;w:rPr&gt;&lt;w:rFonts w:ascii=&quot;Cambria Math&quot; w:fareast=&quot;宋体&quot; w:h-ansi=&quot;Cap:p:p:p:p:p:p:p:p:p:mbrsria Math&quot; w:cs=&quot;宋体&quot;/&gt;&lt;wx:font wx:val=&quot;Cambria Math&quot;/&gt;&lt;w:i/&gt;&lt;w:sz-cs w:val=&quot;21&quot;/&gt;&lt;w:lang w:val=&quot;ZH-CN&quot;/&gt;&lt;/w:rPr&gt;&lt;/aml:content&gt;&lt;/aml:annotation&gt;&lt;/m:ctrlPr&gt;&lt;/m:sSubPr&gt;&lt;m:e&gt;&lt;aml:annotation aml:id=&quot;1&quot; w:type=&quot;Word.Insertion&quot; aml:author=p:&quot;zp:csp:&quot; p:amp:l:p:crp:eap:tep:dap:te=&quot;rs2024-12-16T13:29:00Z&quot;&gt;&lt;aml:content&gt;&lt;m:r&gt;&lt;w:rPr&gt;&lt;w:rFonts w:ascii=&quot;Cambria Math&quot; w:fareast=&quot;宋体&quot; w:h-ansi=&quot;Cambria Math&quot; w:cs=&quot;宋体&quot;/&gt;&lt;wx:font wx:val=&quot;Cambria Math&quot;/&gt;&lt;w:i/&gt;&lt;w:sz-cs w:val=&quot;21&quot;/&gt;&lt;w:lang w:val=&quot;ZH-CNr=p:&quot;/&gt;&lt;&quot;zp:/w:rcsp:Pr&gt;&lt;&quot; p:m:t&gt;amp:C&lt;/ml:p::t&gt;&lt;crp:/m:reap:&gt;&lt;/atep:ml:cdap:ontent=&quot;rs&gt;&lt;/aml:annotation&gt;&lt;/m:e&gt;&lt;m:sub&gt;&lt;aml:annotation aml:id=&quot;2&quot; w:type=&quot;Word.Insertion&quot; aml:author=&quot;zcs&quot; aml:createdate=&quot;2024-12-16T13:29:00Z&quot;&gt;&lt;aml:content&gt;&lt;m:r&gt;&lt;w:rPr&gt;&lt;w:rFonts w:ascii=&quot;Cambria Math&quot; w:fareast=&quot;宋体&quot; wp::h-ansi=p:&quot;Cambriap: Math&quot; wp::cs=&quot;宋?ap:?/&gt;&lt;wx:fo=&quot;rsnt wx:val=&quot;Cambria Math&quot;/&gt;&lt;w:i/&gt;&lt;w:sz-cs w:val=&quot;21&quot;/&gt;&lt;w:lang w:val=&quot;ZH-CN&quot;/&gt;&lt;/w:rPr&gt;&lt;m:t&gt;T&lt;/m:t&gt;&lt;/m:r&gt;&lt;/aml:content&gt;&lt;/aml:annotation&gt;&lt;/m:sub&gt;&lt;/m:sSub&gt;&lt;aml:annos wtation ai=&quot;ml:id=&quot;3ia &quot; w:type w:=&quot;Word.Ist=nsertion&quot; :aml:author:=&quot;zcs&quot; aml::createdat:e=&quot;2024-12:-16T13:29:00Z&quot;&gt;&lt;aml:content&gt;&lt;m:r&gt;&lt;w:rPr&gt;&lt;w:rFonts w:ascii=&quot;Cambria Math&quot; w:fareast=&quot;宋体&quot; w:h-ansi=&quot;Cambria Math&quot;/&gt;&lt;wx:font wx:val=&quot;Cambria Math&quot;/&gt;&lt;w:i/&gt;&lt;w: wsz-cs w:val=&quot;=&quot;21&quot;/&gt;&lt;w:la ang w:val=&quot;w:ZH-CN&quot;/&gt;&lt;/wt=:rPr&gt;&lt;m:t&gt;= : &lt;/m:t&gt;&lt;/m:r:r&gt;&lt;/aml:conl:tent&gt;&lt;/aml:t:annotation&gt;2:&lt;/m:oMath&gt;&lt;/m:Z&quot;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8" chromakey="#FFFFFF" o:title=""/>
            <o:lock v:ext="edit" aspectratio="t"/>
            <w10:wrap type="none"/>
            <w10:anchorlock/>
          </v:shape>
        </w:pict>
      </w:r>
      <w:r>
        <w:rPr>
          <w:rFonts w:ascii="宋体" w:hAnsi="宋体"/>
          <w:color w:val="auto"/>
          <w:szCs w:val="21"/>
          <w:highlight w:val="none"/>
        </w:rPr>
        <w:fldChar w:fldCharType="end"/>
      </w:r>
      <w:r>
        <w:rPr>
          <w:rFonts w:hint="eastAsia" w:ascii="宋体" w:hAnsi="宋体"/>
          <w:color w:val="auto"/>
          <w:szCs w:val="21"/>
          <w:highlight w:val="none"/>
        </w:rPr>
        <w:t>本次业绩报酬计提日的份额累计单位净值；</w:t>
      </w:r>
    </w:p>
    <w:p w14:paraId="19D1CAD5">
      <w:pPr>
        <w:spacing w:line="360" w:lineRule="auto"/>
        <w:ind w:firstLine="420" w:firstLineChars="200"/>
        <w:rPr>
          <w:rFonts w:ascii="宋体" w:hAnsi="宋体"/>
          <w:color w:val="auto"/>
          <w:szCs w:val="21"/>
          <w:highlight w:val="none"/>
        </w:rPr>
      </w:pPr>
      <w:r>
        <w:rPr>
          <w:rFonts w:ascii="宋体" w:hAnsi="宋体"/>
          <w:color w:val="auto"/>
          <w:szCs w:val="21"/>
          <w:highlight w:val="none"/>
        </w:rPr>
        <w:fldChar w:fldCharType="begin"/>
      </w:r>
      <w:r>
        <w:rPr>
          <w:rFonts w:ascii="宋体" w:hAnsi="宋体"/>
          <w:color w:val="auto"/>
          <w:szCs w:val="21"/>
          <w:highlight w:val="none"/>
        </w:rPr>
        <w:instrText xml:space="preserve"> QUOTE </w:instrText>
      </w:r>
      <w:r>
        <w:rPr>
          <w:color w:val="auto"/>
          <w:position w:val="-24"/>
          <w:highlight w:val="none"/>
        </w:rPr>
        <w:pict>
          <v:shape id="_x0000_i1029" o:spt="75" type="#_x0000_t75" style="height:32.5pt;width:32.5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982&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514982&quot; wsp:rsidP=&quot;00514982&quot;&gt;&lt;m:oMathPara&gt;&lt;m:oMath&gt;&lt;m:sSub&gt;&lt;m:sSubPr&gt;&lt;m:ctrlPr&gt;&lt;aml:annotation aml:id=&quot;0&quot; w:type=&quot;Word.Insertion&quot; aml:author=&quot;zcs&quot; aml:createdate=&quot;2024-12-16T13:29:00Z&quot;&gt;&lt;aml:content&gt;&lt;w:rPr&gt;&lt;w:rFonts w:ascii=&quot;Cambria Math&quot; w:fareast=&quot;宋体&quot; w:h-ansi=&quot;Cap:p:p:p:p:p:p:p:p:p:mbrsria Math&quot; w:cs=&quot;宋体&quot;/&gt;&lt;wx:font wx:val=&quot;Cambria Math&quot;/&gt;&lt;w:i/&gt;&lt;w:sz-cs w:val=&quot;21&quot;/&gt;&lt;w:lang w:val=&quot;ZH-CN&quot;/&gt;&lt;/w:rPr&gt;&lt;/aml:content&gt;&lt;/aml:annotation&gt;&lt;/m:ctrlPr&gt;&lt;/m:sSubPr&gt;&lt;m:e&gt;&lt;aml:annotation aml:id=&quot;1&quot; w:type=&quot;Word.Insertion&quot; aml:author=p:&quot;zp:csp:&quot; p:amp:l:p:crp:eap:tep:dap:te=&quot;rs2024-12-16T13:29:00Z&quot;&gt;&lt;aml:content&gt;&lt;m:r&gt;&lt;w:rPr&gt;&lt;w:rFonts w:ascii=&quot;Cambria Math&quot; w:fareast=&quot;宋体&quot; w:h-ansi=&quot;Cambria Math&quot; w:cs=&quot;宋体&quot;/&gt;&lt;wx:font wx:val=&quot;Cambria Math&quot;/&gt;&lt;w:i/&gt;&lt;w:sz-cs w:val=&quot;21&quot;/&gt;&lt;w:lang w:val=&quot;ZH-CNr=p:&quot;/&gt;&lt;&quot;zp:/w:rcsp:Pr&gt;&lt;&quot; p:m:t&gt;amp:C&lt;/ml:p::t&gt;&lt;crp:/m:reap:&gt;&lt;/atep:ml:cdap:ontent=&quot;rs&gt;&lt;/aml:annotation&gt;&lt;/m:e&gt;&lt;m:sub&gt;&lt;aml:annotation aml:id=&quot;2&quot; w:type=&quot;Word.Insertion&quot; aml:author=&quot;zcs&quot; aml:createdate=&quot;2024-12-16T13:29:00Z&quot;&gt;&lt;aml:content&gt;&lt;m:r&gt;&lt;w:rPr&gt;&lt;w:rFonts w:ascii=&quot;Cambria Math&quot; w:fareast=&quot;宋体&quot; wp::h-ansi=p:&quot;Cambriap: Math&quot;/&gt;p:&lt;wx:fontp: wx:val=&quot;Crsambria Math&quot;/&gt;&lt;w:i/&gt;&lt;w:sz-cs w:val=&quot;21&quot;/&gt;&lt;/w:rPr&gt;&lt;m:t&gt;0&lt;/m:t&gt;&lt;/m:r&gt;&lt;/aml:content&gt;&lt;/aml:annotation&gt;&lt;/m:sub&gt;&lt;/m:sSub&gt;&lt;aml:annotation aml:id=&quot;3&quot; w:type=&quot;Word.Insert wion&quot; aml=&quot;:author=a &quot;zcs&quot; amw:l:createt=date=&quot;2024-12-16T13:29:00Z&quot;&gt;&lt;aml:content&gt;&lt;m:r&gt;&lt;w:rPr&gt;&lt;w:rFonts w:ascii=&quot;Cambria Math&quot; w:fareast=&quot;宋体&quot; w:h-ansi=&quot;Cambria Math&quot;/&gt;&lt;wx:font wx:val=&quot;Cambria Math&quot;/&gt;&lt;w:i/&gt;&lt;w:sz-cs w:val=&quot;21&quot;/&gt;&lt;w:lang w:val=&quot;ZH-CN&quot;/&gt;&lt;/w:r wPr&gt;&lt;m:t&gt;= =&quot;&lt;/m:t&gt;&lt;/m:a r&gt;&lt;/aml:cow:ntent&gt;&lt;/amt=l:annotati24on&gt;&lt;/m:oMa3:th&gt;&lt;/m:oMa&lt;athPara&gt;&lt;/wnt:p&gt;&lt;w:sect:rPr wsp:rsidRts=&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9" chromakey="#FFFFFF" o:title=""/>
            <o:lock v:ext="edit" aspectratio="t"/>
            <w10:wrap type="none"/>
            <w10:anchorlock/>
          </v:shape>
        </w:pict>
      </w:r>
      <w:r>
        <w:rPr>
          <w:rFonts w:ascii="宋体" w:hAnsi="宋体"/>
          <w:color w:val="auto"/>
          <w:szCs w:val="21"/>
          <w:highlight w:val="none"/>
        </w:rPr>
        <w:instrText xml:space="preserve"> </w:instrText>
      </w:r>
      <w:r>
        <w:rPr>
          <w:rFonts w:ascii="宋体" w:hAnsi="宋体"/>
          <w:color w:val="auto"/>
          <w:szCs w:val="21"/>
          <w:highlight w:val="none"/>
        </w:rPr>
        <w:fldChar w:fldCharType="separate"/>
      </w:r>
      <w:r>
        <w:rPr>
          <w:color w:val="auto"/>
          <w:position w:val="-24"/>
          <w:highlight w:val="none"/>
        </w:rPr>
        <w:pict>
          <v:shape id="_x0000_i1030" o:spt="75" type="#_x0000_t75" style="height:32.5pt;width:32.5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982&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514982&quot; wsp:rsidP=&quot;00514982&quot;&gt;&lt;m:oMathPara&gt;&lt;m:oMath&gt;&lt;m:sSub&gt;&lt;m:sSubPr&gt;&lt;m:ctrlPr&gt;&lt;aml:annotation aml:id=&quot;0&quot; w:type=&quot;Word.Insertion&quot; aml:author=&quot;zcs&quot; aml:createdate=&quot;2024-12-16T13:29:00Z&quot;&gt;&lt;aml:content&gt;&lt;w:rPr&gt;&lt;w:rFonts w:ascii=&quot;Cambria Math&quot; w:fareast=&quot;宋体&quot; w:h-ansi=&quot;Cap:p:p:p:p:p:p:p:p:p:mbrsria Math&quot; w:cs=&quot;宋体&quot;/&gt;&lt;wx:font wx:val=&quot;Cambria Math&quot;/&gt;&lt;w:i/&gt;&lt;w:sz-cs w:val=&quot;21&quot;/&gt;&lt;w:lang w:val=&quot;ZH-CN&quot;/&gt;&lt;/w:rPr&gt;&lt;/aml:content&gt;&lt;/aml:annotation&gt;&lt;/m:ctrlPr&gt;&lt;/m:sSubPr&gt;&lt;m:e&gt;&lt;aml:annotation aml:id=&quot;1&quot; w:type=&quot;Word.Insertion&quot; aml:author=p:&quot;zp:csp:&quot; p:amp:l:p:crp:eap:tep:dap:te=&quot;rs2024-12-16T13:29:00Z&quot;&gt;&lt;aml:content&gt;&lt;m:r&gt;&lt;w:rPr&gt;&lt;w:rFonts w:ascii=&quot;Cambria Math&quot; w:fareast=&quot;宋体&quot; w:h-ansi=&quot;Cambria Math&quot; w:cs=&quot;宋体&quot;/&gt;&lt;wx:font wx:val=&quot;Cambria Math&quot;/&gt;&lt;w:i/&gt;&lt;w:sz-cs w:val=&quot;21&quot;/&gt;&lt;w:lang w:val=&quot;ZH-CNr=p:&quot;/&gt;&lt;&quot;zp:/w:rcsp:Pr&gt;&lt;&quot; p:m:t&gt;amp:C&lt;/ml:p::t&gt;&lt;crp:/m:reap:&gt;&lt;/atep:ml:cdap:ontent=&quot;rs&gt;&lt;/aml:annotation&gt;&lt;/m:e&gt;&lt;m:sub&gt;&lt;aml:annotation aml:id=&quot;2&quot; w:type=&quot;Word.Insertion&quot; aml:author=&quot;zcs&quot; aml:createdate=&quot;2024-12-16T13:29:00Z&quot;&gt;&lt;aml:content&gt;&lt;m:r&gt;&lt;w:rPr&gt;&lt;w:rFonts w:ascii=&quot;Cambria Math&quot; w:fareast=&quot;宋体&quot; wp::h-ansi=p:&quot;Cambriap: Math&quot;/&gt;p:&lt;wx:fontp: wx:val=&quot;Crsambria Math&quot;/&gt;&lt;w:i/&gt;&lt;w:sz-cs w:val=&quot;21&quot;/&gt;&lt;/w:rPr&gt;&lt;m:t&gt;0&lt;/m:t&gt;&lt;/m:r&gt;&lt;/aml:content&gt;&lt;/aml:annotation&gt;&lt;/m:sub&gt;&lt;/m:sSub&gt;&lt;aml:annotation aml:id=&quot;3&quot; w:type=&quot;Word.Insert wion&quot; aml=&quot;:author=a &quot;zcs&quot; amw:l:createt=date=&quot;2024-12-16T13:29:00Z&quot;&gt;&lt;aml:content&gt;&lt;m:r&gt;&lt;w:rPr&gt;&lt;w:rFonts w:ascii=&quot;Cambria Math&quot; w:fareast=&quot;宋体&quot; w:h-ansi=&quot;Cambria Math&quot;/&gt;&lt;wx:font wx:val=&quot;Cambria Math&quot;/&gt;&lt;w:i/&gt;&lt;w:sz-cs w:val=&quot;21&quot;/&gt;&lt;w:lang w:val=&quot;ZH-CN&quot;/&gt;&lt;/w:r wPr&gt;&lt;m:t&gt;= =&quot;&lt;/m:t&gt;&lt;/m:a r&gt;&lt;/aml:cow:ntent&gt;&lt;/amt=l:annotati24on&gt;&lt;/m:oMa3:th&gt;&lt;/m:oMa&lt;athPara&gt;&lt;/wnt:p&gt;&lt;w:sect:rPr wsp:rsidRts=&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9" chromakey="#FFFFFF" o:title=""/>
            <o:lock v:ext="edit" aspectratio="t"/>
            <w10:wrap type="none"/>
            <w10:anchorlock/>
          </v:shape>
        </w:pict>
      </w:r>
      <w:r>
        <w:rPr>
          <w:rFonts w:ascii="宋体" w:hAnsi="宋体"/>
          <w:color w:val="auto"/>
          <w:szCs w:val="21"/>
          <w:highlight w:val="none"/>
        </w:rPr>
        <w:fldChar w:fldCharType="end"/>
      </w:r>
      <w:r>
        <w:rPr>
          <w:rFonts w:hint="eastAsia" w:ascii="宋体" w:hAnsi="宋体"/>
          <w:color w:val="auto"/>
          <w:szCs w:val="21"/>
          <w:highlight w:val="none"/>
        </w:rPr>
        <w:t>上一个业绩报酬计提日的份额累计单位净值。</w:t>
      </w:r>
      <w:r>
        <w:rPr>
          <w:rFonts w:hint="eastAsia" w:ascii="宋体" w:hAnsi="宋体"/>
          <w:b/>
          <w:color w:val="auto"/>
          <w:szCs w:val="21"/>
          <w:highlight w:val="none"/>
        </w:rPr>
        <w:t>首次计提时，如为启用日前（含启用日）参与份额，则为启用日的份额累计净值；如为启用日后参与份额，则为该笔份额参与对应的申请日的份额累计净值</w:t>
      </w:r>
      <w:r>
        <w:rPr>
          <w:rFonts w:hint="eastAsia" w:ascii="宋体" w:hAnsi="宋体"/>
          <w:color w:val="auto"/>
          <w:szCs w:val="21"/>
          <w:highlight w:val="none"/>
        </w:rPr>
        <w:t>；</w:t>
      </w:r>
    </w:p>
    <w:p w14:paraId="2AB538FC">
      <w:pPr>
        <w:adjustRightInd w:val="0"/>
        <w:snapToGrid w:val="0"/>
        <w:spacing w:line="360" w:lineRule="auto"/>
        <w:ind w:firstLine="420" w:firstLineChars="200"/>
        <w:rPr>
          <w:rFonts w:ascii="宋体" w:hAnsi="宋体"/>
          <w:color w:val="auto"/>
          <w:szCs w:val="24"/>
          <w:highlight w:val="none"/>
        </w:rPr>
      </w:pPr>
      <w:r>
        <w:rPr>
          <w:rFonts w:ascii="宋体" w:hAnsi="宋体"/>
          <w:color w:val="auto"/>
          <w:szCs w:val="21"/>
          <w:highlight w:val="none"/>
        </w:rPr>
        <w:fldChar w:fldCharType="begin"/>
      </w:r>
      <w:r>
        <w:rPr>
          <w:rFonts w:ascii="宋体" w:hAnsi="宋体"/>
          <w:color w:val="auto"/>
          <w:szCs w:val="21"/>
          <w:highlight w:val="none"/>
        </w:rPr>
        <w:instrText xml:space="preserve"> QUOTE </w:instrText>
      </w:r>
      <w:r>
        <w:rPr>
          <w:color w:val="auto"/>
          <w:position w:val="-12"/>
          <w:highlight w:val="none"/>
        </w:rPr>
        <w:pict>
          <v:shape id="_x0000_i1031" o:spt="75" type="#_x0000_t75" style="height:22.5pt;width:27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18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393185&quot; wsp:rsidP=&quot;00393185&quot;&gt;&lt;aml:annotation aml:id=&quot;0&quot; w:type=&quot;Word.Insertion&quot; aml:author=&quot;zcs&quot; aml:createdate=&quot;2024-12-16T13:29:00Z&quot;&gt;&lt;aml:content&gt;&lt;m:oMathPara&gt;&lt;m:oMath&gt;&lt;m:r&gt;&lt;w:rPr&gt;&lt;w:rFonts w:ascii=&quot;Cambria Math&quot; w:fareast=&quot;宋体&quot; w:h-ansi=&quot;Cambria Math&quot; w:cs=&quot;宋体&quot;wsp:wsp:wsp:wsp:wsp:wsp:wsp:wsp:wsp:wsp:/&gt;p:rs&lt;wx:font wx:val=&quot;Cambria Math&quot;/&gt;&lt;w:i/&gt;&lt;w:sz-cs w:val=&quot;21&quot;/&gt;&lt;w:lang w:val=&quot;ZH-CN&quot;/&gt;&lt;/w:rPr&gt;&lt;m:t&gt;C&lt;/m:t&gt;&lt;/m:r&gt;&lt;m:r&gt;&lt;w:rPr&gt;&lt;w:rFonts w:ascii=&quot;Cambria Math&quot; w:fareast=&quot;宋体&quot; w:h-ansi=&quot;Cambria Math&quot;/&gt;&lt;wx:font wx:val=&quot;Cp:ambrp:ia Mp:ath&quot;p:/&gt;&lt;wp::i/&gt;p:&lt;w:sp:z-csp: w:vp:al=&quot;p:21&quot;/&gt;&lt;rs/w:rPr&gt;&lt;m:t&gt;= &lt;/m:t&gt;&lt;/m:r&gt;&lt;/m:oMath&gt;&lt;/m:oMathPara&gt;&lt;/aml:content&gt;&lt;/aml:annotation&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 chromakey="#FFFFFF" o:title=""/>
            <o:lock v:ext="edit" aspectratio="t"/>
            <w10:wrap type="none"/>
            <w10:anchorlock/>
          </v:shape>
        </w:pict>
      </w:r>
      <w:r>
        <w:rPr>
          <w:rFonts w:ascii="宋体" w:hAnsi="宋体"/>
          <w:color w:val="auto"/>
          <w:szCs w:val="21"/>
          <w:highlight w:val="none"/>
        </w:rPr>
        <w:instrText xml:space="preserve"> </w:instrText>
      </w:r>
      <w:r>
        <w:rPr>
          <w:rFonts w:ascii="宋体" w:hAnsi="宋体"/>
          <w:color w:val="auto"/>
          <w:szCs w:val="21"/>
          <w:highlight w:val="none"/>
        </w:rPr>
        <w:fldChar w:fldCharType="separate"/>
      </w:r>
      <w:r>
        <w:rPr>
          <w:color w:val="auto"/>
          <w:position w:val="-12"/>
          <w:highlight w:val="none"/>
        </w:rPr>
        <w:pict>
          <v:shape id="_x0000_i1032" o:spt="75" type="#_x0000_t75" style="height:22.5pt;width:27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18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393185&quot; wsp:rsidP=&quot;00393185&quot;&gt;&lt;aml:annotation aml:id=&quot;0&quot; w:type=&quot;Word.Insertion&quot; aml:author=&quot;zcs&quot; aml:createdate=&quot;2024-12-16T13:29:00Z&quot;&gt;&lt;aml:content&gt;&lt;m:oMathPara&gt;&lt;m:oMath&gt;&lt;m:r&gt;&lt;w:rPr&gt;&lt;w:rFonts w:ascii=&quot;Cambria Math&quot; w:fareast=&quot;宋体&quot; w:h-ansi=&quot;Cambria Math&quot; w:cs=&quot;宋体&quot;wsp:wsp:wsp:wsp:wsp:wsp:wsp:wsp:wsp:wsp:/&gt;p:rs&lt;wx:font wx:val=&quot;Cambria Math&quot;/&gt;&lt;w:i/&gt;&lt;w:sz-cs w:val=&quot;21&quot;/&gt;&lt;w:lang w:val=&quot;ZH-CN&quot;/&gt;&lt;/w:rPr&gt;&lt;m:t&gt;C&lt;/m:t&gt;&lt;/m:r&gt;&lt;m:r&gt;&lt;w:rPr&gt;&lt;w:rFonts w:ascii=&quot;Cambria Math&quot; w:fareast=&quot;宋体&quot; w:h-ansi=&quot;Cambria Math&quot;/&gt;&lt;wx:font wx:val=&quot;Cp:ambrp:ia Mp:ath&quot;p:/&gt;&lt;wp::i/&gt;p:&lt;w:sp:z-csp: w:vp:al=&quot;p:21&quot;/&gt;&lt;rs/w:rPr&gt;&lt;m:t&gt;= &lt;/m:t&gt;&lt;/m:r&gt;&lt;/m:oMath&gt;&lt;/m:oMathPara&gt;&lt;/aml:content&gt;&lt;/aml:annotation&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0" chromakey="#FFFFFF" o:title=""/>
            <o:lock v:ext="edit" aspectratio="t"/>
            <w10:wrap type="none"/>
            <w10:anchorlock/>
          </v:shape>
        </w:pict>
      </w:r>
      <w:r>
        <w:rPr>
          <w:rFonts w:ascii="宋体" w:hAnsi="宋体"/>
          <w:color w:val="auto"/>
          <w:szCs w:val="21"/>
          <w:highlight w:val="none"/>
        </w:rPr>
        <w:fldChar w:fldCharType="end"/>
      </w:r>
      <w:r>
        <w:rPr>
          <w:rFonts w:hint="eastAsia" w:ascii="宋体" w:hAnsi="宋体"/>
          <w:color w:val="auto"/>
          <w:szCs w:val="21"/>
          <w:highlight w:val="none"/>
        </w:rPr>
        <w:t>上一个业绩报酬计提日的份额单位净值。</w:t>
      </w:r>
      <w:r>
        <w:rPr>
          <w:rFonts w:hint="eastAsia" w:ascii="宋体" w:hAnsi="宋体"/>
          <w:b/>
          <w:color w:val="auto"/>
          <w:szCs w:val="21"/>
          <w:highlight w:val="none"/>
        </w:rPr>
        <w:t>首次计提时，如为启用日前（含启用日）参与份额，则为启用日的份额单位净值</w:t>
      </w:r>
      <w:r>
        <w:rPr>
          <w:rFonts w:hint="eastAsia" w:ascii="宋体" w:hAnsi="宋体"/>
          <w:color w:val="auto"/>
          <w:szCs w:val="21"/>
          <w:highlight w:val="none"/>
        </w:rPr>
        <w:t>；</w:t>
      </w:r>
      <w:r>
        <w:rPr>
          <w:rFonts w:hint="eastAsia" w:ascii="宋体" w:hAnsi="宋体"/>
          <w:b/>
          <w:bCs/>
          <w:color w:val="auto"/>
          <w:szCs w:val="21"/>
          <w:highlight w:val="none"/>
        </w:rPr>
        <w:t>如为启用日后参与份额，则为该笔份额</w:t>
      </w:r>
      <w:r>
        <w:rPr>
          <w:rFonts w:hint="eastAsia" w:ascii="宋体" w:hAnsi="宋体"/>
          <w:b/>
          <w:color w:val="auto"/>
          <w:szCs w:val="21"/>
          <w:highlight w:val="none"/>
        </w:rPr>
        <w:t>参与对应的申请日</w:t>
      </w:r>
      <w:r>
        <w:rPr>
          <w:rFonts w:hint="eastAsia" w:ascii="宋体" w:hAnsi="宋体"/>
          <w:b/>
          <w:bCs/>
          <w:color w:val="auto"/>
          <w:szCs w:val="21"/>
          <w:highlight w:val="none"/>
        </w:rPr>
        <w:t>的份额单位净值</w:t>
      </w:r>
      <w:r>
        <w:rPr>
          <w:rFonts w:hint="eastAsia" w:ascii="宋体" w:hAnsi="宋体"/>
          <w:color w:val="auto"/>
          <w:szCs w:val="21"/>
          <w:highlight w:val="none"/>
        </w:rPr>
        <w:t>；</w:t>
      </w:r>
    </w:p>
    <w:p w14:paraId="1CAA4891">
      <w:pPr>
        <w:pStyle w:val="18"/>
        <w:adjustRightInd w:val="0"/>
        <w:snapToGrid w:val="0"/>
        <w:spacing w:line="360" w:lineRule="auto"/>
        <w:ind w:firstLine="480"/>
        <w:rPr>
          <w:rFonts w:ascii="宋体" w:hAnsi="宋体"/>
          <w:color w:val="auto"/>
          <w:sz w:val="24"/>
          <w:szCs w:val="24"/>
          <w:highlight w:val="none"/>
        </w:rPr>
      </w:pPr>
      <w:r>
        <w:rPr>
          <w:rFonts w:hint="eastAsia" w:ascii="宋体" w:hAnsi="宋体"/>
          <w:color w:val="auto"/>
          <w:sz w:val="24"/>
          <w:szCs w:val="24"/>
          <w:highlight w:val="none"/>
        </w:rPr>
        <w:t>指数收益率（</w:t>
      </w:r>
      <m:oMath>
        <m:r>
          <m:rPr/>
          <w:rPr>
            <w:rFonts w:hint="eastAsia" w:ascii="Cambria Math" w:hAnsi="Cambria Math" w:eastAsia="MS Gothic" w:cs="MS Gothic"/>
            <w:color w:val="auto"/>
            <w:szCs w:val="24"/>
            <w:highlight w:val="none"/>
          </w:rPr>
          <m:t>h</m:t>
        </m:r>
      </m:oMath>
      <w:r>
        <w:rPr>
          <w:rFonts w:hint="eastAsia" w:ascii="宋体" w:hAnsi="宋体"/>
          <w:color w:val="auto"/>
          <w:sz w:val="24"/>
          <w:szCs w:val="24"/>
          <w:highlight w:val="none"/>
        </w:rPr>
        <w:t>），计算公式如下：</w:t>
      </w:r>
    </w:p>
    <w:p w14:paraId="630EEAA3">
      <w:pPr>
        <w:pStyle w:val="18"/>
        <w:adjustRightInd w:val="0"/>
        <w:snapToGrid w:val="0"/>
        <w:spacing w:line="360" w:lineRule="auto"/>
        <w:jc w:val="center"/>
        <w:rPr>
          <w:rFonts w:ascii="宋体" w:hAnsi="宋体"/>
          <w:color w:val="auto"/>
          <w:sz w:val="24"/>
          <w:szCs w:val="24"/>
          <w:highlight w:val="none"/>
        </w:rPr>
      </w:pPr>
      <m:oMath>
        <m:r>
          <m:rPr/>
          <w:rPr>
            <w:rFonts w:hint="eastAsia" w:ascii="Cambria Math" w:hAnsi="Cambria Math" w:eastAsia="MS Gothic" w:cs="MS Gothic"/>
            <w:color w:val="auto"/>
            <w:szCs w:val="24"/>
            <w:highlight w:val="none"/>
          </w:rPr>
          <m:t>h</m:t>
        </m:r>
        <m:r>
          <m:rPr>
            <m:sty m:val="p"/>
          </m:rPr>
          <w:rPr>
            <w:rFonts w:hint="eastAsia" w:ascii="Cambria Math" w:hAnsi="Cambria Math"/>
            <w:color w:val="auto"/>
            <w:szCs w:val="24"/>
            <w:highlight w:val="none"/>
          </w:rPr>
          <m:t>=</m:t>
        </m:r>
      </m:oMath>
      <w:r>
        <w:rPr>
          <w:rFonts w:ascii="宋体" w:hAnsi="宋体"/>
          <w:color w:val="auto"/>
          <w:sz w:val="24"/>
          <w:szCs w:val="24"/>
          <w:highlight w:val="none"/>
        </w:rPr>
        <w:t xml:space="preserve"> </w:t>
      </w:r>
      <w:r>
        <w:rPr>
          <w:rFonts w:hint="eastAsia" w:ascii="宋体" w:hAnsi="宋体"/>
          <w:color w:val="auto"/>
          <w:sz w:val="24"/>
          <w:szCs w:val="24"/>
          <w:highlight w:val="none"/>
        </w:rPr>
        <w:t>中证500指数</w:t>
      </w:r>
      <w:r>
        <w:rPr>
          <w:rFonts w:ascii="宋体" w:hAnsi="宋体"/>
          <w:color w:val="auto"/>
          <w:sz w:val="24"/>
          <w:szCs w:val="24"/>
          <w:highlight w:val="none"/>
        </w:rPr>
        <w:t>年化收益率，</w:t>
      </w:r>
    </w:p>
    <w:p w14:paraId="597D30B8">
      <w:pPr>
        <w:pStyle w:val="18"/>
        <w:adjustRightInd w:val="0"/>
        <w:snapToGrid w:val="0"/>
        <w:spacing w:line="360" w:lineRule="auto"/>
        <w:ind w:firstLine="480"/>
        <w:jc w:val="center"/>
        <w:rPr>
          <w:rFonts w:ascii="宋体" w:hAnsi="宋体"/>
          <w:color w:val="auto"/>
          <w:sz w:val="24"/>
          <w:szCs w:val="24"/>
          <w:highlight w:val="none"/>
        </w:rPr>
      </w:pPr>
      <w:r>
        <w:rPr>
          <w:rFonts w:ascii="宋体" w:hAnsi="宋体"/>
          <w:color w:val="auto"/>
          <w:sz w:val="24"/>
          <w:szCs w:val="24"/>
          <w:highlight w:val="none"/>
        </w:rPr>
        <w:fldChar w:fldCharType="begin"/>
      </w:r>
      <w:r>
        <w:rPr>
          <w:rFonts w:ascii="宋体" w:hAnsi="宋体"/>
          <w:color w:val="auto"/>
          <w:sz w:val="24"/>
          <w:szCs w:val="24"/>
          <w:highlight w:val="none"/>
        </w:rPr>
        <w:instrText xml:space="preserve"> QUOTE </w:instrText>
      </w:r>
      <w:r>
        <w:rPr>
          <w:color w:val="auto"/>
          <w:position w:val="-26"/>
          <w:highlight w:val="none"/>
        </w:rPr>
        <w:pict>
          <v:shape id="_x0000_i1033" o:spt="75" type="#_x0000_t75" style="height:32.5pt;width:118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6B0&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F456B0&quot; wsp:rsidP=&quot;00F456B0&quot;&gt;&lt;aml:annotation aml:id=&quot;0&quot; w:type=&quot;Word.Insertion&quot; aml:author=&quot;zcs&quot; aml:createdate=&quot;2024-12-16T13:29:00Z&quot;&gt;&lt;aml:content&gt;&lt;m:oMathPara&gt;&lt;m:oMath&gt;&lt;m:r&gt;&lt;w:rPr&gt;&lt;w:rFonts w:ascii=&quot;Cambria Math&quot; w:h-ansi=&quot;Cambria Math&quot;/&gt;&lt;wx:font wx:val=&quot;Cambria Math&quot;/&gt;&lt;w:i/&gt;&lt;w:sz-cs w:val=&quot;24&quot;/&gt;&lt;/w:rPr&gt;&lt;m:t&gt;h&lt;/m:t&gt;&lt;/m:r&gt;&lt;m:r&gt;&lt;m:rPr&gt;&lt;m:sty m:val=&quot;p&quot;/&gt;&lt;/m:rPr&gt;&lt;w:rPr&gt;&lt;w:rFonts w:ascii=&quot;Cambria Math&quot; w:h-ansi=&quot;Cambria Math&quot;/&gt;&lt;wx:font wx:val=&quot;Cambria Math&quot;/&gt;&lt;w:sz-cs w:val=&quot;24&quot;/&gt;&lt;/w:rPr&gt;&lt;m:t&gt;=&lt;/m:t&gt;&lt;/m:r&gt;&lt;m:f&gt;&lt;m:fPr&gt;&lt;m:ctrlPr&gt;&lt;w:rPr&gt;&lt;w:rFonts w:ascii=&quot;Cambria Math&quot; w:h-ansi=&quot;Cambria Math&quot;/&gt;&lt;wx:font wx:val=&quot;Cambria Math&quot;/&gt;&lt;w:sz-cs w:val=&quot;24&quot;/&gt;&lt;/w:rPr&gt;&lt;/m:ctrlPr&gt;&lt;/m:fPr&gt;&lt;m:num&gt;&lt;m:sSub&gt;&lt;m:sSubPr&gt;&lt;m:ctrlPr&gt;&lt;w:rPr&gt;&lt;w:rFonts w:ascii=&quot;Cambria Math&quot; w:h-ansi=&quot;Cambria Math&quot;/&gt;&lt;wx:font wx:val=&quot;Cambria Math&quot;/&gt;&lt;w:sz-cs w:val=&quot;24&quot;/&gt;&lt;/w:rPr&gt;&lt;/m:ctrlPr&gt;&lt;/m:sSubPr&gt;&lt;m:e&gt;&lt;m:r&gt;&lt;w:rPr&gt;&lt;w:rFonts w:ascii=&quot;Cambria Math&quot; w:h-ansi=&quot;Cambria Math&quot;/&gt;&lt;wx:font wx:val=&quot;Cambria Math&quot;/&gt;&lt;w:i/&gt;&lt;w:sz-cs w:val=&quot;24&quot;/&gt;&lt;/w:rPr&gt;&lt;m:t&gt;I&lt;/m:t&gt;&lt;/m:r&gt;&lt;/m:e&gt;&lt;m:sub&gt;&lt;m:r&gt;&lt;w:rPr&gt;&lt;w:rFonts w:ascii=&quot;Cambria Math&quot; w:h-ansi=&quot;Cambria Math&quot;/&gt;&lt;wx:font wx:val=&quot;Cambria Math&quot;/&gt;&lt;w:i/&gt;&lt;w:sz-cs w:val=&quot;24&quot;/&gt;&lt;/w:rPr&gt;&lt;m:t&gt;T&lt;/m:t&gt;&lt;/m:r&gt;&lt;/m:sub&gt;&lt;/m:sSub&gt;&lt;m:r&gt;&lt;m:rPr&gt;&lt;m:sty m:val=&quot;p&quot;/&gt;&lt;/m:rPr&gt;&lt;w:rPr&gt;&lt;w:rFonts w:ascii=&quot;Cambria Math&quot; w:fareast=&quot;微软雅黑&quot; w:h-ansi=&quot;Cambria Math&quot; w:cs=&quot;微软雅黑&quot; w:hint=&quot;fareast&quot;/&gt;&lt;wx:font wx:val=&quot;微软雅黑&quot;/&gt;&lt;w:sz-cs w:val=&quot;24&quot;/&gt;&lt;/w:rPr&gt;&lt;m:t&gt;-&lt;/m:t&gt;&lt;/m:r&gt;&lt;m:sSub&gt;&lt;m:sSubPr&gt;&lt;m:ctrlPr&gt;&lt;w:rPr&gt;&lt;w:rFonts w:ascii=&quot;Cambria Math&quot; w:h-ansi=&quot;Cambria Math&quot;/&gt;&lt;wx:font wx:valath&quot; w:fareaath&quot; w:fareaath&quot; w:fareaath&quot; w:fareaath&quot; w:fareaath&quot; w:fareaath&quot; w:fareaath&quot; w:fareaath&quot; w:fareaath&quot; w:farea=&quot;h&quot; w:fareastCambria Math&quot;/&gt;&lt;w:sz-cs w:val=&quot;24&quot;/&gt;&lt;/w:rPr&gt;&lt;/m:ctrlPr&gt;&lt;/m:sSubPr&gt;&lt;m:e&gt;&lt;m:r&gt;&lt;w:rPr&gt;&lt;w:rFonts w:ascii=&quot;Cambria Math&quot; w:h-ansi=&quot;Cambria Math&quot;/&gt;&lt;wx:font wx:val=&quot;Cambria Math&quot;/&gt;&lt;w:i/&gt;&lt;w:sz-cs w:val=&quot;24&quot;/&gt;&lt;/w:rPr&gt;&lt;m:t&gt;I&lt;/m:t&gt;&lt;/m:r&gt;&lt;/m:e&gt;&lt;m:sub&gt;&lt;m:r&gt;&lt;m:rPr&gt;&lt;m:sty m:val=&quot;p&quot;/&gt;&lt;/m:rPr&gt;&lt;w:rPr&gt;&lt;w:rFonts w:ascii=&quot;Cambria Math&quot; w:h-ansi=&quot;Cambria Math&quot;/&gt;&lt;wx:font wx:val=&quot;Cambria Math&quot;/&gt;&lt;w:sz-cs w:val=&quot;24&quot;/&gt;&lt;/w:rPr&gt;&lt;m:t&gt;0&lt;/m:t&gt;&lt;/m:r&gt;&lt;/m:sub&gt;&lt;/m:sSub&gt;&lt;/m:num&gt;&lt;m:den&gt;&lt;m:sSub&gt;&lt;m:sSubPr&gt;&lt;m:ctrlPr&gt;&lt;w:rPr&gt;&lt;w:rFonts w:ascii=&quot;Cambria Math&quot; w:h-ansi=&quot;Cambria Math&quot;/&gt;&lt;wx:font wx:val=&quot;Cambria Math&quot;/&gt;&lt;w:sz-cs w:val=&quot;24&quot;/&gt;&lt;/w:rPr&gt;&lt;/m:ctrlPr&gt;&lt;/m:sSubPr&gt;&lt;m:e&gt;&lt;m:r&gt;&lt;w:rPr&gt;&lt;w:rFonts w:ascii=&quot;Cambria Math&quot; w:h-ansi=&quot;Cambria Math&quot;/&gt;&lt;wx:font wx:val=&quot;Cambria Math&quot;/&gt;&lt;w:i/&gt;&lt;w:sz-cs w:val=&quot;24&quot;/&gt;&lt;/w:rPr&gt;&lt;m:t&gt;I&lt;/m:t&gt;&lt;/m:r&gt;&lt;/m:e&gt;&lt;m:sub&gt;&lt;m:r&gt;&lt;m:rPr&gt;&lt;m:sty m:val=&quot;p&quot;/&gt;&lt;/m:rPr&gt;&lt;w:rPr&gt;&lt;w:rFonts w:ascii=&quot;Cambria Math&quot; w:h-ansi=&quot;Cambria Math&quot;/&gt;&lt;wx:font wx:val=&quot;Cambria Math&quot;/&gt;&lt;w:sz-cs w:val=&quot;24&quot;/&gt;&lt;/w:rPr&gt;&lt;m:t&gt;0&lt;/m:t&gt;&lt;/m:r&gt;&lt;/m:sub&gt;&lt;/m:sSub&gt;&lt;/m:den&gt;&lt;/m:f&gt;&lt;m:r&gt;&lt;m:rPr&gt;&lt;m:sty m:val=&quot;p&quot;/&gt;&lt;/m:rPr&gt;&lt;w:rPr&gt;&lt;w:rFonts w:ascii=&quot;Cambria Math&quot; w:h-ansi=&quot;Cambria Math&quot;/&gt;&lt;wx:font wx:val=&quot;Cambria Math&quot;/&gt;&lt;w:sz-cs w:val=&quot;24&quot;/&gt;&lt;/w:rPr&gt;&lt;m:t&gt;×&lt;/mh:t&gt;&lt;/m:r&gt;&lt;m: f&gt;&lt;m:fPr&gt;&lt;m:&gt;ctrlPr&gt;&lt;w:rPtr&gt;&lt;w:rFonts :w:ascii=&quot;Cam/bria Math&quot; wd:h-ansi=&quot;Cambr&gt;ia Math&quot;/&gt;&lt;wx:font wx:val=&quot;Cambria Math&quot;/&gt;&lt;w:sz-cs w:val=&quot;24&quot;/&gt;&lt;/w:rPr&gt;&lt;/m:ctrlPr&gt;&lt;/m:fPr&gt;&lt;m:num&gt;&lt;m:r&gt;&lt;m:rPr&gt;&lt;m:sty m:val=&quot;p&quot;:/&gt;&lt;/m:rPr&gt;&lt;w=:rPr&gt;&lt;w:rFonPts w:ascii=&quot;Cambria Math&quot; w:h-ansi=&quot;Cambria Math&quot;/&gt;&lt;wx:font wx:val=&quot;Cambria Math&quot;/&gt;&lt;w:sz-cs w:val=&quot;24&quot;/&gt;&lt;/w:rPr&gt;&lt;m:t&gt;365&lt;/m:t&gt;&lt;/m:r&gt;&lt;/m:num&gt;&lt;m:den&gt;&lt;m:r&gt;&lt;w:rPr&gt;&lt;w:rFonts w:ascii=&quot;Cambria Math&quot; w:h-ansi=&quot;Cambria Math&quot;/&gt;&lt;wx:font wx:val=&quot;Cambria Math&quot;/&gt;&lt;w:i/&gt;&lt;w:sz-cs w:val=&quot;24&quot;/&gt;&lt;/w:rPr&gt;&lt;m:t&gt;T&lt;/m:t&gt;&lt;/m:r&gt;&lt;/m:den&gt;&lt;/m:f&gt;&lt;m:r&gt;&lt;m:rPr&gt;&lt;m:sty m:val=&quot;p&quot;/&gt;&lt;/m:rPr&gt;&lt;w:rPr&gt;&lt;w:rFonts w:ascii=&quot;Cambria Math&quot; w:h-ansi=&quot;Cambria Math&quot;/&gt;&lt;wx:font wx:val=&quot;Cambria Math&quot;/&gt;&lt;w:sz-cs w:val=&quot;24&quot;/&gt;&lt;/w:rPr&gt;&lt;m:t&gt;×100%&lt;/m:t&gt; &lt;/m:r&gt;&lt;/m:oMa&gt;th&gt;&lt;/m:oMathPaara&gt;&lt;/aml:conrtent&gt;&lt;/aml:an:notation&gt;&lt;/w:dp&gt;&lt;w:sectPr wrsp:rsidR=&quot;000t00000&quot;&gt;&lt;w:pgS&gt;z w:w=&quot;12240&quot; w&gt;:h=&quot;15840&quot;/&gt;&lt;w:pgMar w:top=&quot;1440&quot; w:right=&quot;1800&quot; w:bottom=&quot;1440&quot; w:left=&quot;1800&quot; w:header=&quot;720&quot; w:footer=&quot;720&quot; w:guttter=&quot;0&quot;/&gt;&lt;w:cols w:space=&quot;720&quot;/&gt;&lt;/w:sectPr&gt;&lt;/wx:sect&gt;&lt;/w:body&gt;&lt;/w:wordDocument&gt;">
            <v:path/>
            <v:fill on="f" focussize="0,0"/>
            <v:stroke on="f" joinstyle="miter"/>
            <v:imagedata r:id="rId11" chromakey="#FFFFFF" o:title=""/>
            <o:lock v:ext="edit" aspectratio="t"/>
            <w10:wrap type="none"/>
            <w10:anchorlock/>
          </v:shape>
        </w:pict>
      </w:r>
      <w:r>
        <w:rPr>
          <w:rFonts w:ascii="宋体" w:hAnsi="宋体"/>
          <w:color w:val="auto"/>
          <w:sz w:val="24"/>
          <w:szCs w:val="24"/>
          <w:highlight w:val="none"/>
        </w:rPr>
        <w:instrText xml:space="preserve"> </w:instrText>
      </w:r>
      <w:r>
        <w:rPr>
          <w:rFonts w:ascii="宋体" w:hAnsi="宋体"/>
          <w:color w:val="auto"/>
          <w:sz w:val="24"/>
          <w:szCs w:val="24"/>
          <w:highlight w:val="none"/>
        </w:rPr>
        <w:fldChar w:fldCharType="separate"/>
      </w:r>
      <w:r>
        <w:rPr>
          <w:color w:val="auto"/>
          <w:position w:val="-26"/>
          <w:highlight w:val="none"/>
        </w:rPr>
        <w:pict>
          <v:shape id="_x0000_i1034" o:spt="75" type="#_x0000_t75" style="height:32.5pt;width:118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6B0&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F456B0&quot; wsp:rsidP=&quot;00F456B0&quot;&gt;&lt;aml:annotation aml:id=&quot;0&quot; w:type=&quot;Word.Insertion&quot; aml:author=&quot;zcs&quot; aml:createdate=&quot;2024-12-16T13:29:00Z&quot;&gt;&lt;aml:content&gt;&lt;m:oMathPara&gt;&lt;m:oMath&gt;&lt;m:r&gt;&lt;w:rPr&gt;&lt;w:rFonts w:ascii=&quot;Cambria Math&quot; w:h-ansi=&quot;Cambria Math&quot;/&gt;&lt;wx:font wx:val=&quot;Cambria Math&quot;/&gt;&lt;w:i/&gt;&lt;w:sz-cs w:val=&quot;24&quot;/&gt;&lt;/w:rPr&gt;&lt;m:t&gt;h&lt;/m:t&gt;&lt;/m:r&gt;&lt;m:r&gt;&lt;m:rPr&gt;&lt;m:sty m:val=&quot;p&quot;/&gt;&lt;/m:rPr&gt;&lt;w:rPr&gt;&lt;w:rFonts w:ascii=&quot;Cambria Math&quot; w:h-ansi=&quot;Cambria Math&quot;/&gt;&lt;wx:font wx:val=&quot;Cambria Math&quot;/&gt;&lt;w:sz-cs w:val=&quot;24&quot;/&gt;&lt;/w:rPr&gt;&lt;m:t&gt;=&lt;/m:t&gt;&lt;/m:r&gt;&lt;m:f&gt;&lt;m:fPr&gt;&lt;m:ctrlPr&gt;&lt;w:rPr&gt;&lt;w:rFonts w:ascii=&quot;Cambria Math&quot; w:h-ansi=&quot;Cambria Math&quot;/&gt;&lt;wx:font wx:val=&quot;Cambria Math&quot;/&gt;&lt;w:sz-cs w:val=&quot;24&quot;/&gt;&lt;/w:rPr&gt;&lt;/m:ctrlPr&gt;&lt;/m:fPr&gt;&lt;m:num&gt;&lt;m:sSub&gt;&lt;m:sSubPr&gt;&lt;m:ctrlPr&gt;&lt;w:rPr&gt;&lt;w:rFonts w:ascii=&quot;Cambria Math&quot; w:h-ansi=&quot;Cambria Math&quot;/&gt;&lt;wx:font wx:val=&quot;Cambria Math&quot;/&gt;&lt;w:sz-cs w:val=&quot;24&quot;/&gt;&lt;/w:rPr&gt;&lt;/m:ctrlPr&gt;&lt;/m:sSubPr&gt;&lt;m:e&gt;&lt;m:r&gt;&lt;w:rPr&gt;&lt;w:rFonts w:ascii=&quot;Cambria Math&quot; w:h-ansi=&quot;Cambria Math&quot;/&gt;&lt;wx:font wx:val=&quot;Cambria Math&quot;/&gt;&lt;w:i/&gt;&lt;w:sz-cs w:val=&quot;24&quot;/&gt;&lt;/w:rPr&gt;&lt;m:t&gt;I&lt;/m:t&gt;&lt;/m:r&gt;&lt;/m:e&gt;&lt;m:sub&gt;&lt;m:r&gt;&lt;w:rPr&gt;&lt;w:rFonts w:ascii=&quot;Cambria Math&quot; w:h-ansi=&quot;Cambria Math&quot;/&gt;&lt;wx:font wx:val=&quot;Cambria Math&quot;/&gt;&lt;w:i/&gt;&lt;w:sz-cs w:val=&quot;24&quot;/&gt;&lt;/w:rPr&gt;&lt;m:t&gt;T&lt;/m:t&gt;&lt;/m:r&gt;&lt;/m:sub&gt;&lt;/m:sSub&gt;&lt;m:r&gt;&lt;m:rPr&gt;&lt;m:sty m:val=&quot;p&quot;/&gt;&lt;/m:rPr&gt;&lt;w:rPr&gt;&lt;w:rFonts w:ascii=&quot;Cambria Math&quot; w:fareast=&quot;微软雅黑&quot; w:h-ansi=&quot;Cambria Math&quot; w:cs=&quot;微软雅黑&quot; w:hint=&quot;fareast&quot;/&gt;&lt;wx:font wx:val=&quot;微软雅黑&quot;/&gt;&lt;w:sz-cs w:val=&quot;24&quot;/&gt;&lt;/w:rPr&gt;&lt;m:t&gt;-&lt;/m:t&gt;&lt;/m:r&gt;&lt;m:sSub&gt;&lt;m:sSubPr&gt;&lt;m:ctrlPr&gt;&lt;w:rPr&gt;&lt;w:rFonts w:ascii=&quot;Cambria Math&quot; w:h-ansi=&quot;Cambria Math&quot;/&gt;&lt;wx:font wx:valath&quot; w:fareaath&quot; w:fareaath&quot; w:fareaath&quot; w:fareaath&quot; w:fareaath&quot; w:fareaath&quot; w:fareaath&quot; w:fareaath&quot; w:fareaath&quot; w:farea=&quot;h&quot; w:fareastCambria Math&quot;/&gt;&lt;w:sz-cs w:val=&quot;24&quot;/&gt;&lt;/w:rPr&gt;&lt;/m:ctrlPr&gt;&lt;/m:sSubPr&gt;&lt;m:e&gt;&lt;m:r&gt;&lt;w:rPr&gt;&lt;w:rFonts w:ascii=&quot;Cambria Math&quot; w:h-ansi=&quot;Cambria Math&quot;/&gt;&lt;wx:font wx:val=&quot;Cambria Math&quot;/&gt;&lt;w:i/&gt;&lt;w:sz-cs w:val=&quot;24&quot;/&gt;&lt;/w:rPr&gt;&lt;m:t&gt;I&lt;/m:t&gt;&lt;/m:r&gt;&lt;/m:e&gt;&lt;m:sub&gt;&lt;m:r&gt;&lt;m:rPr&gt;&lt;m:sty m:val=&quot;p&quot;/&gt;&lt;/m:rPr&gt;&lt;w:rPr&gt;&lt;w:rFonts w:ascii=&quot;Cambria Math&quot; w:h-ansi=&quot;Cambria Math&quot;/&gt;&lt;wx:font wx:val=&quot;Cambria Math&quot;/&gt;&lt;w:sz-cs w:val=&quot;24&quot;/&gt;&lt;/w:rPr&gt;&lt;m:t&gt;0&lt;/m:t&gt;&lt;/m:r&gt;&lt;/m:sub&gt;&lt;/m:sSub&gt;&lt;/m:num&gt;&lt;m:den&gt;&lt;m:sSub&gt;&lt;m:sSubPr&gt;&lt;m:ctrlPr&gt;&lt;w:rPr&gt;&lt;w:rFonts w:ascii=&quot;Cambria Math&quot; w:h-ansi=&quot;Cambria Math&quot;/&gt;&lt;wx:font wx:val=&quot;Cambria Math&quot;/&gt;&lt;w:sz-cs w:val=&quot;24&quot;/&gt;&lt;/w:rPr&gt;&lt;/m:ctrlPr&gt;&lt;/m:sSubPr&gt;&lt;m:e&gt;&lt;m:r&gt;&lt;w:rPr&gt;&lt;w:rFonts w:ascii=&quot;Cambria Math&quot; w:h-ansi=&quot;Cambria Math&quot;/&gt;&lt;wx:font wx:val=&quot;Cambria Math&quot;/&gt;&lt;w:i/&gt;&lt;w:sz-cs w:val=&quot;24&quot;/&gt;&lt;/w:rPr&gt;&lt;m:t&gt;I&lt;/m:t&gt;&lt;/m:r&gt;&lt;/m:e&gt;&lt;m:sub&gt;&lt;m:r&gt;&lt;m:rPr&gt;&lt;m:sty m:val=&quot;p&quot;/&gt;&lt;/m:rPr&gt;&lt;w:rPr&gt;&lt;w:rFonts w:ascii=&quot;Cambria Math&quot; w:h-ansi=&quot;Cambria Math&quot;/&gt;&lt;wx:font wx:val=&quot;Cambria Math&quot;/&gt;&lt;w:sz-cs w:val=&quot;24&quot;/&gt;&lt;/w:rPr&gt;&lt;m:t&gt;0&lt;/m:t&gt;&lt;/m:r&gt;&lt;/m:sub&gt;&lt;/m:sSub&gt;&lt;/m:den&gt;&lt;/m:f&gt;&lt;m:r&gt;&lt;m:rPr&gt;&lt;m:sty m:val=&quot;p&quot;/&gt;&lt;/m:rPr&gt;&lt;w:rPr&gt;&lt;w:rFonts w:ascii=&quot;Cambria Math&quot; w:h-ansi=&quot;Cambria Math&quot;/&gt;&lt;wx:font wx:val=&quot;Cambria Math&quot;/&gt;&lt;w:sz-cs w:val=&quot;24&quot;/&gt;&lt;/w:rPr&gt;&lt;m:t&gt;×&lt;/mh:t&gt;&lt;/m:r&gt;&lt;m: f&gt;&lt;m:fPr&gt;&lt;m:&gt;ctrlPr&gt;&lt;w:rPtr&gt;&lt;w:rFonts :w:ascii=&quot;Cam/bria Math&quot; wd:h-ansi=&quot;Cambr&gt;ia Math&quot;/&gt;&lt;wx:font wx:val=&quot;Cambria Math&quot;/&gt;&lt;w:sz-cs w:val=&quot;24&quot;/&gt;&lt;/w:rPr&gt;&lt;/m:ctrlPr&gt;&lt;/m:fPr&gt;&lt;m:num&gt;&lt;m:r&gt;&lt;m:rPr&gt;&lt;m:sty m:val=&quot;p&quot;:/&gt;&lt;/m:rPr&gt;&lt;w=:rPr&gt;&lt;w:rFonPts w:ascii=&quot;Cambria Math&quot; w:h-ansi=&quot;Cambria Math&quot;/&gt;&lt;wx:font wx:val=&quot;Cambria Math&quot;/&gt;&lt;w:sz-cs w:val=&quot;24&quot;/&gt;&lt;/w:rPr&gt;&lt;m:t&gt;365&lt;/m:t&gt;&lt;/m:r&gt;&lt;/m:num&gt;&lt;m:den&gt;&lt;m:r&gt;&lt;w:rPr&gt;&lt;w:rFonts w:ascii=&quot;Cambria Math&quot; w:h-ansi=&quot;Cambria Math&quot;/&gt;&lt;wx:font wx:val=&quot;Cambria Math&quot;/&gt;&lt;w:i/&gt;&lt;w:sz-cs w:val=&quot;24&quot;/&gt;&lt;/w:rPr&gt;&lt;m:t&gt;T&lt;/m:t&gt;&lt;/m:r&gt;&lt;/m:den&gt;&lt;/m:f&gt;&lt;m:r&gt;&lt;m:rPr&gt;&lt;m:sty m:val=&quot;p&quot;/&gt;&lt;/m:rPr&gt;&lt;w:rPr&gt;&lt;w:rFonts w:ascii=&quot;Cambria Math&quot; w:h-ansi=&quot;Cambria Math&quot;/&gt;&lt;wx:font wx:val=&quot;Cambria Math&quot;/&gt;&lt;w:sz-cs w:val=&quot;24&quot;/&gt;&lt;/w:rPr&gt;&lt;m:t&gt;×100%&lt;/m:t&gt; &lt;/m:r&gt;&lt;/m:oMa&gt;th&gt;&lt;/m:oMathPaara&gt;&lt;/aml:conrtent&gt;&lt;/aml:an:notation&gt;&lt;/w:dp&gt;&lt;w:sectPr wrsp:rsidR=&quot;000t00000&quot;&gt;&lt;w:pgS&gt;z w:w=&quot;12240&quot; w&gt;:h=&quot;15840&quot;/&gt;&lt;w:pgMar w:top=&quot;1440&quot; w:right=&quot;1800&quot; w:bottom=&quot;1440&quot; w:left=&quot;1800&quot; w:header=&quot;720&quot; w:footer=&quot;720&quot; w:guttter=&quot;0&quot;/&gt;&lt;w:cols w:space=&quot;720&quot;/&gt;&lt;/w:sectPr&gt;&lt;/wx:sect&gt;&lt;/w:body&gt;&lt;/w:wordDocument&gt;">
            <v:path/>
            <v:fill on="f" focussize="0,0"/>
            <v:stroke on="f" joinstyle="miter"/>
            <v:imagedata r:id="rId11" chromakey="#FFFFFF" o:title=""/>
            <o:lock v:ext="edit" aspectratio="t"/>
            <w10:wrap type="none"/>
            <w10:anchorlock/>
          </v:shape>
        </w:pict>
      </w:r>
      <w:r>
        <w:rPr>
          <w:rFonts w:ascii="宋体" w:hAnsi="宋体"/>
          <w:color w:val="auto"/>
          <w:sz w:val="24"/>
          <w:szCs w:val="24"/>
          <w:highlight w:val="none"/>
        </w:rPr>
        <w:fldChar w:fldCharType="end"/>
      </w:r>
      <w:r>
        <w:rPr>
          <w:rFonts w:hint="eastAsia" w:ascii="宋体" w:hAnsi="宋体"/>
          <w:color w:val="auto"/>
          <w:sz w:val="24"/>
          <w:szCs w:val="24"/>
          <w:highlight w:val="none"/>
        </w:rPr>
        <w:t>；</w:t>
      </w:r>
    </w:p>
    <w:p w14:paraId="4D6E630F">
      <w:pPr>
        <w:pStyle w:val="18"/>
        <w:adjustRightInd w:val="0"/>
        <w:snapToGrid w:val="0"/>
        <w:spacing w:line="360" w:lineRule="auto"/>
        <w:ind w:firstLine="480"/>
        <w:rPr>
          <w:rFonts w:ascii="宋体" w:hAnsi="宋体"/>
          <w:color w:val="auto"/>
          <w:sz w:val="24"/>
          <w:szCs w:val="24"/>
          <w:highlight w:val="none"/>
        </w:rPr>
      </w:pPr>
      <w:r>
        <w:rPr>
          <w:rFonts w:hint="eastAsia" w:ascii="宋体" w:hAnsi="宋体"/>
          <w:color w:val="auto"/>
          <w:sz w:val="24"/>
          <w:szCs w:val="24"/>
          <w:highlight w:val="none"/>
        </w:rPr>
        <w:t>其中：</w:t>
      </w:r>
    </w:p>
    <w:p w14:paraId="539C3316">
      <w:pPr>
        <w:pStyle w:val="18"/>
        <w:adjustRightInd w:val="0"/>
        <w:snapToGrid w:val="0"/>
        <w:spacing w:line="360" w:lineRule="auto"/>
        <w:rPr>
          <w:rFonts w:ascii="宋体" w:hAnsi="宋体"/>
          <w:color w:val="auto"/>
          <w:sz w:val="24"/>
          <w:szCs w:val="24"/>
          <w:highlight w:val="none"/>
        </w:rPr>
      </w:pPr>
      <m:oMath>
        <m:sSub>
          <m:sSubPr>
            <m:ctrlPr>
              <w:rPr>
                <w:rFonts w:ascii="Cambria Math" w:hAnsi="Cambria Math"/>
                <w:color w:val="auto"/>
                <w:szCs w:val="24"/>
                <w:highlight w:val="none"/>
              </w:rPr>
            </m:ctrlPr>
          </m:sSubPr>
          <m:e>
            <m:r>
              <m:rPr/>
              <w:rPr>
                <w:rFonts w:ascii="Cambria Math" w:hAnsi="Cambria Math"/>
                <w:color w:val="auto"/>
                <w:szCs w:val="24"/>
                <w:highlight w:val="none"/>
              </w:rPr>
              <m:t>I</m:t>
            </m:r>
            <m:ctrlPr>
              <w:rPr>
                <w:rFonts w:ascii="Cambria Math" w:hAnsi="Cambria Math"/>
                <w:color w:val="auto"/>
                <w:szCs w:val="24"/>
                <w:highlight w:val="none"/>
              </w:rPr>
            </m:ctrlPr>
          </m:e>
          <m:sub>
            <m:r>
              <m:rPr/>
              <w:rPr>
                <w:rFonts w:ascii="Cambria Math" w:hAnsi="Cambria Math"/>
                <w:color w:val="auto"/>
                <w:szCs w:val="24"/>
                <w:highlight w:val="none"/>
              </w:rPr>
              <m:t>T</m:t>
            </m:r>
            <m:ctrlPr>
              <w:rPr>
                <w:rFonts w:ascii="Cambria Math" w:hAnsi="Cambria Math"/>
                <w:color w:val="auto"/>
                <w:szCs w:val="24"/>
                <w:highlight w:val="none"/>
              </w:rPr>
            </m:ctrlPr>
          </m:sub>
        </m:sSub>
        <m:r>
          <m:rPr>
            <m:sty m:val="p"/>
          </m:rPr>
          <w:rPr>
            <w:rFonts w:ascii="Cambria Math" w:hAnsi="Cambria Math"/>
            <w:color w:val="auto"/>
            <w:szCs w:val="24"/>
            <w:highlight w:val="none"/>
          </w:rPr>
          <m:t xml:space="preserve">= </m:t>
        </m:r>
      </m:oMath>
      <w:r>
        <w:rPr>
          <w:rFonts w:hint="eastAsia" w:ascii="宋体" w:hAnsi="宋体"/>
          <w:color w:val="auto"/>
          <w:sz w:val="24"/>
          <w:szCs w:val="24"/>
          <w:highlight w:val="none"/>
        </w:rPr>
        <w:t>本次业绩报酬计提日的中证500指数收盘价价格；</w:t>
      </w:r>
    </w:p>
    <w:p w14:paraId="576918AE">
      <w:pPr>
        <w:spacing w:line="360" w:lineRule="auto"/>
        <w:ind w:firstLine="420" w:firstLineChars="200"/>
        <w:rPr>
          <w:rFonts w:ascii="宋体" w:hAnsi="宋体"/>
          <w:color w:val="auto"/>
          <w:szCs w:val="21"/>
          <w:highlight w:val="none"/>
        </w:rPr>
      </w:pPr>
      <w:r>
        <w:rPr>
          <w:rFonts w:ascii="宋体" w:hAnsi="宋体"/>
          <w:color w:val="auto"/>
          <w:szCs w:val="21"/>
          <w:highlight w:val="none"/>
          <w:lang w:val="zh-CN"/>
        </w:rPr>
        <w:fldChar w:fldCharType="begin"/>
      </w:r>
      <w:r>
        <w:rPr>
          <w:rFonts w:ascii="宋体" w:hAnsi="宋体"/>
          <w:color w:val="auto"/>
          <w:szCs w:val="21"/>
          <w:highlight w:val="none"/>
          <w:lang w:val="zh-CN"/>
        </w:rPr>
        <w:instrText xml:space="preserve"> QUOTE </w:instrText>
      </w:r>
      <w:r>
        <w:rPr>
          <w:color w:val="auto"/>
          <w:position w:val="-26"/>
          <w:highlight w:val="none"/>
        </w:rPr>
        <w:pict>
          <v:shape id="_x0000_i1035" o:spt="75" type="#_x0000_t75" style="height:32.5pt;width:29.5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A&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84203A&quot; wsp:rsidP=&quot;0084203A&quot;&gt;&lt;m:oMathPara&gt;&lt;m:oMath&gt;&lt;m:sSub&gt;&lt;m:sSubPr&gt;&lt;m:ctrlPr&gt;&lt;aml:annotation aml:id=&quot;0&quot; w:type=&quot;Word.Insertion&quot; aml:author=&quot;zcs&quot; aml:createdate=&quot;2024-12-16T13:29:00Z&quot;&gt;&lt;aml:content&gt;&lt;w:rPr&gt;&lt;w:rFonts w:ascii=&quot;Cambria Math&quot; w:fareast=&quot;宋体&quot; w:h-ansi=&quot;Cap:p:p:p:p:p:p:p:p:p:mbrsria Math&quot; w:cs=&quot;宋体&quot;/&gt;&lt;wx:font wx:val=&quot;Cambria Math&quot;/&gt;&lt;w:i/&gt;&lt;w:sz-cs w:val=&quot;21&quot;/&gt;&lt;w:lang w:val=&quot;ZH-CN&quot;/&gt;&lt;/w:rPr&gt;&lt;/aml:content&gt;&lt;/aml:annotation&gt;&lt;/m:ctrlPr&gt;&lt;/m:sSubPr&gt;&lt;m:e&gt;&lt;aml:annotation aml:id=&quot;1&quot; w:type=&quot;Word.Insertion&quot; aml:author=p:&quot;zp:csp:&quot; p:amp:l:p:crp:eap:tep:dap:te=&quot;rs2024-12-16T13:29:00Z&quot;&gt;&lt;aml:content&gt;&lt;m:r&gt;&lt;w:rPr&gt;&lt;w:rFonts w:ascii=&quot;Cambria Math&quot; w:fareast=&quot;宋体&quot; w:h-ansi=&quot;Cambria Math&quot; w:cs=&quot;宋体&quot;/&gt;&lt;wx:font wx:val=&quot;Cambria Math&quot;/&gt;&lt;w:i/&gt;&lt;w:sz-cs w:val=&quot;21&quot;/&gt;&lt;w:lang w:val=&quot;ZH-CNr=p:&quot;/&gt;&lt;&quot;zp:/w:rcsp:Pr&gt;&lt;&quot; p:m:t&gt;amp:I&lt;/ml:p::t&gt;&lt;crp:/m:reap:&gt;&lt;/atep:ml:cdap:ontent=&quot;rs&gt;&lt;/aml:annotation&gt;&lt;/m:e&gt;&lt;m:sub&gt;&lt;aml:annotation aml:id=&quot;2&quot; w:type=&quot;Word.Insertion&quot; aml:author=&quot;zcs&quot; aml:createdate=&quot;2024-12-16T13:29:00Z&quot;&gt;&lt;aml:content&gt;&lt;m:r&gt;&lt;w:rPr&gt;&lt;w:rFonts w:ascii=&quot;Cambria Math&quot; w:fareast=&quot;宋体&quot; wp::h-ansi=p:&quot;Cambriap: Math&quot; wp::cs=&quot;宋?ap:?/&gt;&lt;wx:fo=&quot;rsnt wx:val=&quot;Cambria Math&quot;/&gt;&lt;w:i/&gt;&lt;w:sz-cs w:val=&quot;21&quot;/&gt;&lt;w:lang w:val=&quot;ZH-CN&quot;/&gt;&lt;/w:rPr&gt;&lt;m:t&gt;0&lt;/m:t&gt;&lt;/m:r&gt;&lt;/aml:content&gt;&lt;/aml:annotation&gt;&lt;/m:sub&gt;&lt;/m:sSub&gt;&lt;aml:annos wtation ai=&quot;ml:id=&quot;3ia &quot; w:type w:=&quot;Word.Ist=nsertion&quot; :aml:author:=&quot;zcs&quot; aml::createdat:e=&quot;2024-12:-16T13:29:00Z&quot;&gt;&lt;aml:content&gt;&lt;m:r&gt;&lt;w:rPr&gt;&lt;w:rFonts w:ascii=&quot;Cambria Math&quot; w:fareast=&quot;宋体&quot; w:h-ansi=&quot;Cambria Math&quot; w:cs=&quot;宋体&quot;/&gt;&lt;wx:font wx:val=&quot;Cambria Mathos w&quot;/&gt;&lt;w:i/&gt;&lt;wai=&quot;:sz-cs w:va3ia l=&quot;21&quot;/&gt;&lt;w:e w:lang w:val=Ist=&quot;ZH-CN&quot;/&gt;&lt;/n&quot; :w:rPr&gt;&lt;m:t&gt;hor:=&lt;/m:t&gt;&lt;/m:aml:r&gt;&lt;/aml:condat:tent&gt;&lt;/aml:-12:annotation&gt;&lt;/m00Z&quot;: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2" chromakey="#FFFFFF" o:title=""/>
            <o:lock v:ext="edit" aspectratio="t"/>
            <w10:wrap type="none"/>
            <w10:anchorlock/>
          </v:shape>
        </w:pict>
      </w:r>
      <w:r>
        <w:rPr>
          <w:rFonts w:ascii="宋体" w:hAnsi="宋体"/>
          <w:color w:val="auto"/>
          <w:szCs w:val="21"/>
          <w:highlight w:val="none"/>
          <w:lang w:val="zh-CN"/>
        </w:rPr>
        <w:instrText xml:space="preserve"> </w:instrText>
      </w:r>
      <w:r>
        <w:rPr>
          <w:rFonts w:ascii="宋体" w:hAnsi="宋体"/>
          <w:color w:val="auto"/>
          <w:szCs w:val="21"/>
          <w:highlight w:val="none"/>
          <w:lang w:val="zh-CN"/>
        </w:rPr>
        <w:fldChar w:fldCharType="separate"/>
      </w:r>
      <w:r>
        <w:rPr>
          <w:color w:val="auto"/>
          <w:position w:val="-26"/>
          <w:highlight w:val="none"/>
        </w:rPr>
        <w:pict>
          <v:shape id="_x0000_i1036" o:spt="75" type="#_x0000_t75" style="height:32.5pt;width:29.5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A&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84203A&quot; wsp:rsidP=&quot;0084203A&quot;&gt;&lt;m:oMathPara&gt;&lt;m:oMath&gt;&lt;m:sSub&gt;&lt;m:sSubPr&gt;&lt;m:ctrlPr&gt;&lt;aml:annotation aml:id=&quot;0&quot; w:type=&quot;Word.Insertion&quot; aml:author=&quot;zcs&quot; aml:createdate=&quot;2024-12-16T13:29:00Z&quot;&gt;&lt;aml:content&gt;&lt;w:rPr&gt;&lt;w:rFonts w:ascii=&quot;Cambria Math&quot; w:fareast=&quot;宋体&quot; w:h-ansi=&quot;Cap:p:p:p:p:p:p:p:p:p:mbrsria Math&quot; w:cs=&quot;宋体&quot;/&gt;&lt;wx:font wx:val=&quot;Cambria Math&quot;/&gt;&lt;w:i/&gt;&lt;w:sz-cs w:val=&quot;21&quot;/&gt;&lt;w:lang w:val=&quot;ZH-CN&quot;/&gt;&lt;/w:rPr&gt;&lt;/aml:content&gt;&lt;/aml:annotation&gt;&lt;/m:ctrlPr&gt;&lt;/m:sSubPr&gt;&lt;m:e&gt;&lt;aml:annotation aml:id=&quot;1&quot; w:type=&quot;Word.Insertion&quot; aml:author=p:&quot;zp:csp:&quot; p:amp:l:p:crp:eap:tep:dap:te=&quot;rs2024-12-16T13:29:00Z&quot;&gt;&lt;aml:content&gt;&lt;m:r&gt;&lt;w:rPr&gt;&lt;w:rFonts w:ascii=&quot;Cambria Math&quot; w:fareast=&quot;宋体&quot; w:h-ansi=&quot;Cambria Math&quot; w:cs=&quot;宋体&quot;/&gt;&lt;wx:font wx:val=&quot;Cambria Math&quot;/&gt;&lt;w:i/&gt;&lt;w:sz-cs w:val=&quot;21&quot;/&gt;&lt;w:lang w:val=&quot;ZH-CNr=p:&quot;/&gt;&lt;&quot;zp:/w:rcsp:Pr&gt;&lt;&quot; p:m:t&gt;amp:I&lt;/ml:p::t&gt;&lt;crp:/m:reap:&gt;&lt;/atep:ml:cdap:ontent=&quot;rs&gt;&lt;/aml:annotation&gt;&lt;/m:e&gt;&lt;m:sub&gt;&lt;aml:annotation aml:id=&quot;2&quot; w:type=&quot;Word.Insertion&quot; aml:author=&quot;zcs&quot; aml:createdate=&quot;2024-12-16T13:29:00Z&quot;&gt;&lt;aml:content&gt;&lt;m:r&gt;&lt;w:rPr&gt;&lt;w:rFonts w:ascii=&quot;Cambria Math&quot; w:fareast=&quot;宋体&quot; wp::h-ansi=p:&quot;Cambriap: Math&quot; wp::cs=&quot;宋?ap:?/&gt;&lt;wx:fo=&quot;rsnt wx:val=&quot;Cambria Math&quot;/&gt;&lt;w:i/&gt;&lt;w:sz-cs w:val=&quot;21&quot;/&gt;&lt;w:lang w:val=&quot;ZH-CN&quot;/&gt;&lt;/w:rPr&gt;&lt;m:t&gt;0&lt;/m:t&gt;&lt;/m:r&gt;&lt;/aml:content&gt;&lt;/aml:annotation&gt;&lt;/m:sub&gt;&lt;/m:sSub&gt;&lt;aml:annos wtation ai=&quot;ml:id=&quot;3ia &quot; w:type w:=&quot;Word.Ist=nsertion&quot; :aml:author:=&quot;zcs&quot; aml::createdat:e=&quot;2024-12:-16T13:29:00Z&quot;&gt;&lt;aml:content&gt;&lt;m:r&gt;&lt;w:rPr&gt;&lt;w:rFonts w:ascii=&quot;Cambria Math&quot; w:fareast=&quot;宋体&quot; w:h-ansi=&quot;Cambria Math&quot; w:cs=&quot;宋体&quot;/&gt;&lt;wx:font wx:val=&quot;Cambria Mathos w&quot;/&gt;&lt;w:i/&gt;&lt;wai=&quot;:sz-cs w:va3ia l=&quot;21&quot;/&gt;&lt;w:e w:lang w:val=Ist=&quot;ZH-CN&quot;/&gt;&lt;/n&quot; :w:rPr&gt;&lt;m:t&gt;hor:=&lt;/m:t&gt;&lt;/m:aml:r&gt;&lt;/aml:condat:tent&gt;&lt;/aml:-12:annotation&gt;&lt;/m00Z&quot;: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2" chromakey="#FFFFFF" o:title=""/>
            <o:lock v:ext="edit" aspectratio="t"/>
            <w10:wrap type="none"/>
            <w10:anchorlock/>
          </v:shape>
        </w:pict>
      </w:r>
      <w:r>
        <w:rPr>
          <w:rFonts w:ascii="宋体" w:hAnsi="宋体"/>
          <w:color w:val="auto"/>
          <w:szCs w:val="21"/>
          <w:highlight w:val="none"/>
          <w:lang w:val="zh-CN"/>
        </w:rPr>
        <w:fldChar w:fldCharType="end"/>
      </w:r>
      <w:r>
        <w:rPr>
          <w:rFonts w:hint="eastAsia" w:ascii="宋体" w:hAnsi="宋体"/>
          <w:color w:val="auto"/>
          <w:szCs w:val="21"/>
          <w:highlight w:val="none"/>
          <w:lang w:val="zh-CN"/>
        </w:rPr>
        <w:t xml:space="preserve"> </w:t>
      </w:r>
      <w:r>
        <w:rPr>
          <w:rFonts w:hint="eastAsia" w:ascii="宋体" w:hAnsi="宋体"/>
          <w:color w:val="auto"/>
          <w:szCs w:val="21"/>
          <w:highlight w:val="none"/>
        </w:rPr>
        <w:t>上一个业绩报酬计提日的中证500指数收盘价价格。</w:t>
      </w:r>
      <w:r>
        <w:rPr>
          <w:rFonts w:hint="eastAsia" w:ascii="宋体" w:hAnsi="宋体"/>
          <w:b/>
          <w:bCs/>
          <w:color w:val="auto"/>
          <w:szCs w:val="21"/>
          <w:highlight w:val="none"/>
        </w:rPr>
        <w:t>首次计提时，如为启用日前（含启用日）参与份额，则为启用日的中证500指数收盘价价格；如为启用日后参与份额，则为该笔份额</w:t>
      </w:r>
      <w:r>
        <w:rPr>
          <w:rFonts w:hint="eastAsia" w:ascii="宋体" w:hAnsi="宋体"/>
          <w:b/>
          <w:color w:val="auto"/>
          <w:szCs w:val="21"/>
          <w:highlight w:val="none"/>
        </w:rPr>
        <w:t>参与对应的申请日</w:t>
      </w:r>
      <w:r>
        <w:rPr>
          <w:rFonts w:hint="eastAsia" w:ascii="宋体" w:hAnsi="宋体"/>
          <w:b/>
          <w:bCs/>
          <w:color w:val="auto"/>
          <w:szCs w:val="21"/>
          <w:highlight w:val="none"/>
        </w:rPr>
        <w:t>的中证500指数收盘价价格</w:t>
      </w:r>
      <w:r>
        <w:rPr>
          <w:rFonts w:hint="eastAsia" w:ascii="宋体" w:hAnsi="宋体"/>
          <w:color w:val="auto"/>
          <w:szCs w:val="21"/>
          <w:highlight w:val="none"/>
        </w:rPr>
        <w:t>。</w:t>
      </w:r>
    </w:p>
    <w:p w14:paraId="08671BC6">
      <w:pPr>
        <w:pStyle w:val="18"/>
        <w:adjustRightInd w:val="0"/>
        <w:snapToGrid w:val="0"/>
        <w:spacing w:line="360" w:lineRule="auto"/>
        <w:ind w:firstLine="480"/>
        <w:rPr>
          <w:rFonts w:ascii="宋体" w:hAnsi="宋体"/>
          <w:color w:val="auto"/>
          <w:sz w:val="24"/>
          <w:szCs w:val="24"/>
          <w:highlight w:val="none"/>
        </w:rPr>
      </w:pPr>
      <w:r>
        <w:rPr>
          <w:rFonts w:hint="eastAsia" w:ascii="宋体" w:hAnsi="宋体"/>
          <w:color w:val="auto"/>
          <w:sz w:val="24"/>
          <w:szCs w:val="24"/>
          <w:highlight w:val="none"/>
        </w:rPr>
        <w:t>注：指数收盘价格以交易所行情文件中为准。交易所行情没有的，以指数发布机构公布的数据为准。</w:t>
      </w:r>
    </w:p>
    <w:p w14:paraId="27FCB8F9">
      <w:pPr>
        <w:pStyle w:val="18"/>
        <w:adjustRightInd w:val="0"/>
        <w:snapToGrid w:val="0"/>
        <w:spacing w:line="360" w:lineRule="auto"/>
        <w:ind w:firstLine="480"/>
        <w:rPr>
          <w:rFonts w:ascii="宋体" w:hAnsi="宋体"/>
          <w:color w:val="auto"/>
          <w:sz w:val="24"/>
          <w:szCs w:val="24"/>
          <w:highlight w:val="none"/>
        </w:rPr>
      </w:pPr>
      <w:r>
        <w:rPr>
          <w:rFonts w:hint="eastAsia" w:ascii="宋体" w:hAnsi="宋体"/>
          <w:color w:val="auto"/>
          <w:sz w:val="24"/>
          <w:szCs w:val="24"/>
          <w:highlight w:val="none"/>
        </w:rPr>
        <w:t>管理人业绩报酬（R）计提公式如下：</w:t>
      </w:r>
    </w:p>
    <w:p w14:paraId="7CA7131F">
      <w:pPr>
        <w:pStyle w:val="18"/>
        <w:adjustRightInd w:val="0"/>
        <w:snapToGrid w:val="0"/>
        <w:spacing w:line="360" w:lineRule="auto"/>
        <w:rPr>
          <w:rFonts w:ascii="宋体" w:hAnsi="宋体"/>
          <w:color w:val="auto"/>
          <w:sz w:val="24"/>
          <w:szCs w:val="24"/>
          <w:highlight w:val="none"/>
        </w:rPr>
      </w:pPr>
      <m:oMath>
        <m:sSub>
          <m:sSubPr>
            <m:ctrlPr>
              <w:rPr>
                <w:rFonts w:ascii="Cambria Math" w:hAnsi="Cambria Math"/>
                <w:color w:val="auto"/>
                <w:szCs w:val="24"/>
                <w:highlight w:val="none"/>
              </w:rPr>
            </m:ctrlPr>
          </m:sSubPr>
          <m:e>
            <m:r>
              <m:rPr/>
              <w:rPr>
                <w:rFonts w:ascii="Cambria Math" w:hAnsi="Cambria Math"/>
                <w:color w:val="auto"/>
                <w:szCs w:val="24"/>
                <w:highlight w:val="none"/>
              </w:rPr>
              <m:t>R</m:t>
            </m:r>
            <m:ctrlPr>
              <w:rPr>
                <w:rFonts w:ascii="Cambria Math" w:hAnsi="Cambria Math"/>
                <w:color w:val="auto"/>
                <w:szCs w:val="24"/>
                <w:highlight w:val="none"/>
              </w:rPr>
            </m:ctrlPr>
          </m:e>
          <m:sub>
            <m:r>
              <m:rPr/>
              <w:rPr>
                <w:rFonts w:ascii="Cambria Math" w:hAnsi="Cambria Math"/>
                <w:color w:val="auto"/>
                <w:szCs w:val="24"/>
                <w:highlight w:val="none"/>
              </w:rPr>
              <m:t>e</m:t>
            </m:r>
            <m:ctrlPr>
              <w:rPr>
                <w:rFonts w:ascii="Cambria Math" w:hAnsi="Cambria Math"/>
                <w:color w:val="auto"/>
                <w:szCs w:val="24"/>
                <w:highlight w:val="none"/>
              </w:rPr>
            </m:ctrlPr>
          </m:sub>
        </m:sSub>
        <m:r>
          <m:rPr>
            <m:sty m:val="p"/>
          </m:rPr>
          <w:rPr>
            <w:rFonts w:ascii="Cambria Math" w:hAnsi="Cambria Math"/>
            <w:color w:val="auto"/>
            <w:szCs w:val="24"/>
            <w:highlight w:val="none"/>
          </w:rPr>
          <m:t>=</m:t>
        </m:r>
      </m:oMath>
      <w:r>
        <w:rPr>
          <w:rFonts w:hint="eastAsia" w:ascii="宋体" w:hAnsi="宋体"/>
          <w:color w:val="auto"/>
          <w:sz w:val="24"/>
          <w:szCs w:val="24"/>
          <w:highlight w:val="none"/>
        </w:rPr>
        <w:t xml:space="preserve"> 客户每笔份额相对同期中证500指数的超额年化收益率；</w:t>
      </w:r>
    </w:p>
    <w:p w14:paraId="2ADA0D52">
      <w:pPr>
        <w:pStyle w:val="18"/>
        <w:adjustRightInd w:val="0"/>
        <w:snapToGrid w:val="0"/>
        <w:spacing w:line="360" w:lineRule="auto"/>
        <w:jc w:val="center"/>
        <w:rPr>
          <w:rFonts w:ascii="Cambria Math" w:hAnsi="Cambria Math"/>
          <w:color w:val="auto"/>
          <w:sz w:val="24"/>
          <w:szCs w:val="24"/>
          <w:highlight w:val="none"/>
        </w:rPr>
      </w:pPr>
      <m:oMathPara>
        <m:oMath>
          <m:sSub>
            <m:sSubPr>
              <m:ctrlPr>
                <w:rPr>
                  <w:rFonts w:ascii="Cambria Math" w:hAnsi="Cambria Math"/>
                  <w:color w:val="auto"/>
                  <w:szCs w:val="24"/>
                  <w:highlight w:val="none"/>
                </w:rPr>
              </m:ctrlPr>
            </m:sSubPr>
            <m:e>
              <m:r>
                <m:rPr/>
                <w:rPr>
                  <w:rFonts w:ascii="Cambria Math" w:hAnsi="Cambria Math"/>
                  <w:color w:val="auto"/>
                  <w:szCs w:val="24"/>
                  <w:highlight w:val="none"/>
                </w:rPr>
                <m:t>R</m:t>
              </m:r>
              <m:ctrlPr>
                <w:rPr>
                  <w:rFonts w:ascii="Cambria Math" w:hAnsi="Cambria Math"/>
                  <w:color w:val="auto"/>
                  <w:szCs w:val="24"/>
                  <w:highlight w:val="none"/>
                </w:rPr>
              </m:ctrlPr>
            </m:e>
            <m:sub>
              <m:r>
                <m:rPr/>
                <w:rPr>
                  <w:rFonts w:ascii="Cambria Math" w:hAnsi="Cambria Math"/>
                  <w:color w:val="auto"/>
                  <w:szCs w:val="24"/>
                  <w:highlight w:val="none"/>
                </w:rPr>
                <m:t>e</m:t>
              </m:r>
              <m:ctrlPr>
                <w:rPr>
                  <w:rFonts w:ascii="Cambria Math" w:hAnsi="Cambria Math"/>
                  <w:color w:val="auto"/>
                  <w:szCs w:val="24"/>
                  <w:highlight w:val="none"/>
                </w:rPr>
              </m:ctrlPr>
            </m:sub>
          </m:sSub>
          <m:r>
            <m:rPr>
              <m:sty m:val="p"/>
            </m:rPr>
            <w:rPr>
              <w:rFonts w:ascii="Cambria Math" w:hAnsi="Cambria Math"/>
              <w:color w:val="auto"/>
              <w:szCs w:val="24"/>
              <w:highlight w:val="none"/>
            </w:rPr>
            <m:t>=</m:t>
          </m:r>
          <m:r>
            <m:rPr/>
            <w:rPr>
              <w:rFonts w:ascii="Cambria Math" w:hAnsi="Cambria Math"/>
              <w:color w:val="auto"/>
              <w:szCs w:val="24"/>
              <w:highlight w:val="none"/>
            </w:rPr>
            <m:t>r</m:t>
          </m:r>
          <m:r>
            <m:rPr>
              <m:sty m:val="p"/>
            </m:rPr>
            <w:rPr>
              <w:rFonts w:ascii="Cambria Math" w:hAnsi="Cambria Math"/>
              <w:color w:val="auto"/>
              <w:szCs w:val="24"/>
              <w:highlight w:val="none"/>
            </w:rPr>
            <m:t>−</m:t>
          </m:r>
          <m:r>
            <m:rPr/>
            <w:rPr>
              <w:rFonts w:ascii="Cambria Math" w:hAnsi="Cambria Math"/>
              <w:color w:val="auto"/>
              <w:szCs w:val="24"/>
              <w:highlight w:val="none"/>
            </w:rPr>
            <m:t>h</m:t>
          </m:r>
        </m:oMath>
      </m:oMathPara>
    </w:p>
    <w:tbl>
      <w:tblPr>
        <w:tblStyle w:val="7"/>
        <w:tblW w:w="5372"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0"/>
        <w:gridCol w:w="7246"/>
      </w:tblGrid>
      <w:tr w14:paraId="7CD5D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043" w:type="pct"/>
            <w:vAlign w:val="center"/>
          </w:tcPr>
          <w:p w14:paraId="5171CB2F">
            <w:pPr>
              <w:pStyle w:val="18"/>
              <w:adjustRightInd w:val="0"/>
              <w:snapToGrid w:val="0"/>
              <w:spacing w:line="360" w:lineRule="auto"/>
              <w:ind w:firstLine="0" w:firstLineChars="0"/>
              <w:jc w:val="center"/>
              <w:rPr>
                <w:rFonts w:ascii="宋体" w:hAnsi="宋体"/>
                <w:color w:val="auto"/>
                <w:sz w:val="24"/>
                <w:highlight w:val="none"/>
              </w:rPr>
            </w:pPr>
            <w:r>
              <w:rPr>
                <w:rFonts w:hint="eastAsia" w:ascii="宋体" w:hAnsi="宋体"/>
                <w:color w:val="auto"/>
                <w:sz w:val="24"/>
                <w:highlight w:val="none"/>
              </w:rPr>
              <w:t>年化收益率</w:t>
            </w:r>
          </w:p>
        </w:tc>
        <w:tc>
          <w:tcPr>
            <w:tcW w:w="3957" w:type="pct"/>
            <w:vAlign w:val="center"/>
          </w:tcPr>
          <w:p w14:paraId="084A2F5F">
            <w:pPr>
              <w:pStyle w:val="18"/>
              <w:adjustRightInd w:val="0"/>
              <w:snapToGrid w:val="0"/>
              <w:spacing w:line="360" w:lineRule="auto"/>
              <w:ind w:firstLine="480"/>
              <w:jc w:val="center"/>
              <w:rPr>
                <w:rFonts w:ascii="宋体" w:hAnsi="宋体"/>
                <w:color w:val="auto"/>
                <w:sz w:val="24"/>
                <w:highlight w:val="none"/>
              </w:rPr>
            </w:pPr>
            <w:r>
              <w:rPr>
                <w:rFonts w:hint="eastAsia" w:ascii="宋体" w:hAnsi="宋体"/>
                <w:color w:val="auto"/>
                <w:sz w:val="24"/>
                <w:highlight w:val="none"/>
              </w:rPr>
              <w:t>业绩报酬</w:t>
            </w:r>
          </w:p>
        </w:tc>
      </w:tr>
      <w:tr w14:paraId="142B3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043" w:type="pct"/>
            <w:vAlign w:val="center"/>
          </w:tcPr>
          <w:p w14:paraId="0FA1340C">
            <w:pPr>
              <w:pStyle w:val="18"/>
              <w:adjustRightInd w:val="0"/>
              <w:snapToGrid w:val="0"/>
              <w:spacing w:line="360" w:lineRule="auto"/>
              <w:ind w:firstLine="480"/>
              <w:jc w:val="center"/>
              <w:rPr>
                <w:rFonts w:ascii="宋体" w:hAnsi="宋体"/>
                <w:color w:val="auto"/>
                <w:sz w:val="24"/>
                <w:highlight w:val="none"/>
              </w:rPr>
            </w:pPr>
            <m:oMathPara>
              <m:oMath>
                <m:r>
                  <m:rPr>
                    <m:sty m:val="p"/>
                  </m:rPr>
                  <w:rPr>
                    <w:rFonts w:hint="eastAsia" w:ascii="Cambria Math" w:hAnsi="Cambria Math"/>
                    <w:color w:val="auto"/>
                    <w:sz w:val="24"/>
                    <w:highlight w:val="none"/>
                  </w:rPr>
                  <m:t>r</m:t>
                </m:r>
                <m:r>
                  <m:rPr>
                    <m:sty m:val="p"/>
                  </m:rPr>
                  <w:rPr>
                    <w:rFonts w:ascii="Cambria Math" w:hAnsi="Cambria Math"/>
                    <w:color w:val="auto"/>
                    <w:sz w:val="24"/>
                    <w:highlight w:val="none"/>
                  </w:rPr>
                  <m:t>≤0</m:t>
                </m:r>
                <m:r>
                  <m:rPr>
                    <m:sty m:val="p"/>
                  </m:rPr>
                  <w:rPr>
                    <w:rFonts w:hint="eastAsia" w:ascii="Cambria Math" w:hAnsi="Cambria Math"/>
                    <w:color w:val="auto"/>
                    <w:sz w:val="24"/>
                    <w:highlight w:val="none"/>
                  </w:rPr>
                  <m:t>或</m:t>
                </m:r>
                <m:sSub>
                  <m:sSubPr>
                    <m:ctrlPr>
                      <w:rPr>
                        <w:rFonts w:ascii="Cambria Math" w:hAnsi="Cambria Math"/>
                        <w:color w:val="auto"/>
                        <w:sz w:val="24"/>
                        <w:highlight w:val="none"/>
                      </w:rPr>
                    </m:ctrlPr>
                  </m:sSubPr>
                  <m:e>
                    <m:r>
                      <m:rPr/>
                      <w:rPr>
                        <w:rFonts w:ascii="Cambria Math" w:hAnsi="Cambria Math"/>
                        <w:color w:val="auto"/>
                        <w:sz w:val="24"/>
                        <w:highlight w:val="none"/>
                      </w:rPr>
                      <m:t>R</m:t>
                    </m:r>
                    <m:ctrlPr>
                      <w:rPr>
                        <w:rFonts w:ascii="Cambria Math" w:hAnsi="Cambria Math"/>
                        <w:color w:val="auto"/>
                        <w:sz w:val="24"/>
                        <w:highlight w:val="none"/>
                      </w:rPr>
                    </m:ctrlPr>
                  </m:e>
                  <m:sub>
                    <m:r>
                      <m:rPr/>
                      <w:rPr>
                        <w:rFonts w:ascii="Cambria Math" w:hAnsi="Cambria Math"/>
                        <w:color w:val="auto"/>
                        <w:sz w:val="24"/>
                        <w:highlight w:val="none"/>
                      </w:rPr>
                      <m:t>e</m:t>
                    </m:r>
                    <m:ctrlPr>
                      <w:rPr>
                        <w:rFonts w:ascii="Cambria Math" w:hAnsi="Cambria Math"/>
                        <w:color w:val="auto"/>
                        <w:sz w:val="24"/>
                        <w:highlight w:val="none"/>
                      </w:rPr>
                    </m:ctrlPr>
                  </m:sub>
                </m:sSub>
                <m:r>
                  <m:rPr>
                    <m:sty m:val="p"/>
                  </m:rPr>
                  <w:rPr>
                    <w:rFonts w:ascii="Cambria Math" w:hAnsi="Cambria Math"/>
                    <w:color w:val="auto"/>
                    <w:sz w:val="24"/>
                    <w:highlight w:val="none"/>
                  </w:rPr>
                  <m:t>≤0</m:t>
                </m:r>
              </m:oMath>
            </m:oMathPara>
          </w:p>
        </w:tc>
        <w:tc>
          <w:tcPr>
            <w:tcW w:w="3957" w:type="pct"/>
            <w:vAlign w:val="center"/>
          </w:tcPr>
          <w:p w14:paraId="254A6543">
            <w:pPr>
              <w:pStyle w:val="18"/>
              <w:adjustRightInd w:val="0"/>
              <w:snapToGrid w:val="0"/>
              <w:spacing w:line="360" w:lineRule="auto"/>
              <w:ind w:firstLine="480"/>
              <w:rPr>
                <w:rFonts w:ascii="宋体" w:hAnsi="宋体"/>
                <w:color w:val="auto"/>
                <w:sz w:val="24"/>
                <w:highlight w:val="none"/>
              </w:rPr>
            </w:pPr>
            <m:oMathPara>
              <m:oMath>
                <m:r>
                  <m:rPr/>
                  <w:rPr>
                    <w:rFonts w:ascii="Cambria Math" w:hAnsi="Cambria Math"/>
                    <w:color w:val="auto"/>
                    <w:sz w:val="24"/>
                    <w:highlight w:val="none"/>
                  </w:rPr>
                  <m:t>R</m:t>
                </m:r>
                <m:r>
                  <m:rPr>
                    <m:sty m:val="p"/>
                  </m:rPr>
                  <w:rPr>
                    <w:rFonts w:ascii="Cambria Math" w:hAnsi="Cambria Math"/>
                    <w:color w:val="auto"/>
                    <w:sz w:val="24"/>
                    <w:highlight w:val="none"/>
                  </w:rPr>
                  <m:t>=0</m:t>
                </m:r>
              </m:oMath>
            </m:oMathPara>
          </w:p>
        </w:tc>
      </w:tr>
      <w:tr w14:paraId="384E1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1043" w:type="pct"/>
            <w:vAlign w:val="center"/>
          </w:tcPr>
          <w:p w14:paraId="0C75ED42">
            <w:pPr>
              <w:pStyle w:val="18"/>
              <w:adjustRightInd w:val="0"/>
              <w:snapToGrid w:val="0"/>
              <w:spacing w:line="360" w:lineRule="auto"/>
              <w:ind w:firstLine="480"/>
              <w:jc w:val="center"/>
              <w:rPr>
                <w:rFonts w:ascii="宋体" w:hAnsi="宋体"/>
                <w:color w:val="auto"/>
                <w:sz w:val="24"/>
                <w:highlight w:val="none"/>
              </w:rPr>
            </w:pPr>
            <m:oMathPara>
              <m:oMath>
                <m:r>
                  <m:rPr>
                    <m:sty m:val="p"/>
                  </m:rPr>
                  <w:rPr>
                    <w:rFonts w:hint="eastAsia" w:ascii="Cambria Math" w:hAnsi="Cambria Math"/>
                    <w:color w:val="auto"/>
                    <w:sz w:val="24"/>
                    <w:highlight w:val="none"/>
                  </w:rPr>
                  <m:t>r</m:t>
                </m:r>
                <m:r>
                  <m:rPr>
                    <m:sty m:val="p"/>
                  </m:rPr>
                  <w:rPr>
                    <w:rFonts w:ascii="Cambria Math" w:hAnsi="Cambria Math"/>
                    <w:color w:val="auto"/>
                    <w:sz w:val="24"/>
                    <w:highlight w:val="none"/>
                  </w:rPr>
                  <m:t>&gt;0</m:t>
                </m:r>
                <m:r>
                  <m:rPr>
                    <m:sty m:val="p"/>
                  </m:rPr>
                  <w:rPr>
                    <w:rFonts w:hint="eastAsia" w:ascii="Cambria Math" w:hAnsi="Cambria Math"/>
                    <w:color w:val="auto"/>
                    <w:sz w:val="24"/>
                    <w:highlight w:val="none"/>
                  </w:rPr>
                  <m:t>且</m:t>
                </m:r>
                <m:sSub>
                  <m:sSubPr>
                    <m:ctrlPr>
                      <w:rPr>
                        <w:rFonts w:ascii="Cambria Math" w:hAnsi="Cambria Math"/>
                        <w:color w:val="auto"/>
                        <w:sz w:val="24"/>
                        <w:highlight w:val="none"/>
                      </w:rPr>
                    </m:ctrlPr>
                  </m:sSubPr>
                  <m:e>
                    <m:r>
                      <m:rPr/>
                      <w:rPr>
                        <w:rFonts w:ascii="Cambria Math" w:hAnsi="Cambria Math"/>
                        <w:color w:val="auto"/>
                        <w:sz w:val="24"/>
                        <w:highlight w:val="none"/>
                      </w:rPr>
                      <m:t>R</m:t>
                    </m:r>
                    <m:ctrlPr>
                      <w:rPr>
                        <w:rFonts w:ascii="Cambria Math" w:hAnsi="Cambria Math"/>
                        <w:color w:val="auto"/>
                        <w:sz w:val="24"/>
                        <w:highlight w:val="none"/>
                      </w:rPr>
                    </m:ctrlPr>
                  </m:e>
                  <m:sub>
                    <m:r>
                      <m:rPr/>
                      <w:rPr>
                        <w:rFonts w:ascii="Cambria Math" w:hAnsi="Cambria Math"/>
                        <w:color w:val="auto"/>
                        <w:sz w:val="24"/>
                        <w:highlight w:val="none"/>
                      </w:rPr>
                      <m:t>e</m:t>
                    </m:r>
                    <m:ctrlPr>
                      <w:rPr>
                        <w:rFonts w:ascii="Cambria Math" w:hAnsi="Cambria Math"/>
                        <w:color w:val="auto"/>
                        <w:sz w:val="24"/>
                        <w:highlight w:val="none"/>
                      </w:rPr>
                    </m:ctrlPr>
                  </m:sub>
                </m:sSub>
                <m:r>
                  <m:rPr>
                    <m:sty m:val="p"/>
                  </m:rPr>
                  <w:rPr>
                    <w:rFonts w:ascii="Cambria Math" w:hAnsi="Cambria Math"/>
                    <w:color w:val="auto"/>
                    <w:sz w:val="24"/>
                    <w:highlight w:val="none"/>
                  </w:rPr>
                  <m:t>&gt;0</m:t>
                </m:r>
              </m:oMath>
            </m:oMathPara>
          </w:p>
        </w:tc>
        <w:tc>
          <w:tcPr>
            <w:tcW w:w="3957" w:type="pct"/>
            <w:vAlign w:val="center"/>
          </w:tcPr>
          <w:p w14:paraId="03618996">
            <w:pPr>
              <w:pStyle w:val="18"/>
              <w:adjustRightInd w:val="0"/>
              <w:snapToGrid w:val="0"/>
              <w:spacing w:line="360" w:lineRule="auto"/>
              <w:ind w:firstLine="480"/>
              <w:rPr>
                <w:rFonts w:ascii="宋体" w:hAnsi="宋体"/>
                <w:color w:val="auto"/>
                <w:sz w:val="24"/>
                <w:highlight w:val="none"/>
              </w:rPr>
            </w:pPr>
            <m:oMathPara>
              <m:oMath>
                <m:r>
                  <m:rPr/>
                  <w:rPr>
                    <w:rFonts w:ascii="Cambria Math" w:hAnsi="Cambria Math"/>
                    <w:color w:val="auto"/>
                    <w:sz w:val="24"/>
                    <w:highlight w:val="none"/>
                  </w:rPr>
                  <m:t>R</m:t>
                </m:r>
                <m:r>
                  <m:rPr>
                    <m:sty m:val="p"/>
                  </m:rPr>
                  <w:rPr>
                    <w:rFonts w:ascii="Cambria Math" w:hAnsi="Cambria Math"/>
                    <w:color w:val="auto"/>
                    <w:sz w:val="24"/>
                    <w:highlight w:val="none"/>
                  </w:rPr>
                  <m:t>=</m:t>
                </m:r>
                <m:r>
                  <m:rPr/>
                  <w:rPr>
                    <w:rFonts w:hint="eastAsia" w:ascii="Cambria Math" w:hAnsi="Cambria Math"/>
                    <w:color w:val="auto"/>
                    <w:sz w:val="24"/>
                    <w:highlight w:val="none"/>
                  </w:rPr>
                  <m:t>min</m:t>
                </m:r>
                <m:d>
                  <m:dPr>
                    <m:begChr m:val="{"/>
                    <m:endChr m:val="}"/>
                    <m:ctrlPr>
                      <w:rPr>
                        <w:rFonts w:ascii="Cambria Math" w:hAnsi="Cambria Math"/>
                        <w:color w:val="auto"/>
                        <w:sz w:val="24"/>
                        <w:highlight w:val="none"/>
                      </w:rPr>
                    </m:ctrlPr>
                  </m:dPr>
                  <m:e>
                    <m:r>
                      <m:rPr/>
                      <w:rPr>
                        <w:rFonts w:ascii="Cambria Math" w:hAnsi="Cambria Math"/>
                        <w:color w:val="auto"/>
                        <w:sz w:val="24"/>
                        <w:highlight w:val="none"/>
                      </w:rPr>
                      <m:t>F</m:t>
                    </m:r>
                    <m:r>
                      <m:rPr>
                        <m:sty m:val="p"/>
                      </m:rPr>
                      <w:rPr>
                        <w:rFonts w:ascii="Cambria Math" w:hAnsi="Cambria Math"/>
                        <w:color w:val="auto"/>
                        <w:sz w:val="24"/>
                        <w:highlight w:val="none"/>
                      </w:rPr>
                      <m:t>×</m:t>
                    </m:r>
                    <m:r>
                      <m:rPr/>
                      <w:rPr>
                        <w:rFonts w:ascii="Cambria Math" w:hAnsi="Cambria Math"/>
                        <w:color w:val="auto"/>
                        <w:sz w:val="24"/>
                        <w:highlight w:val="none"/>
                      </w:rPr>
                      <m:t>C</m:t>
                    </m:r>
                    <m:r>
                      <m:rPr>
                        <m:sty m:val="p"/>
                      </m:rPr>
                      <w:rPr>
                        <w:rFonts w:ascii="Cambria Math" w:hAnsi="Cambria Math"/>
                        <w:color w:val="auto"/>
                        <w:sz w:val="24"/>
                        <w:highlight w:val="none"/>
                      </w:rPr>
                      <m:t>×</m:t>
                    </m:r>
                    <m:sSub>
                      <m:sSubPr>
                        <m:ctrlPr>
                          <w:rPr>
                            <w:rFonts w:ascii="Cambria Math" w:hAnsi="Cambria Math"/>
                            <w:color w:val="auto"/>
                            <w:sz w:val="24"/>
                            <w:highlight w:val="none"/>
                          </w:rPr>
                        </m:ctrlPr>
                      </m:sSubPr>
                      <m:e>
                        <m:r>
                          <m:rPr/>
                          <w:rPr>
                            <w:rFonts w:ascii="Cambria Math" w:hAnsi="Cambria Math"/>
                            <w:color w:val="auto"/>
                            <w:sz w:val="24"/>
                            <w:highlight w:val="none"/>
                          </w:rPr>
                          <m:t>R</m:t>
                        </m:r>
                        <m:ctrlPr>
                          <w:rPr>
                            <w:rFonts w:ascii="Cambria Math" w:hAnsi="Cambria Math"/>
                            <w:color w:val="auto"/>
                            <w:sz w:val="24"/>
                            <w:highlight w:val="none"/>
                          </w:rPr>
                        </m:ctrlPr>
                      </m:e>
                      <m:sub>
                        <m:r>
                          <m:rPr/>
                          <w:rPr>
                            <w:rFonts w:ascii="Cambria Math" w:hAnsi="Cambria Math"/>
                            <w:color w:val="auto"/>
                            <w:sz w:val="24"/>
                            <w:highlight w:val="none"/>
                          </w:rPr>
                          <m:t>e</m:t>
                        </m:r>
                        <m:ctrlPr>
                          <w:rPr>
                            <w:rFonts w:ascii="Cambria Math" w:hAnsi="Cambria Math"/>
                            <w:color w:val="auto"/>
                            <w:sz w:val="24"/>
                            <w:highlight w:val="none"/>
                          </w:rPr>
                        </m:ctrlPr>
                      </m:sub>
                    </m:sSub>
                    <m:r>
                      <m:rPr>
                        <m:sty m:val="p"/>
                      </m:rPr>
                      <w:rPr>
                        <w:rFonts w:ascii="Cambria Math" w:hAnsi="Cambria Math"/>
                        <w:color w:val="auto"/>
                        <w:sz w:val="24"/>
                        <w:highlight w:val="none"/>
                      </w:rPr>
                      <m:t>×20%×</m:t>
                    </m:r>
                    <m:d>
                      <m:dPr>
                        <m:ctrlPr>
                          <w:rPr>
                            <w:rFonts w:ascii="Cambria Math" w:hAnsi="Cambria Math"/>
                            <w:color w:val="auto"/>
                            <w:sz w:val="24"/>
                            <w:highlight w:val="none"/>
                          </w:rPr>
                        </m:ctrlPr>
                      </m:dPr>
                      <m:e>
                        <m:f>
                          <m:fPr>
                            <m:ctrlPr>
                              <w:rPr>
                                <w:rFonts w:ascii="Cambria Math" w:hAnsi="Cambria Math"/>
                                <w:color w:val="auto"/>
                                <w:sz w:val="24"/>
                                <w:highlight w:val="none"/>
                              </w:rPr>
                            </m:ctrlPr>
                          </m:fPr>
                          <m:num>
                            <m:r>
                              <m:rPr/>
                              <w:rPr>
                                <w:rFonts w:ascii="Cambria Math" w:hAnsi="Cambria Math"/>
                                <w:color w:val="auto"/>
                                <w:sz w:val="24"/>
                                <w:highlight w:val="none"/>
                              </w:rPr>
                              <m:t>T</m:t>
                            </m:r>
                            <m:ctrlPr>
                              <w:rPr>
                                <w:rFonts w:ascii="Cambria Math" w:hAnsi="Cambria Math"/>
                                <w:color w:val="auto"/>
                                <w:sz w:val="24"/>
                                <w:highlight w:val="none"/>
                              </w:rPr>
                            </m:ctrlPr>
                          </m:num>
                          <m:den>
                            <m:r>
                              <m:rPr>
                                <m:sty m:val="p"/>
                              </m:rPr>
                              <w:rPr>
                                <w:rFonts w:ascii="Cambria Math" w:hAnsi="Cambria Math"/>
                                <w:color w:val="auto"/>
                                <w:sz w:val="24"/>
                                <w:highlight w:val="none"/>
                              </w:rPr>
                              <m:t>365</m:t>
                            </m:r>
                            <m:ctrlPr>
                              <w:rPr>
                                <w:rFonts w:ascii="Cambria Math" w:hAnsi="Cambria Math"/>
                                <w:color w:val="auto"/>
                                <w:sz w:val="24"/>
                                <w:highlight w:val="none"/>
                              </w:rPr>
                            </m:ctrlPr>
                          </m:den>
                        </m:f>
                        <m:ctrlPr>
                          <w:rPr>
                            <w:rFonts w:ascii="Cambria Math" w:hAnsi="Cambria Math"/>
                            <w:color w:val="auto"/>
                            <w:sz w:val="24"/>
                            <w:highlight w:val="none"/>
                          </w:rPr>
                        </m:ctrlPr>
                      </m:e>
                    </m:d>
                    <m:r>
                      <m:rPr>
                        <m:sty m:val="p"/>
                      </m:rPr>
                      <w:rPr>
                        <w:rFonts w:ascii="Cambria Math" w:hAnsi="Cambria Math"/>
                        <w:color w:val="auto"/>
                        <w:sz w:val="24"/>
                        <w:highlight w:val="none"/>
                      </w:rPr>
                      <m:t>,</m:t>
                    </m:r>
                    <m:r>
                      <m:rPr/>
                      <w:rPr>
                        <w:rFonts w:ascii="Cambria Math" w:hAnsi="Cambria Math"/>
                        <w:color w:val="auto"/>
                        <w:sz w:val="24"/>
                        <w:highlight w:val="none"/>
                      </w:rPr>
                      <m:t>max</m:t>
                    </m:r>
                    <m:d>
                      <m:dPr>
                        <m:begChr m:val="["/>
                        <m:endChr m:val="]"/>
                        <m:ctrlPr>
                          <w:rPr>
                            <w:rFonts w:ascii="Cambria Math" w:hAnsi="Cambria Math"/>
                            <w:color w:val="auto"/>
                            <w:sz w:val="24"/>
                            <w:highlight w:val="none"/>
                          </w:rPr>
                        </m:ctrlPr>
                      </m:dPr>
                      <m:e>
                        <m:r>
                          <m:rPr/>
                          <w:rPr>
                            <w:rFonts w:ascii="Cambria Math" w:hAnsi="Cambria Math"/>
                            <w:color w:val="auto"/>
                            <w:sz w:val="24"/>
                            <w:highlight w:val="none"/>
                          </w:rPr>
                          <m:t>F</m:t>
                        </m:r>
                        <m:r>
                          <m:rPr/>
                          <w:rPr>
                            <w:rFonts w:ascii="Cambria Math" w:hAnsi="Cambria Math"/>
                            <w:color w:val="auto"/>
                            <w:kern w:val="0"/>
                            <w:sz w:val="24"/>
                            <w:highlight w:val="none"/>
                          </w:rPr>
                          <m:t>×(</m:t>
                        </m:r>
                        <m:sSub>
                          <m:sSubPr>
                            <m:ctrlPr>
                              <w:rPr>
                                <w:rFonts w:ascii="Cambria Math" w:hAnsi="Cambria Math"/>
                                <w:color w:val="auto"/>
                                <w:sz w:val="24"/>
                                <w:szCs w:val="24"/>
                                <w:highlight w:val="none"/>
                              </w:rPr>
                            </m:ctrlPr>
                          </m:sSubPr>
                          <m:e>
                            <m:r>
                              <m:rPr/>
                              <w:rPr>
                                <w:rFonts w:ascii="Cambria Math" w:hAnsi="Cambria Math"/>
                                <w:color w:val="auto"/>
                                <w:sz w:val="24"/>
                                <w:szCs w:val="24"/>
                                <w:highlight w:val="none"/>
                              </w:rPr>
                              <m:t>C</m:t>
                            </m:r>
                            <m:ctrlPr>
                              <w:rPr>
                                <w:rFonts w:ascii="Cambria Math" w:hAnsi="Cambria Math"/>
                                <w:color w:val="auto"/>
                                <w:sz w:val="24"/>
                                <w:szCs w:val="24"/>
                                <w:highlight w:val="none"/>
                              </w:rPr>
                            </m:ctrlPr>
                          </m:e>
                          <m:sub>
                            <m:r>
                              <m:rPr/>
                              <w:rPr>
                                <w:rFonts w:ascii="Cambria Math" w:hAnsi="Cambria Math"/>
                                <w:color w:val="auto"/>
                                <w:sz w:val="24"/>
                                <w:szCs w:val="24"/>
                                <w:highlight w:val="none"/>
                              </w:rPr>
                              <m:t>T</m:t>
                            </m:r>
                            <m:ctrlPr>
                              <w:rPr>
                                <w:rFonts w:ascii="Cambria Math" w:hAnsi="Cambria Math"/>
                                <w:color w:val="auto"/>
                                <w:sz w:val="24"/>
                                <w:szCs w:val="24"/>
                                <w:highlight w:val="none"/>
                              </w:rPr>
                            </m:ctrlPr>
                          </m:sub>
                        </m:sSub>
                        <m:r>
                          <m:rPr>
                            <m:sty m:val="p"/>
                          </m:rPr>
                          <w:rPr>
                            <w:rFonts w:ascii="Cambria Math" w:hAnsi="Cambria Math"/>
                            <w:color w:val="auto"/>
                            <w:sz w:val="24"/>
                            <w:szCs w:val="24"/>
                            <w:highlight w:val="none"/>
                          </w:rPr>
                          <m:t>−</m:t>
                        </m:r>
                        <m:sSub>
                          <m:sSubPr>
                            <m:ctrlPr>
                              <w:rPr>
                                <w:rFonts w:ascii="Cambria Math" w:hAnsi="Cambria Math"/>
                                <w:color w:val="auto"/>
                                <w:sz w:val="24"/>
                                <w:szCs w:val="24"/>
                                <w:highlight w:val="none"/>
                              </w:rPr>
                            </m:ctrlPr>
                          </m:sSubPr>
                          <m:e>
                            <m:r>
                              <m:rPr/>
                              <w:rPr>
                                <w:rFonts w:ascii="Cambria Math" w:hAnsi="Cambria Math"/>
                                <w:color w:val="auto"/>
                                <w:sz w:val="24"/>
                                <w:szCs w:val="24"/>
                                <w:highlight w:val="none"/>
                              </w:rPr>
                              <m:t>C</m:t>
                            </m:r>
                            <m:ctrlPr>
                              <w:rPr>
                                <w:rFonts w:ascii="Cambria Math" w:hAnsi="Cambria Math"/>
                                <w:color w:val="auto"/>
                                <w:sz w:val="24"/>
                                <w:szCs w:val="24"/>
                                <w:highlight w:val="none"/>
                              </w:rPr>
                            </m:ctrlPr>
                          </m:e>
                          <m:sub>
                            <m:r>
                              <m:rPr/>
                              <w:rPr>
                                <w:rFonts w:ascii="Cambria Math" w:hAnsi="Cambria Math"/>
                                <w:color w:val="auto"/>
                                <w:sz w:val="24"/>
                                <w:szCs w:val="24"/>
                                <w:highlight w:val="none"/>
                              </w:rPr>
                              <m:t>00</m:t>
                            </m:r>
                            <m:ctrlPr>
                              <w:rPr>
                                <w:rFonts w:ascii="Cambria Math" w:hAnsi="Cambria Math"/>
                                <w:color w:val="auto"/>
                                <w:sz w:val="24"/>
                                <w:szCs w:val="24"/>
                                <w:highlight w:val="none"/>
                              </w:rPr>
                            </m:ctrlPr>
                          </m:sub>
                        </m:sSub>
                        <m:r>
                          <m:rPr/>
                          <w:rPr>
                            <w:rFonts w:ascii="Cambria Math" w:hAnsi="Cambria Math"/>
                            <w:color w:val="auto"/>
                            <w:sz w:val="24"/>
                            <w:szCs w:val="24"/>
                            <w:highlight w:val="none"/>
                          </w:rPr>
                          <m:t>)</m:t>
                        </m:r>
                        <m:r>
                          <m:rPr>
                            <m:sty m:val="p"/>
                          </m:rPr>
                          <w:rPr>
                            <w:rFonts w:ascii="Cambria Math" w:hAnsi="Cambria Math"/>
                            <w:color w:val="auto"/>
                            <w:sz w:val="24"/>
                            <w:highlight w:val="none"/>
                          </w:rPr>
                          <m:t>,0</m:t>
                        </m:r>
                        <m:ctrlPr>
                          <w:rPr>
                            <w:rFonts w:ascii="Cambria Math" w:hAnsi="Cambria Math"/>
                            <w:color w:val="auto"/>
                            <w:sz w:val="24"/>
                            <w:highlight w:val="none"/>
                          </w:rPr>
                        </m:ctrlPr>
                      </m:e>
                    </m:d>
                    <m:ctrlPr>
                      <w:rPr>
                        <w:rFonts w:ascii="Cambria Math" w:hAnsi="Cambria Math"/>
                        <w:color w:val="auto"/>
                        <w:sz w:val="24"/>
                        <w:highlight w:val="none"/>
                      </w:rPr>
                    </m:ctrlPr>
                  </m:e>
                </m:d>
              </m:oMath>
            </m:oMathPara>
          </w:p>
        </w:tc>
      </w:tr>
    </w:tbl>
    <w:p w14:paraId="1CED0CCA">
      <w:pPr>
        <w:pStyle w:val="18"/>
        <w:adjustRightInd w:val="0"/>
        <w:snapToGrid w:val="0"/>
        <w:spacing w:line="360" w:lineRule="auto"/>
        <w:rPr>
          <w:rFonts w:ascii="宋体" w:hAnsi="宋体"/>
          <w:color w:val="auto"/>
          <w:sz w:val="24"/>
          <w:szCs w:val="24"/>
          <w:highlight w:val="none"/>
        </w:rPr>
      </w:pPr>
      <m:oMath>
        <m:r>
          <m:rPr/>
          <w:rPr>
            <w:rFonts w:ascii="Cambria Math" w:hAnsi="Cambria Math"/>
            <w:color w:val="auto"/>
            <w:szCs w:val="24"/>
            <w:highlight w:val="none"/>
          </w:rPr>
          <m:t>F</m:t>
        </m:r>
        <m:r>
          <m:rPr>
            <m:sty m:val="p"/>
          </m:rPr>
          <w:rPr>
            <w:rFonts w:ascii="Cambria Math" w:hAnsi="Cambria Math"/>
            <w:color w:val="auto"/>
            <w:szCs w:val="24"/>
            <w:highlight w:val="none"/>
          </w:rPr>
          <m:t xml:space="preserve">= </m:t>
        </m:r>
      </m:oMath>
      <w:r>
        <w:rPr>
          <w:rFonts w:hint="eastAsia" w:ascii="宋体" w:hAnsi="宋体"/>
          <w:color w:val="auto"/>
          <w:sz w:val="24"/>
          <w:szCs w:val="24"/>
          <w:highlight w:val="none"/>
        </w:rPr>
        <w:t>业绩报酬计提日投资者单笔投资持有的份额（适用于基金清算日、</w:t>
      </w:r>
      <w:r>
        <w:rPr>
          <w:rFonts w:hint="eastAsia" w:ascii="宋体" w:hAnsi="宋体"/>
          <w:color w:val="auto"/>
          <w:sz w:val="24"/>
          <w:szCs w:val="24"/>
          <w:highlight w:val="none"/>
          <w:lang w:val="en-US" w:eastAsia="zh-CN"/>
        </w:rPr>
        <w:t>分红</w:t>
      </w:r>
      <w:r>
        <w:rPr>
          <w:rFonts w:hint="eastAsia" w:ascii="宋体" w:hAnsi="宋体"/>
          <w:color w:val="auto"/>
          <w:sz w:val="24"/>
          <w:szCs w:val="24"/>
          <w:highlight w:val="none"/>
        </w:rPr>
        <w:t>权益登记日计提业绩报酬）或退出份额（适用于赎回申请日计提业绩报酬）。</w:t>
      </w:r>
    </w:p>
    <w:p w14:paraId="78BEA330">
      <w:pPr>
        <w:adjustRightInd w:val="0"/>
        <w:snapToGrid w:val="0"/>
        <w:spacing w:line="360" w:lineRule="auto"/>
        <w:ind w:firstLine="420" w:firstLineChars="200"/>
        <w:rPr>
          <w:rFonts w:ascii="宋体" w:hAnsi="宋体"/>
          <w:color w:val="auto"/>
          <w:highlight w:val="none"/>
        </w:rPr>
      </w:pPr>
      <m:oMath>
        <m:sSub>
          <m:sSubPr>
            <m:ctrlPr>
              <w:rPr>
                <w:rFonts w:ascii="Cambria Math" w:hAnsi="Cambria Math"/>
                <w:color w:val="auto"/>
                <w:szCs w:val="24"/>
                <w:highlight w:val="none"/>
              </w:rPr>
            </m:ctrlPr>
          </m:sSubPr>
          <m:e>
            <m:r>
              <m:rPr/>
              <w:rPr>
                <w:rFonts w:ascii="Cambria Math" w:hAnsi="Cambria Math"/>
                <w:color w:val="auto"/>
                <w:szCs w:val="24"/>
                <w:highlight w:val="none"/>
              </w:rPr>
              <m:t>C</m:t>
            </m:r>
            <m:ctrlPr>
              <w:rPr>
                <w:rFonts w:ascii="Cambria Math" w:hAnsi="Cambria Math"/>
                <w:color w:val="auto"/>
                <w:szCs w:val="24"/>
                <w:highlight w:val="none"/>
              </w:rPr>
            </m:ctrlPr>
          </m:e>
          <m:sub>
            <m:r>
              <m:rPr/>
              <w:rPr>
                <w:rFonts w:ascii="Cambria Math" w:hAnsi="Cambria Math"/>
                <w:color w:val="auto"/>
                <w:szCs w:val="24"/>
                <w:highlight w:val="none"/>
              </w:rPr>
              <m:t>00</m:t>
            </m:r>
            <m:ctrlPr>
              <w:rPr>
                <w:rFonts w:ascii="Cambria Math" w:hAnsi="Cambria Math"/>
                <w:color w:val="auto"/>
                <w:szCs w:val="24"/>
                <w:highlight w:val="none"/>
              </w:rPr>
            </m:ctrlPr>
          </m:sub>
        </m:sSub>
        <m:r>
          <m:rPr>
            <m:sty m:val="p"/>
          </m:rPr>
          <w:rPr>
            <w:rFonts w:ascii="Cambria Math" w:hAnsi="Cambria Math"/>
            <w:color w:val="auto"/>
            <w:szCs w:val="24"/>
            <w:highlight w:val="none"/>
          </w:rPr>
          <m:t>=</m:t>
        </m:r>
      </m:oMath>
      <w:r>
        <w:rPr>
          <w:rFonts w:ascii="宋体" w:hAnsi="宋体"/>
          <w:b/>
          <w:bCs/>
          <w:color w:val="auto"/>
          <w:szCs w:val="21"/>
          <w:highlight w:val="none"/>
        </w:rPr>
        <w:fldChar w:fldCharType="begin"/>
      </w:r>
      <w:r>
        <w:rPr>
          <w:rFonts w:ascii="宋体" w:hAnsi="宋体"/>
          <w:b/>
          <w:bCs/>
          <w:color w:val="auto"/>
          <w:szCs w:val="21"/>
          <w:highlight w:val="none"/>
        </w:rPr>
        <w:instrText xml:space="preserve"> QUOTE </w:instrText>
      </w:r>
      <w:r>
        <w:rPr>
          <w:color w:val="auto"/>
          <w:position w:val="-17"/>
          <w:highlight w:val="none"/>
        </w:rPr>
        <w:pict>
          <v:shape id="_x0000_i1037" o:spt="75" type="#_x0000_t75" style="height:32.5pt;width:30pt;" filled="f" o:preferrelative="t" stroked="f" coordsize="21600,21600" equationxml="&lt;?xml version=&quot;1.0&quot; encoding=&quot;UTF-8&quot; standalone=&quot;yes&quot;?&gt;&#10;&#10;&lt;?mso-application progid=&quot;Word.Document&quot;?&gt;&#10;&#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5&lt;/o:Version&gt;&lt;/o:DocumentProperties&gt;&lt;w:docPr&gt;&lt;w:view w:val=&quot;print&quot;/&gt;&lt;w:zoom w:percent=&quot;110&quot;/&gt;&lt;w:doNotEmbedSystemFonts/&gt;&lt;w:bordersDontSurroundHeader/&gt;&lt;w:bordersDontSurroundFooter/&gt;&lt;w:hideSpellingErrors/&gt;&lt;w:activeWritingStyle w:lang=&quot;EN-US&quot; w:vendorID=&quot;64&quot; w:dllVersion=&quot;6&quot; w:nlCheck=&quot;on&quot; w:optionSet=&quot;0&quot;/&gt;&lt;w:activeWritingStyle w:lang=&quot;ZH-CN&quot; w:vendorID=&quot;64&quot; w:dllVersion=&quot;5&quot; w:nlCheck=&quot;on&quot; w:optionSet=&quot;1&quot;/&gt;&lt;w:activeWritingStyle w:lang=&quot;ZH-CN&quot; w:vendorID=&quot;64&quot; w:dllVersion=&quot;0&quot; w:nlCheck=&quot;on&quot; w:optionSet=&quot;1&quot;/&gt;&lt;w:activeWritingStyle w:lang=&quot;EN-US&quot; w:vendorID=&quot;64&quot; w:dllVersion=&quot;4096&quot; w:nlCheck=&quot;on&quot; w:optionSet=&quot;0&quot;/&gt;&lt;w:defaultTabStop w:val=&quot;420&quot;/&gt;&lt;w:drawingGridHorizontalSpacing w:val=&quot;120&quot;/&gt;&lt;w:drawingGridVerticalSpacing w:val=&quot;163&quot;/&gt;&lt;w:characterSpacingControl w:val=&quot;CompressPunctuation&quot;/&gt;&lt;w:relyOnVML/&gt;&lt;w:allowPNG/&gt;&lt;w:validateAgainstSchema/&gt;&lt;w:saveInvalidXML w:val=&quot;off&quot;/&gt;&lt;w:ignoreMixedContent w:val=&quot;off&quot;/&gt;&lt;w:alwaysShowPlaceholderText w:val=&quot;off&quot;/&gt;&lt;w:compat&gt;&lt;w:spaceForUL/&gt;&lt;w:balanceSingleByteDoubleByteWidth/&gt;&lt;w:doNotLeaveBackslashAlone/&gt;&lt;w:doNotExpandShiftReturn/&gt;&lt;w:adjustLineHeightInTable/&gt;&lt;w:breakWrappedTables/&gt;&lt;w:snapToGridInCell/&gt;&lt;w:wrapTextWithPunct/&gt;&lt;w:useAsianBreakRules/&gt;&lt;w:dontGrowAutofit/&gt;&lt;w:useFELayout/&gt;&lt;/w:compat&gt;&lt;wsp:rsids&gt;&lt;wsp:rsidRoot wsp:val=&quot;00172A27&quot;/&gt;&lt;wsp:rsid wsp:val=&quot;000003F5&quot;/&gt;&lt;wsp:rsid wsp:val=&quot;000005DA&quot;/&gt;&lt;wsp:rsid wsp:val=&quot;00000715&quot;/&gt;&lt;wsp:rsid wsp:val=&quot;0000088F&quot;/&gt;&lt;wsp:rsid wsp:val=&quot;00000C32&quot;/&gt;&lt;wsp:rsid wsp:val=&quot;00001480&quot;/&gt;&lt;wsp:rsid wsp:val=&quot;000015C6&quot;/&gt;&lt;wsp:rsid wsp:val=&quot;00001830&quot;/&gt;&lt;wsp:rsid wsp:val=&quot;0000354C&quot;/&gt;&lt;wsp:rsid wsp:val=&quot;000036DB&quot;/&gt;&lt;wsp:rsid wsp:val=&quot;00004438&quot;/&gt;&lt;wsp:rsid wsp:val=&quot;00004FE9&quot;/&gt;&lt;wsp:rsid wsp:val=&quot;00006AF3&quot;/&gt;&lt;wsp:rsid wsp:val=&quot;00006B2F&quot;/&gt;&lt;wsp:rsid wsp:val=&quot;0000740F&quot;/&gt;&lt;wsp:rsid wsp:val=&quot;000116B1&quot;/&gt;&lt;wsp:rsid wsp:val=&quot;000118AA&quot;/&gt;&lt;wsp:rsid wsp:val=&quot;00011998&quot;/&gt;&lt;wsp:rsid wsp:val=&quot;00011BD3&quot;/&gt;&lt;wsp:rsid wsp:val=&quot;0001279E&quot;/&gt;&lt;wsp:rsid wsp:val=&quot;00012D15&quot;/&gt;&lt;wsp:rsid wsp:val=&quot;00013015&quot;/&gt;&lt;wsp:rsid wsp:val=&quot;000130B9&quot;/&gt;&lt;wsp:rsid wsp:val=&quot;000131B1&quot;/&gt;&lt;wsp:rsid wsp:val=&quot;000132ED&quot;/&gt;&lt;wsp:rsid wsp:val=&quot;0001380F&quot;/&gt;&lt;wsp:rsid wsp:val=&quot;00013C86&quot;/&gt;&lt;wsp:rsid wsp:val=&quot;00014A08&quot;/&gt;&lt;wsp:rsid wsp:val=&quot;00014A29&quot;/&gt;&lt;wsp:rsid wsp:val=&quot;00014B88&quot;/&gt;&lt;wsp:rsid wsp:val=&quot;00014BB6&quot;/&gt;&lt;wsp:rsid wsp:val=&quot;000158A3&quot;/&gt;&lt;wsp:rsid wsp:val=&quot;00015954&quot;/&gt;&lt;wsp:rsid wsp:val=&quot;00015A91&quot;/&gt;&lt;wsp:rsid wsp:val=&quot;00015DE5&quot;/&gt;&lt;wsp:rsid wsp:val=&quot;00016056&quot;/&gt;&lt;wsp:rsid wsp:val=&quot;00016AE0&quot;/&gt;&lt;wsp:rsid wsp:val=&quot;000170AA&quot;/&gt;&lt;wsp:rsid wsp:val=&quot;00017CB7&quot;/&gt;&lt;wsp:rsid wsp:val=&quot;00020113&quot;/&gt;&lt;wsp:rsid wsp:val=&quot;00020141&quot;/&gt;&lt;wsp:rsid wsp:val=&quot;00020249&quot;/&gt;&lt;wsp:rsid wsp:val=&quot;00020B77&quot;/&gt;&lt;wsp:rsid wsp:val=&quot;000214D0&quot;/&gt;&lt;wsp:rsid wsp:val=&quot;000216BA&quot;/&gt;&lt;wsp:rsid wsp:val=&quot;00021856&quot;/&gt;&lt;wsp:rsid wsp:val=&quot;00021DCF&quot;/&gt;&lt;wsp:rsid wsp:val=&quot;0002231F&quot;/&gt;&lt;wsp:rsid wsp:val=&quot;0002241A&quot;/&gt;&lt;wsp:rsid wsp:val=&quot;0002250C&quot;/&gt;&lt;wsp:rsid wsp:val=&quot;00022567&quot;/&gt;&lt;wsp:rsid wsp:val=&quot;00022E3F&quot;/&gt;&lt;wsp:rsid wsp:val=&quot;0002336F&quot;/&gt;&lt;wsp:rsid wsp:val=&quot;00023404&quot;/&gt;&lt;wsp:rsid wsp:val=&quot;000236F6&quot;/&gt;&lt;wsp:rsid wsp:val=&quot;00023939&quot;/&gt;&lt;wsp:rsid wsp:val=&quot;00023BAC&quot;/&gt;&lt;wsp:rsid wsp:val=&quot;00024F62&quot;/&gt;&lt;wsp:rsid wsp:val=&quot;000252C9&quot;/&gt;&lt;wsp:rsid wsp:val=&quot;00025B52&quot;/&gt;&lt;wsp:rsid wsp:val=&quot;000263AE&quot;/&gt;&lt;wsp:rsid wsp:val=&quot;0002646B&quot;/&gt;&lt;wsp:rsid wsp:val=&quot;0002661C&quot;/&gt;&lt;wsp:rsid wsp:val=&quot;000267F1&quot;/&gt;&lt;wsp:rsid wsp:val=&quot;0002789E&quot;/&gt;&lt;wsp:rsid wsp:val=&quot;000309E3&quot;/&gt;&lt;wsp:rsid wsp:val=&quot;00030BFB&quot;/&gt;&lt;wsp:rsid wsp:val=&quot;0003129F&quot;/&gt;&lt;wsp:rsid wsp:val=&quot;000316D8&quot;/&gt;&lt;wsp:rsid wsp:val=&quot;000321A5&quot;/&gt;&lt;wsp:rsid wsp:val=&quot;00032651&quot;/&gt;&lt;wsp:rsid wsp:val=&quot;00032CBA&quot;/&gt;&lt;wsp:rsid wsp:val=&quot;00032F24&quot;/&gt;&lt;wsp:rsid wsp:val=&quot;000331E4&quot;/&gt;&lt;wsp:rsid wsp:val=&quot;00034D3C&quot;/&gt;&lt;wsp:rsid wsp:val=&quot;00034FCD&quot;/&gt;&lt;wsp:rsid wsp:val=&quot;000354ED&quot;/&gt;&lt;wsp:rsid wsp:val=&quot;000355E6&quot;/&gt;&lt;wsp:rsid wsp:val=&quot;00035DB7&quot;/&gt;&lt;wsp:rsid wsp:val=&quot;00035FD9&quot;/&gt;&lt;wsp:rsid wsp:val=&quot;0003603B&quot;/&gt;&lt;wsp:rsid wsp:val=&quot;000377D6&quot;/&gt;&lt;wsp:rsid wsp:val=&quot;000379EE&quot;/&gt;&lt;wsp:rsid wsp:val=&quot;00037A6D&quot;/&gt;&lt;wsp:rsid wsp:val=&quot;000403C5&quot;/&gt;&lt;wsp:rsid wsp:val=&quot;00040CCA&quot;/&gt;&lt;wsp:rsid wsp:val=&quot;00041288&quot;/&gt;&lt;wsp:rsid wsp:val=&quot;00041B04&quot;/&gt;&lt;wsp:rsid wsp:val=&quot;000424AE&quot;/&gt;&lt;wsp:rsid wsp:val=&quot;00043776&quot;/&gt;&lt;wsp:rsid wsp:val=&quot;00043C62&quot;/&gt;&lt;wsp:rsid wsp:val=&quot;00043DA3&quot;/&gt;&lt;wsp:rsid wsp:val=&quot;00043DB2&quot;/&gt;&lt;wsp:rsid wsp:val=&quot;000448A4&quot;/&gt;&lt;wsp:rsid wsp:val=&quot;00044F9E&quot;/&gt;&lt;wsp:rsid wsp:val=&quot;00045348&quot;/&gt;&lt;wsp:rsid wsp:val=&quot;00045530&quot;/&gt;&lt;wsp:rsid wsp:val=&quot;00045737&quot;/&gt;&lt;wsp:rsid wsp:val=&quot;00046B77&quot;/&gt;&lt;wsp:rsid wsp:val=&quot;00046C51&quot;/&gt;&lt;wsp:rsid wsp:val=&quot;00047140&quot;/&gt;&lt;wsp:rsid wsp:val=&quot;00047201&quot;/&gt;&lt;wsp:rsid wsp:val=&quot;000505E4&quot;/&gt;&lt;wsp:rsid wsp:val=&quot;00050CD6&quot;/&gt;&lt;wsp:rsid wsp:val=&quot;000519D6&quot;/&gt;&lt;wsp:rsid wsp:val=&quot;000522AE&quot;/&gt;&lt;wsp:rsid wsp:val=&quot;00052476&quot;/&gt;&lt;wsp:rsid wsp:val=&quot;00052C20&quot;/&gt;&lt;wsp:rsid wsp:val=&quot;000535BE&quot;/&gt;&lt;wsp:rsid wsp:val=&quot;000535E4&quot;/&gt;&lt;wsp:rsid wsp:val=&quot;00054197&quot;/&gt;&lt;wsp:rsid wsp:val=&quot;0005617D&quot;/&gt;&lt;wsp:rsid wsp:val=&quot;0005664D&quot;/&gt;&lt;wsp:rsid wsp:val=&quot;00056DD5&quot;/&gt;&lt;wsp:rsid wsp:val=&quot;00056E24&quot;/&gt;&lt;wsp:rsid wsp:val=&quot;000609AC&quot;/&gt;&lt;wsp:rsid wsp:val=&quot;000609D9&quot;/&gt;&lt;wsp:rsid wsp:val=&quot;00060A71&quot;/&gt;&lt;wsp:rsid wsp:val=&quot;000614C3&quot;/&gt;&lt;wsp:rsid wsp:val=&quot;0006154A&quot;/&gt;&lt;wsp:rsid wsp:val=&quot;000624C4&quot;/&gt;&lt;wsp:rsid wsp:val=&quot;0006288C&quot;/&gt;&lt;wsp:rsid wsp:val=&quot;0006289A&quot;/&gt;&lt;wsp:rsid wsp:val=&quot;00062D76&quot;/&gt;&lt;wsp:rsid wsp:val=&quot;00063E92&quot;/&gt;&lt;wsp:rsid wsp:val=&quot;000641EC&quot;/&gt;&lt;wsp:rsid wsp:val=&quot;000646EF&quot;/&gt;&lt;wsp:rsid wsp:val=&quot;00064D8D&quot;/&gt;&lt;wsp:rsid wsp:val=&quot;00064DAD&quot;/&gt;&lt;wsp:rsid wsp:val=&quot;000655F6&quot;/&gt;&lt;wsp:rsid wsp:val=&quot;00065BF0&quot;/&gt;&lt;wsp:rsid wsp:val=&quot;00066DC5&quot;/&gt;&lt;wsp:rsid wsp:val=&quot;000676FB&quot;/&gt;&lt;wsp:rsid wsp:val=&quot;00070523&quot;/&gt;&lt;wsp:rsid wsp:val=&quot;0007213D&quot;/&gt;&lt;wsp:rsid wsp:val=&quot;0007326A&quot;/&gt;&lt;wsp:rsid wsp:val=&quot;00074254&quot;/&gt;&lt;wsp:rsid wsp:val=&quot;000745CE&quot;/&gt;&lt;wsp:rsid wsp:val=&quot;00074E49&quot;/&gt;&lt;wsp:rsid wsp:val=&quot;00075186&quot;/&gt;&lt;wsp:rsid wsp:val=&quot;000759C9&quot;/&gt;&lt;wsp:rsid wsp:val=&quot;000764B9&quot;/&gt;&lt;wsp:rsid wsp:val=&quot;00077208&quot;/&gt;&lt;wsp:rsid wsp:val=&quot;0007736E&quot;/&gt;&lt;wsp:rsid wsp:val=&quot;00080598&quot;/&gt;&lt;wsp:rsid wsp:val=&quot;00080DB0&quot;/&gt;&lt;wsp:rsid wsp:val=&quot;00080EB1&quot;/&gt;&lt;wsp:rsid wsp:val=&quot;000810D4&quot;/&gt;&lt;wsp:rsid wsp:val=&quot;000817F1&quot;/&gt;&lt;wsp:rsid wsp:val=&quot;0008182D&quot;/&gt;&lt;wsp:rsid wsp:val=&quot;00081B56&quot;/&gt;&lt;wsp:rsid wsp:val=&quot;000838BF&quot;/&gt;&lt;wsp:rsid wsp:val=&quot;00083CD7&quot;/&gt;&lt;wsp:rsid wsp:val=&quot;000845DD&quot;/&gt;&lt;wsp:rsid wsp:val=&quot;000855A7&quot;/&gt;&lt;wsp:rsid wsp:val=&quot;00085AE6&quot;/&gt;&lt;wsp:rsid wsp:val=&quot;00086CEA&quot;/&gt;&lt;wsp:rsid wsp:val=&quot;00087132&quot;/&gt;&lt;wsp:rsid wsp:val=&quot;00087343&quot;/&gt;&lt;wsp:rsid wsp:val=&quot;000875DF&quot;/&gt;&lt;wsp:rsid wsp:val=&quot;00090564&quot;/&gt;&lt;wsp:rsid wsp:val=&quot;00090BE0&quot;/&gt;&lt;wsp:rsid wsp:val=&quot;00090C6B&quot;/&gt;&lt;wsp:rsid wsp:val=&quot;00091FAC&quot;/&gt;&lt;wsp:rsid wsp:val=&quot;00092497&quot;/&gt;&lt;wsp:rsid wsp:val=&quot;00092A57&quot;/&gt;&lt;wsp:rsid wsp:val=&quot;00092AC0&quot;/&gt;&lt;wsp:rsid wsp:val=&quot;00093234&quot;/&gt;&lt;wsp:rsid wsp:val=&quot;00093359&quot;/&gt;&lt;wsp:rsid wsp:val=&quot;0009340E&quot;/&gt;&lt;wsp:rsid wsp:val=&quot;00093A66&quot;/&gt;&lt;wsp:rsid wsp:val=&quot;0009457C&quot;/&gt;&lt;wsp:rsid wsp:val=&quot;000959BE&quot;/&gt;&lt;wsp:rsid wsp:val=&quot;00096D01&quot;/&gt;&lt;wsp:rsid wsp:val=&quot;000970F1&quot;/&gt;&lt;wsp:rsid wsp:val=&quot;0009717C&quot;/&gt;&lt;wsp:rsid wsp:val=&quot;00097AB5&quot;/&gt;&lt;wsp:rsid wsp:val=&quot;000A00D6&quot;/&gt;&lt;wsp:rsid wsp:val=&quot;000A1010&quot;/&gt;&lt;wsp:rsid wsp:val=&quot;000A17CF&quot;/&gt;&lt;wsp:rsid wsp:val=&quot;000A23B4&quot;/&gt;&lt;wsp:rsid wsp:val=&quot;000A325E&quot;/&gt;&lt;wsp:rsid wsp:val=&quot;000A35F8&quot;/&gt;&lt;wsp:rsid wsp:val=&quot;000A3BCD&quot;/&gt;&lt;wsp:rsid wsp:val=&quot;000A4BEB&quot;/&gt;&lt;wsp:rsid wsp:val=&quot;000A5A01&quot;/&gt;&lt;wsp:rsid wsp:val=&quot;000A5CE8&quot;/&gt;&lt;wsp:rsid wsp:val=&quot;000A6C36&quot;/&gt;&lt;wsp:rsid wsp:val=&quot;000A6FC0&quot;/&gt;&lt;wsp:rsid wsp:val=&quot;000A711E&quot;/&gt;&lt;wsp:rsid wsp:val=&quot;000A76A3&quot;/&gt;&lt;wsp:rsid wsp:val=&quot;000B01BD&quot;/&gt;&lt;wsp:rsid wsp:val=&quot;000B0E63&quot;/&gt;&lt;wsp:rsid wsp:val=&quot;000B28EF&quot;/&gt;&lt;wsp:rsid wsp:val=&quot;000B2E23&quot;/&gt;&lt;wsp:rsid wsp:val=&quot;000B3A40&quot;/&gt;&lt;wsp:rsid wsp:val=&quot;000B3F1E&quot;/&gt;&lt;wsp:rsid wsp:val=&quot;000B5042&quot;/&gt;&lt;wsp:rsid wsp:val=&quot;000B5726&quot;/&gt;&lt;wsp:rsid wsp:val=&quot;000B57E3&quot;/&gt;&lt;wsp:rsid wsp:val=&quot;000B5D56&quot;/&gt;&lt;wsp:rsid wsp:val=&quot;000B6654&quot;/&gt;&lt;wsp:rsid wsp:val=&quot;000C05E6&quot;/&gt;&lt;wsp:rsid wsp:val=&quot;000C334C&quot;/&gt;&lt;wsp:rsid wsp:val=&quot;000C52C3&quot;/&gt;&lt;wsp:rsid wsp:val=&quot;000C5841&quot;/&gt;&lt;wsp:rsid wsp:val=&quot;000C5FBD&quot;/&gt;&lt;wsp:rsid wsp:val=&quot;000C6951&quot;/&gt;&lt;wsp:rsid wsp:val=&quot;000C697D&quot;/&gt;&lt;wsp:rsid wsp:val=&quot;000C6B61&quot;/&gt;&lt;wsp:rsid wsp:val=&quot;000C73ED&quot;/&gt;&lt;wsp:rsid wsp:val=&quot;000C7577&quot;/&gt;&lt;wsp:rsid wsp:val=&quot;000D01A2&quot;/&gt;&lt;wsp:rsid wsp:val=&quot;000D09D5&quot;/&gt;&lt;wsp:rsid wsp:val=&quot;000D1DA1&quot;/&gt;&lt;wsp:rsid wsp:val=&quot;000D1DA7&quot;/&gt;&lt;wsp:rsid wsp:val=&quot;000D1E30&quot;/&gt;&lt;wsp:rsid wsp:val=&quot;000D369F&quot;/&gt;&lt;wsp:rsid wsp:val=&quot;000D397E&quot;/&gt;&lt;wsp:rsid wsp:val=&quot;000D3981&quot;/&gt;&lt;wsp:rsid wsp:val=&quot;000D402F&quot;/&gt;&lt;wsp:rsid wsp:val=&quot;000D466A&quot;/&gt;&lt;wsp:rsid wsp:val=&quot;000D4742&quot;/&gt;&lt;wsp:rsid wsp:val=&quot;000D49E3&quot;/&gt;&lt;wsp:rsid wsp:val=&quot;000D5271&quot;/&gt;&lt;wsp:rsid wsp:val=&quot;000D5DDE&quot;/&gt;&lt;wsp:rsid wsp:val=&quot;000D5E53&quot;/&gt;&lt;wsp:rsid wsp:val=&quot;000D5ED4&quot;/&gt;&lt;wsp:rsid wsp:val=&quot;000D6680&quot;/&gt;&lt;wsp:rsid wsp:val=&quot;000D6D94&quot;/&gt;&lt;wsp:rsid wsp:val=&quot;000D7FEA&quot;/&gt;&lt;wsp:rsid wsp:val=&quot;000E003D&quot;/&gt;&lt;wsp:rsid wsp:val=&quot;000E00EE&quot;/&gt;&lt;wsp:rsid wsp:val=&quot;000E062C&quot;/&gt;&lt;wsp:rsid wsp:val=&quot;000E0710&quot;/&gt;&lt;wsp:rsid wsp:val=&quot;000E0C28&quot;/&gt;&lt;wsp:rsid wsp:val=&quot;000E13AF&quot;/&gt;&lt;wsp:rsid wsp:val=&quot;000E1421&quot;/&gt;&lt;wsp:rsid wsp:val=&quot;000E1975&quot;/&gt;&lt;wsp:rsid wsp:val=&quot;000E25C4&quot;/&gt;&lt;wsp:rsid wsp:val=&quot;000E2E78&quot;/&gt;&lt;wsp:rsid wsp:val=&quot;000E369A&quot;/&gt;&lt;wsp:rsid wsp:val=&quot;000E3E4E&quot;/&gt;&lt;wsp:rsid wsp:val=&quot;000E48DC&quot;/&gt;&lt;wsp:rsid wsp:val=&quot;000E4B1A&quot;/&gt;&lt;wsp:rsid wsp:val=&quot;000E4B7B&quot;/&gt;&lt;wsp:rsid wsp:val=&quot;000E60DA&quot;/&gt;&lt;wsp:rsid wsp:val=&quot;000E6186&quot;/&gt;&lt;wsp:rsid wsp:val=&quot;000E6334&quot;/&gt;&lt;wsp:rsid wsp:val=&quot;000E63BC&quot;/&gt;&lt;wsp:rsid wsp:val=&quot;000E65C7&quot;/&gt;&lt;wsp:rsid wsp:val=&quot;000E6BC9&quot;/&gt;&lt;wsp:rsid wsp:val=&quot;000E729B&quot;/&gt;&lt;wsp:rsid wsp:val=&quot;000E7FDC&quot;/&gt;&lt;wsp:rsid wsp:val=&quot;000F0173&quot;/&gt;&lt;wsp:rsid wsp:val=&quot;000F076C&quot;/&gt;&lt;wsp:rsid wsp:val=&quot;000F091D&quot;/&gt;&lt;wsp:rsid wsp:val=&quot;000F0CD9&quot;/&gt;&lt;wsp:rsid wsp:val=&quot;000F0E6D&quot;/&gt;&lt;wsp:rsid wsp:val=&quot;000F1882&quot;/&gt;&lt;wsp:rsid wsp:val=&quot;000F2CB5&quot;/&gt;&lt;wsp:rsid wsp:val=&quot;000F32D9&quot;/&gt;&lt;wsp:rsid wsp:val=&quot;000F36F9&quot;/&gt;&lt;wsp:rsid wsp:val=&quot;000F3700&quot;/&gt;&lt;wsp:rsid wsp:val=&quot;000F393C&quot;/&gt;&lt;wsp:rsid wsp:val=&quot;000F3D52&quot;/&gt;&lt;wsp:rsid wsp:val=&quot;000F3D98&quot;/&gt;&lt;wsp:rsid wsp:val=&quot;000F4563&quot;/&gt;&lt;wsp:rsid wsp:val=&quot;000F468A&quot;/&gt;&lt;wsp:rsid wsp:val=&quot;000F4EE7&quot;/&gt;&lt;wsp:rsid wsp:val=&quot;000F5276&quot;/&gt;&lt;wsp:rsid wsp:val=&quot;000F655C&quot;/&gt;&lt;wsp:rsid wsp:val=&quot;000F659F&quot;/&gt;&lt;wsp:rsid wsp:val=&quot;000F6672&quot;/&gt;&lt;wsp:rsid wsp:val=&quot;000F66F3&quot;/&gt;&lt;wsp:rsid wsp:val=&quot;000F6A6C&quot;/&gt;&lt;wsp:rsid wsp:val=&quot;000F6A79&quot;/&gt;&lt;wsp:rsid wsp:val=&quot;001005D4&quot;/&gt;&lt;wsp:rsid wsp:val=&quot;00100C39&quot;/&gt;&lt;wsp:rsid wsp:val=&quot;00100FFE&quot;/&gt;&lt;wsp:rsid wsp:val=&quot;00101042&quot;/&gt;&lt;wsp:rsid wsp:val=&quot;001014E3&quot;/&gt;&lt;wsp:rsid wsp:val=&quot;00101692&quot;/&gt;&lt;wsp:rsid wsp:val=&quot;00102002&quot;/&gt;&lt;wsp:rsid wsp:val=&quot;00102158&quot;/&gt;&lt;wsp:rsid wsp:val=&quot;00102EED&quot;/&gt;&lt;wsp:rsid wsp:val=&quot;00104187&quot;/&gt;&lt;wsp:rsid wsp:val=&quot;00104DD1&quot;/&gt;&lt;wsp:rsid wsp:val=&quot;00105352&quot;/&gt;&lt;wsp:rsid wsp:val=&quot;00105456&quot;/&gt;&lt;wsp:rsid wsp:val=&quot;001073A1&quot;/&gt;&lt;wsp:rsid wsp:val=&quot;00107517&quot;/&gt;&lt;wsp:rsid wsp:val=&quot;001076CD&quot;/&gt;&lt;wsp:rsid wsp:val=&quot;00107BDE&quot;/&gt;&lt;wsp:rsid wsp:val=&quot;0011006D&quot;/&gt;&lt;wsp:rsid wsp:val=&quot;001122E5&quot;/&gt;&lt;wsp:rsid wsp:val=&quot;001128CF&quot;/&gt;&lt;wsp:rsid wsp:val=&quot;00112DF6&quot;/&gt;&lt;wsp:rsid wsp:val=&quot;00112FBC&quot;/&gt;&lt;wsp:rsid wsp:val=&quot;001133FC&quot;/&gt;&lt;wsp:rsid wsp:val=&quot;0011399A&quot;/&gt;&lt;wsp:rsid wsp:val=&quot;00113AFF&quot;/&gt;&lt;wsp:rsid wsp:val=&quot;00113CFB&quot;/&gt;&lt;wsp:rsid wsp:val=&quot;00113FCE&quot;/&gt;&lt;wsp:rsid wsp:val=&quot;0011450A&quot;/&gt;&lt;wsp:rsid wsp:val=&quot;00115789&quot;/&gt;&lt;wsp:rsid wsp:val=&quot;00115D6F&quot;/&gt;&lt;wsp:rsid wsp:val=&quot;0011634D&quot;/&gt;&lt;wsp:rsid wsp:val=&quot;00116B11&quot;/&gt;&lt;wsp:rsid wsp:val=&quot;00116BE9&quot;/&gt;&lt;wsp:rsid wsp:val=&quot;00120751&quot;/&gt;&lt;wsp:rsid wsp:val=&quot;00120CA1&quot;/&gt;&lt;wsp:rsid wsp:val=&quot;00121841&quot;/&gt;&lt;wsp:rsid wsp:val=&quot;00121B7F&quot;/&gt;&lt;wsp:rsid wsp:val=&quot;00121D37&quot;/&gt;&lt;wsp:rsid wsp:val=&quot;00121D72&quot;/&gt;&lt;wsp:rsid wsp:val=&quot;00122067&quot;/&gt;&lt;wsp:rsid wsp:val=&quot;00122B66&quot;/&gt;&lt;wsp:rsid wsp:val=&quot;00123405&quot;/&gt;&lt;wsp:rsid wsp:val=&quot;00123983&quot;/&gt;&lt;wsp:rsid wsp:val=&quot;00123F10&quot;/&gt;&lt;wsp:rsid wsp:val=&quot;00124B4B&quot;/&gt;&lt;wsp:rsid wsp:val=&quot;00124E6A&quot;/&gt;&lt;wsp:rsid wsp:val=&quot;0012512C&quot;/&gt;&lt;wsp:rsid wsp:val=&quot;00125BA3&quot;/&gt;&lt;wsp:rsid wsp:val=&quot;0012653C&quot;/&gt;&lt;wsp:rsid wsp:val=&quot;0012695B&quot;/&gt;&lt;wsp:rsid wsp:val=&quot;00126F5A&quot;/&gt;&lt;wsp:rsid wsp:val=&quot;001300E4&quot;/&gt;&lt;wsp:rsid wsp:val=&quot;001316B6&quot;/&gt;&lt;wsp:rsid wsp:val=&quot;00131D85&quot;/&gt;&lt;wsp:rsid wsp:val=&quot;00131F9E&quot;/&gt;&lt;wsp:rsid wsp:val=&quot;001322CD&quot;/&gt;&lt;wsp:rsid wsp:val=&quot;00132705&quot;/&gt;&lt;wsp:rsid wsp:val=&quot;0013353D&quot;/&gt;&lt;wsp:rsid wsp:val=&quot;00133954&quot;/&gt;&lt;wsp:rsid wsp:val=&quot;0013573E&quot;/&gt;&lt;wsp:rsid wsp:val=&quot;00135F87&quot;/&gt;&lt;wsp:rsid wsp:val=&quot;00136938&quot;/&gt;&lt;wsp:rsid wsp:val=&quot;00137072&quot;/&gt;&lt;wsp:rsid wsp:val=&quot;00137745&quot;/&gt;&lt;wsp:rsid wsp:val=&quot;00137B1B&quot;/&gt;&lt;wsp:rsid wsp:val=&quot;00140541&quot;/&gt;&lt;wsp:rsid wsp:val=&quot;00141A06&quot;/&gt;&lt;wsp:rsid wsp:val=&quot;00142AAC&quot;/&gt;&lt;wsp:rsid wsp:val=&quot;001436DA&quot;/&gt;&lt;wsp:rsid wsp:val=&quot;0014475A&quot;/&gt;&lt;wsp:rsid wsp:val=&quot;00145797&quot;/&gt;&lt;wsp:rsid wsp:val=&quot;00145EC7&quot;/&gt;&lt;wsp:rsid wsp:val=&quot;001464EE&quot;/&gt;&lt;wsp:rsid wsp:val=&quot;0014661F&quot;/&gt;&lt;wsp:rsid wsp:val=&quot;00146DE4&quot;/&gt;&lt;wsp:rsid wsp:val=&quot;001473A7&quot;/&gt;&lt;wsp:rsid wsp:val=&quot;001473F1&quot;/&gt;&lt;wsp:rsid wsp:val=&quot;00150203&quot;/&gt;&lt;wsp:rsid wsp:val=&quot;001505E0&quot;/&gt;&lt;wsp:rsid wsp:val=&quot;00150860&quot;/&gt;&lt;wsp:rsid wsp:val=&quot;00151E1B&quot;/&gt;&lt;wsp:rsid wsp:val=&quot;00151E4D&quot;/&gt;&lt;wsp:rsid wsp:val=&quot;00153421&quot;/&gt;&lt;wsp:rsid wsp:val=&quot;001545A5&quot;/&gt;&lt;wsp:rsid wsp:val=&quot;00154A16&quot;/&gt;&lt;wsp:rsid wsp:val=&quot;00154DC8&quot;/&gt;&lt;wsp:rsid wsp:val=&quot;0015534A&quot;/&gt;&lt;wsp:rsid wsp:val=&quot;00155737&quot;/&gt;&lt;wsp:rsid wsp:val=&quot;00156E70&quot;/&gt;&lt;wsp:rsid wsp:val=&quot;00157B87&quot;/&gt;&lt;wsp:rsid wsp:val=&quot;00160189&quot;/&gt;&lt;wsp:rsid wsp:val=&quot;001607FC&quot;/&gt;&lt;wsp:rsid wsp:val=&quot;00160FDB&quot;/&gt;&lt;wsp:rsid wsp:val=&quot;001622EE&quot;/&gt;&lt;wsp:rsid wsp:val=&quot;00162819&quot;/&gt;&lt;wsp:rsid wsp:val=&quot;0016289A&quot;/&gt;&lt;wsp:rsid wsp:val=&quot;00163C5E&quot;/&gt;&lt;wsp:rsid wsp:val=&quot;00163FE0&quot;/&gt;&lt;wsp:rsid wsp:val=&quot;0016488C&quot;/&gt;&lt;wsp:rsid wsp:val=&quot;00164914&quot;/&gt;&lt;wsp:rsid wsp:val=&quot;001652ED&quot;/&gt;&lt;wsp:rsid wsp:val=&quot;001652FB&quot;/&gt;&lt;wsp:rsid wsp:val=&quot;00165541&quot;/&gt;&lt;wsp:rsid wsp:val=&quot;001657FE&quot;/&gt;&lt;wsp:rsid wsp:val=&quot;00165CDE&quot;/&gt;&lt;wsp:rsid wsp:val=&quot;00166490&quot;/&gt;&lt;wsp:rsid wsp:val=&quot;00166E89&quot;/&gt;&lt;wsp:rsid wsp:val=&quot;00170687&quot;/&gt;&lt;wsp:rsid wsp:val=&quot;00170721&quot;/&gt;&lt;wsp:rsid wsp:val=&quot;001708DB&quot;/&gt;&lt;wsp:rsid wsp:val=&quot;00170C50&quot;/&gt;&lt;wsp:rsid wsp:val=&quot;00170CBC&quot;/&gt;&lt;wsp:rsid wsp:val=&quot;001710AE&quot;/&gt;&lt;wsp:rsid wsp:val=&quot;00172A27&quot;/&gt;&lt;wsp:rsid wsp:val=&quot;001734F8&quot;/&gt;&lt;wsp:rsid wsp:val=&quot;00173CBC&quot;/&gt;&lt;wsp:rsid wsp:val=&quot;001742B7&quot;/&gt;&lt;wsp:rsid wsp:val=&quot;00174CF3&quot;/&gt;&lt;wsp:rsid wsp:val=&quot;00175BC5&quot;/&gt;&lt;wsp:rsid wsp:val=&quot;00176ED8&quot;/&gt;&lt;wsp:rsid wsp:val=&quot;0018002C&quot;/&gt;&lt;wsp:rsid wsp:val=&quot;001803D1&quot;/&gt;&lt;wsp:rsid wsp:val=&quot;0018065E&quot;/&gt;&lt;wsp:rsid wsp:val=&quot;00180A8A&quot;/&gt;&lt;wsp:rsid wsp:val=&quot;001815CC&quot;/&gt;&lt;wsp:rsid wsp:val=&quot;00181CBC&quot;/&gt;&lt;wsp:rsid wsp:val=&quot;001820E1&quot;/&gt;&lt;wsp:rsid wsp:val=&quot;00182779&quot;/&gt;&lt;wsp:rsid wsp:val=&quot;001828A9&quot;/&gt;&lt;wsp:rsid wsp:val=&quot;00182A11&quot;/&gt;&lt;wsp:rsid wsp:val=&quot;00182DD1&quot;/&gt;&lt;wsp:rsid wsp:val=&quot;0018359E&quot;/&gt;&lt;wsp:rsid wsp:val=&quot;0018362A&quot;/&gt;&lt;wsp:rsid wsp:val=&quot;001839D3&quot;/&gt;&lt;wsp:rsid wsp:val=&quot;00183B06&quot;/&gt;&lt;wsp:rsid wsp:val=&quot;001843CE&quot;/&gt;&lt;wsp:rsid wsp:val=&quot;00184671&quot;/&gt;&lt;wsp:rsid wsp:val=&quot;001852A4&quot;/&gt;&lt;wsp:rsid wsp:val=&quot;00185325&quot;/&gt;&lt;wsp:rsid wsp:val=&quot;00185358&quot;/&gt;&lt;wsp:rsid wsp:val=&quot;0018605E&quot;/&gt;&lt;wsp:rsid wsp:val=&quot;00186369&quot;/&gt;&lt;wsp:rsid wsp:val=&quot;00186C72&quot;/&gt;&lt;wsp:rsid wsp:val=&quot;00187360&quot;/&gt;&lt;wsp:rsid wsp:val=&quot;0018780B&quot;/&gt;&lt;wsp:rsid wsp:val=&quot;00187A3D&quot;/&gt;&lt;wsp:rsid wsp:val=&quot;00187CF2&quot;/&gt;&lt;wsp:rsid wsp:val=&quot;00187FA5&quot;/&gt;&lt;wsp:rsid wsp:val=&quot;00190A5E&quot;/&gt;&lt;wsp:rsid wsp:val=&quot;001914EB&quot;/&gt;&lt;wsp:rsid wsp:val=&quot;001915CE&quot;/&gt;&lt;wsp:rsid wsp:val=&quot;00191B83&quot;/&gt;&lt;wsp:rsid wsp:val=&quot;0019250A&quot;/&gt;&lt;wsp:rsid wsp:val=&quot;00192B4D&quot;/&gt;&lt;wsp:rsid wsp:val=&quot;00192D7A&quot;/&gt;&lt;wsp:rsid wsp:val=&quot;00194274&quot;/&gt;&lt;wsp:rsid wsp:val=&quot;00194FFF&quot;/&gt;&lt;wsp:rsid wsp:val=&quot;0019539D&quot;/&gt;&lt;wsp:rsid wsp:val=&quot;0019638B&quot;/&gt;&lt;wsp:rsid wsp:val=&quot;001964EC&quot;/&gt;&lt;wsp:rsid wsp:val=&quot;00196E95&quot;/&gt;&lt;wsp:rsid wsp:val=&quot;001A0519&quot;/&gt;&lt;wsp:rsid wsp:val=&quot;001A08F4&quot;/&gt;&lt;wsp:rsid wsp:val=&quot;001A09A6&quot;/&gt;&lt;wsp:rsid wsp:val=&quot;001A0D60&quot;/&gt;&lt;wsp:rsid wsp:val=&quot;001A1025&quot;/&gt;&lt;wsp:rsid wsp:val=&quot;001A1092&quot;/&gt;&lt;wsp:rsid wsp:val=&quot;001A2049&quot;/&gt;&lt;wsp:rsid wsp:val=&quot;001A2375&quot;/&gt;&lt;wsp:rsid wsp:val=&quot;001A2837&quot;/&gt;&lt;wsp:rsid wsp:val=&quot;001A2E43&quot;/&gt;&lt;wsp:rsid wsp:val=&quot;001A2FBA&quot;/&gt;&lt;wsp:rsid wsp:val=&quot;001A36A8&quot;/&gt;&lt;wsp:rsid wsp:val=&quot;001A3D9F&quot;/&gt;&lt;wsp:rsid wsp:val=&quot;001A415D&quot;/&gt;&lt;wsp:rsid wsp:val=&quot;001A4DA3&quot;/&gt;&lt;wsp:rsid wsp:val=&quot;001A4EDD&quot;/&gt;&lt;wsp:rsid wsp:val=&quot;001A547A&quot;/&gt;&lt;wsp:rsid wsp:val=&quot;001A5727&quot;/&gt;&lt;wsp:rsid wsp:val=&quot;001A579E&quot;/&gt;&lt;wsp:rsid wsp:val=&quot;001A648B&quot;/&gt;&lt;wsp:rsid wsp:val=&quot;001A6642&quot;/&gt;&lt;wsp:rsid wsp:val=&quot;001A7477&quot;/&gt;&lt;wsp:rsid wsp:val=&quot;001A74D9&quot;/&gt;&lt;wsp:rsid wsp:val=&quot;001A7DA3&quot;/&gt;&lt;wsp:rsid wsp:val=&quot;001A7DEE&quot;/&gt;&lt;wsp:rsid wsp:val=&quot;001B0D0D&quot;/&gt;&lt;wsp:rsid wsp:val=&quot;001B0E5C&quot;/&gt;&lt;wsp:rsid wsp:val=&quot;001B1048&quot;/&gt;&lt;wsp:rsid wsp:val=&quot;001B1AB3&quot;/&gt;&lt;wsp:rsid wsp:val=&quot;001B1C18&quot;/&gt;&lt;wsp:rsid wsp:val=&quot;001B1E0C&quot;/&gt;&lt;wsp:rsid wsp:val=&quot;001B2E8C&quot;/&gt;&lt;wsp:rsid wsp:val=&quot;001B4C06&quot;/&gt;&lt;wsp:rsid wsp:val=&quot;001B59DA&quot;/&gt;&lt;wsp:rsid wsp:val=&quot;001B5A5F&quot;/&gt;&lt;wsp:rsid wsp:val=&quot;001B626A&quot;/&gt;&lt;wsp:rsid wsp:val=&quot;001B747B&quot;/&gt;&lt;wsp:rsid wsp:val=&quot;001C176A&quot;/&gt;&lt;wsp:rsid wsp:val=&quot;001C1CD2&quot;/&gt;&lt;wsp:rsid wsp:val=&quot;001C2030&quot;/&gt;&lt;wsp:rsid wsp:val=&quot;001C2280&quot;/&gt;&lt;wsp:rsid wsp:val=&quot;001C264B&quot;/&gt;&lt;wsp:rsid wsp:val=&quot;001C2D32&quot;/&gt;&lt;wsp:rsid wsp:val=&quot;001C304A&quot;/&gt;&lt;wsp:rsid wsp:val=&quot;001C341B&quot;/&gt;&lt;wsp:rsid wsp:val=&quot;001C3933&quot;/&gt;&lt;wsp:rsid wsp:val=&quot;001C399A&quot;/&gt;&lt;wsp:rsid wsp:val=&quot;001C3BB8&quot;/&gt;&lt;wsp:rsid wsp:val=&quot;001C3C6D&quot;/&gt;&lt;wsp:rsid wsp:val=&quot;001C3FA8&quot;/&gt;&lt;wsp:rsid wsp:val=&quot;001C5AAD&quot;/&gt;&lt;wsp:rsid wsp:val=&quot;001C5DE6&quot;/&gt;&lt;wsp:rsid wsp:val=&quot;001C6BE8&quot;/&gt;&lt;wsp:rsid wsp:val=&quot;001C75F6&quot;/&gt;&lt;wsp:rsid wsp:val=&quot;001D0CAD&quot;/&gt;&lt;wsp:rsid wsp:val=&quot;001D242F&quot;/&gt;&lt;wsp:rsid wsp:val=&quot;001D2728&quot;/&gt;&lt;wsp:rsid wsp:val=&quot;001D2D95&quot;/&gt;&lt;wsp:rsid wsp:val=&quot;001D4073&quot;/&gt;&lt;wsp:rsid wsp:val=&quot;001D44BE&quot;/&gt;&lt;wsp:rsid wsp:val=&quot;001D4B82&quot;/&gt;&lt;wsp:rsid wsp:val=&quot;001D4BF7&quot;/&gt;&lt;wsp:rsid wsp:val=&quot;001D4CD7&quot;/&gt;&lt;wsp:rsid wsp:val=&quot;001D4FC2&quot;/&gt;&lt;wsp:rsid wsp:val=&quot;001D59C9&quot;/&gt;&lt;wsp:rsid wsp:val=&quot;001D6277&quot;/&gt;&lt;wsp:rsid wsp:val=&quot;001D6BA2&quot;/&gt;&lt;wsp:rsid wsp:val=&quot;001D6D57&quot;/&gt;&lt;wsp:rsid wsp:val=&quot;001D6DA0&quot;/&gt;&lt;wsp:rsid wsp:val=&quot;001D6FB1&quot;/&gt;&lt;wsp:rsid wsp:val=&quot;001D7E5E&quot;/&gt;&lt;wsp:rsid wsp:val=&quot;001E0E9F&quot;/&gt;&lt;wsp:rsid wsp:val=&quot;001E1206&quot;/&gt;&lt;wsp:rsid wsp:val=&quot;001E2787&quot;/&gt;&lt;wsp:rsid wsp:val=&quot;001E2AD8&quot;/&gt;&lt;wsp:rsid wsp:val=&quot;001E36A7&quot;/&gt;&lt;wsp:rsid wsp:val=&quot;001E44E6&quot;/&gt;&lt;wsp:rsid wsp:val=&quot;001E4E55&quot;/&gt;&lt;wsp:rsid wsp:val=&quot;001E5040&quot;/&gt;&lt;wsp:rsid wsp:val=&quot;001E5739&quot;/&gt;&lt;wsp:rsid wsp:val=&quot;001E57DE&quot;/&gt;&lt;wsp:rsid wsp:val=&quot;001E5E8D&quot;/&gt;&lt;wsp:rsid wsp:val=&quot;001E62BF&quot;/&gt;&lt;wsp:rsid wsp:val=&quot;001E6CBC&quot;/&gt;&lt;wsp:rsid wsp:val=&quot;001E72BE&quot;/&gt;&lt;wsp:rsid wsp:val=&quot;001E73B4&quot;/&gt;&lt;wsp:rsid wsp:val=&quot;001E772A&quot;/&gt;&lt;wsp:rsid wsp:val=&quot;001E7EEF&quot;/&gt;&lt;wsp:rsid wsp:val=&quot;001F0F8B&quot;/&gt;&lt;wsp:rsid wsp:val=&quot;001F155A&quot;/&gt;&lt;wsp:rsid wsp:val=&quot;001F181F&quot;/&gt;&lt;wsp:rsid wsp:val=&quot;001F274C&quot;/&gt;&lt;wsp:rsid wsp:val=&quot;001F3C6E&quot;/&gt;&lt;wsp:rsid wsp:val=&quot;001F3DEC&quot;/&gt;&lt;wsp:rsid wsp:val=&quot;001F4F7D&quot;/&gt;&lt;wsp:rsid wsp:val=&quot;001F5AD5&quot;/&gt;&lt;wsp:rsid wsp:val=&quot;001F62C6&quot;/&gt;&lt;wsp:rsid wsp:val=&quot;001F63EE&quot;/&gt;&lt;wsp:rsid wsp:val=&quot;001F7346&quot;/&gt;&lt;wsp:rsid wsp:val=&quot;001F7429&quot;/&gt;&lt;wsp:rsid wsp:val=&quot;001F7B79&quot;/&gt;&lt;wsp:rsid wsp:val=&quot;002005FB&quot;/&gt;&lt;wsp:rsid wsp:val=&quot;00201797&quot;/&gt;&lt;wsp:rsid wsp:val=&quot;00204074&quot;/&gt;&lt;wsp:rsid wsp:val=&quot;00204288&quot;/&gt;&lt;wsp:rsid wsp:val=&quot;00204364&quot;/&gt;&lt;wsp:rsid wsp:val=&quot;00204411&quot;/&gt;&lt;wsp:rsid wsp:val=&quot;00204991&quot;/&gt;&lt;wsp:rsid wsp:val=&quot;00204A60&quot;/&gt;&lt;wsp:rsid wsp:val=&quot;002055A5&quot;/&gt;&lt;wsp:rsid wsp:val=&quot;0020566B&quot;/&gt;&lt;wsp:rsid wsp:val=&quot;002058EF&quot;/&gt;&lt;wsp:rsid wsp:val=&quot;00207086&quot;/&gt;&lt;wsp:rsid wsp:val=&quot;0020748F&quot;/&gt;&lt;wsp:rsid wsp:val=&quot;00207665&quot;/&gt;&lt;wsp:rsid wsp:val=&quot;002076E6&quot;/&gt;&lt;wsp:rsid wsp:val=&quot;00207BCF&quot;/&gt;&lt;wsp:rsid wsp:val=&quot;00207F3E&quot;/&gt;&lt;wsp:rsid wsp:val=&quot;00210648&quot;/&gt;&lt;wsp:rsid wsp:val=&quot;00210DE1&quot;/&gt;&lt;wsp:rsid wsp:val=&quot;002132E9&quot;/&gt;&lt;wsp:rsid wsp:val=&quot;002133D9&quot;/&gt;&lt;wsp:rsid wsp:val=&quot;00213598&quot;/&gt;&lt;wsp:rsid wsp:val=&quot;00213F13&quot;/&gt;&lt;wsp:rsid wsp:val=&quot;002149A4&quot;/&gt;&lt;wsp:rsid wsp:val=&quot;0021514A&quot;/&gt;&lt;wsp:rsid wsp:val=&quot;00215CE1&quot;/&gt;&lt;wsp:rsid wsp:val=&quot;00216477&quot;/&gt;&lt;wsp:rsid wsp:val=&quot;0021728E&quot;/&gt;&lt;wsp:rsid wsp:val=&quot;002177CB&quot;/&gt;&lt;wsp:rsid wsp:val=&quot;00217EA2&quot;/&gt;&lt;wsp:rsid wsp:val=&quot;00220404&quot;/&gt;&lt;wsp:rsid wsp:val=&quot;002216C4&quot;/&gt;&lt;wsp:rsid wsp:val=&quot;002218D1&quot;/&gt;&lt;wsp:rsid wsp:val=&quot;00221A33&quot;/&gt;&lt;wsp:rsid wsp:val=&quot;00221BA5&quot;/&gt;&lt;wsp:rsid wsp:val=&quot;00221F43&quot;/&gt;&lt;wsp:rsid wsp:val=&quot;00221F52&quot;/&gt;&lt;wsp:rsid wsp:val=&quot;00221F88&quot;/&gt;&lt;wsp:rsid wsp:val=&quot;00222E0F&quot;/&gt;&lt;wsp:rsid wsp:val=&quot;002232F7&quot;/&gt;&lt;wsp:rsid wsp:val=&quot;00223577&quot;/&gt;&lt;wsp:rsid wsp:val=&quot;00223BA0&quot;/&gt;&lt;wsp:rsid wsp:val=&quot;002240C2&quot;/&gt;&lt;wsp:rsid wsp:val=&quot;0022446F&quot;/&gt;&lt;wsp:rsid wsp:val=&quot;00224832&quot;/&gt;&lt;wsp:rsid wsp:val=&quot;002261E2&quot;/&gt;&lt;wsp:rsid wsp:val=&quot;00226234&quot;/&gt;&lt;wsp:rsid wsp:val=&quot;0022647B&quot;/&gt;&lt;wsp:rsid wsp:val=&quot;00226DBD&quot;/&gt;&lt;wsp:rsid wsp:val=&quot;00226EEB&quot;/&gt;&lt;wsp:rsid wsp:val=&quot;002273DD&quot;/&gt;&lt;wsp:rsid wsp:val=&quot;00227DCA&quot;/&gt;&lt;wsp:rsid wsp:val=&quot;0023147D&quot;/&gt;&lt;wsp:rsid wsp:val=&quot;00231ABE&quot;/&gt;&lt;wsp:rsid wsp:val=&quot;00233A54&quot;/&gt;&lt;wsp:rsid wsp:val=&quot;0023410D&quot;/&gt;&lt;wsp:rsid wsp:val=&quot;0023483A&quot;/&gt;&lt;wsp:rsid wsp:val=&quot;00234A8D&quot;/&gt;&lt;wsp:rsid wsp:val=&quot;00235326&quot;/&gt;&lt;wsp:rsid wsp:val=&quot;00235677&quot;/&gt;&lt;wsp:rsid wsp:val=&quot;00236307&quot;/&gt;&lt;wsp:rsid wsp:val=&quot;00236B8F&quot;/&gt;&lt;wsp:rsid wsp:val=&quot;002379B5&quot;/&gt;&lt;wsp:rsid wsp:val=&quot;00237A7C&quot;/&gt;&lt;wsp:rsid wsp:val=&quot;002408D0&quot;/&gt;&lt;wsp:rsid wsp:val=&quot;00240C40&quot;/&gt;&lt;wsp:rsid wsp:val=&quot;002419A6&quot;/&gt;&lt;wsp:rsid wsp:val=&quot;00241EBB&quot;/&gt;&lt;wsp:rsid wsp:val=&quot;0024202A&quot;/&gt;&lt;wsp:rsid wsp:val=&quot;00242304&quot;/&gt;&lt;wsp:rsid wsp:val=&quot;00243152&quot;/&gt;&lt;wsp:rsid wsp:val=&quot;002431DB&quot;/&gt;&lt;wsp:rsid wsp:val=&quot;00243D87&quot;/&gt;&lt;wsp:rsid wsp:val=&quot;0024523A&quot;/&gt;&lt;wsp:rsid wsp:val=&quot;00245E8E&quot;/&gt;&lt;wsp:rsid wsp:val=&quot;0024617A&quot;/&gt;&lt;wsp:rsid wsp:val=&quot;00246201&quot;/&gt;&lt;wsp:rsid wsp:val=&quot;002464A0&quot;/&gt;&lt;wsp:rsid wsp:val=&quot;0024681A&quot;/&gt;&lt;wsp:rsid wsp:val=&quot;00246AF4&quot;/&gt;&lt;wsp:rsid wsp:val=&quot;0024738B&quot;/&gt;&lt;wsp:rsid wsp:val=&quot;00247C40&quot;/&gt;&lt;wsp:rsid wsp:val=&quot;00247EF9&quot;/&gt;&lt;wsp:rsid wsp:val=&quot;00250B7F&quot;/&gt;&lt;wsp:rsid wsp:val=&quot;002513EA&quot;/&gt;&lt;wsp:rsid wsp:val=&quot;00251AB6&quot;/&gt;&lt;wsp:rsid wsp:val=&quot;00251B32&quot;/&gt;&lt;wsp:rsid wsp:val=&quot;00252083&quot;/&gt;&lt;wsp:rsid wsp:val=&quot;0025280B&quot;/&gt;&lt;wsp:rsid wsp:val=&quot;0025285E&quot;/&gt;&lt;wsp:rsid wsp:val=&quot;00252E28&quot;/&gt;&lt;wsp:rsid wsp:val=&quot;00252ED4&quot;/&gt;&lt;wsp:rsid wsp:val=&quot;00253646&quot;/&gt;&lt;wsp:rsid wsp:val=&quot;00253A45&quot;/&gt;&lt;wsp:rsid wsp:val=&quot;00253C6E&quot;/&gt;&lt;wsp:rsid wsp:val=&quot;002545CE&quot;/&gt;&lt;wsp:rsid wsp:val=&quot;00254D02&quot;/&gt;&lt;wsp:rsid wsp:val=&quot;00255B2E&quot;/&gt;&lt;wsp:rsid wsp:val=&quot;00255C92&quot;/&gt;&lt;wsp:rsid wsp:val=&quot;0025627A&quot;/&gt;&lt;wsp:rsid wsp:val=&quot;002565FA&quot;/&gt;&lt;wsp:rsid wsp:val=&quot;00256D14&quot;/&gt;&lt;wsp:rsid wsp:val=&quot;002605C4&quot;/&gt;&lt;wsp:rsid wsp:val=&quot;00261742&quot;/&gt;&lt;wsp:rsid wsp:val=&quot;00261E7A&quot;/&gt;&lt;wsp:rsid wsp:val=&quot;00262F35&quot;/&gt;&lt;wsp:rsid wsp:val=&quot;00263EFB&quot;/&gt;&lt;wsp:rsid wsp:val=&quot;0026406F&quot;/&gt;&lt;wsp:rsid wsp:val=&quot;002645AF&quot;/&gt;&lt;wsp:rsid wsp:val=&quot;00264A81&quot;/&gt;&lt;wsp:rsid wsp:val=&quot;00264D55&quot;/&gt;&lt;wsp:rsid wsp:val=&quot;002652CF&quot;/&gt;&lt;wsp:rsid wsp:val=&quot;00265482&quot;/&gt;&lt;wsp:rsid wsp:val=&quot;00265C8A&quot;/&gt;&lt;wsp:rsid wsp:val=&quot;0026609C&quot;/&gt;&lt;wsp:rsid wsp:val=&quot;002664D2&quot;/&gt;&lt;wsp:rsid wsp:val=&quot;002665BD&quot;/&gt;&lt;wsp:rsid wsp:val=&quot;00266A47&quot;/&gt;&lt;wsp:rsid wsp:val=&quot;00270774&quot;/&gt;&lt;wsp:rsid wsp:val=&quot;002712F7&quot;/&gt;&lt;wsp:rsid wsp:val=&quot;00271AB2&quot;/&gt;&lt;wsp:rsid wsp:val=&quot;002721F4&quot;/&gt;&lt;wsp:rsid wsp:val=&quot;0027250E&quot;/&gt;&lt;wsp:rsid wsp:val=&quot;00274049&quot;/&gt;&lt;wsp:rsid wsp:val=&quot;002742A8&quot;/&gt;&lt;wsp:rsid wsp:val=&quot;00274685&quot;/&gt;&lt;wsp:rsid wsp:val=&quot;002756A1&quot;/&gt;&lt;wsp:rsid wsp:val=&quot;0027594D&quot;/&gt;&lt;wsp:rsid wsp:val=&quot;0027644D&quot;/&gt;&lt;wsp:rsid wsp:val=&quot;002765D3&quot;/&gt;&lt;wsp:rsid wsp:val=&quot;002771AC&quot;/&gt;&lt;wsp:rsid wsp:val=&quot;00277726&quot;/&gt;&lt;wsp:rsid wsp:val=&quot;00277FFC&quot;/&gt;&lt;wsp:rsid wsp:val=&quot;002801AA&quot;/&gt;&lt;wsp:rsid wsp:val=&quot;00280268&quot;/&gt;&lt;wsp:rsid wsp:val=&quot;00280665&quot;/&gt;&lt;wsp:rsid wsp:val=&quot;00280A7C&quot;/&gt;&lt;wsp:rsid wsp:val=&quot;00280B9E&quot;/&gt;&lt;wsp:rsid wsp:val=&quot;00280BB8&quot;/&gt;&lt;wsp:rsid wsp:val=&quot;00281A5B&quot;/&gt;&lt;wsp:rsid wsp:val=&quot;00281ACD&quot;/&gt;&lt;wsp:rsid wsp:val=&quot;002820C6&quot;/&gt;&lt;wsp:rsid wsp:val=&quot;00282FEE&quot;/&gt;&lt;wsp:rsid wsp:val=&quot;00283232&quot;/&gt;&lt;wsp:rsid wsp:val=&quot;002835A9&quot;/&gt;&lt;wsp:rsid wsp:val=&quot;00283601&quot;/&gt;&lt;wsp:rsid wsp:val=&quot;00283993&quot;/&gt;&lt;wsp:rsid wsp:val=&quot;00283ACD&quot;/&gt;&lt;wsp:rsid wsp:val=&quot;00284729&quot;/&gt;&lt;wsp:rsid wsp:val=&quot;0028491E&quot;/&gt;&lt;wsp:rsid wsp:val=&quot;00284DD1&quot;/&gt;&lt;wsp:rsid wsp:val=&quot;0028516E&quot;/&gt;&lt;wsp:rsid wsp:val=&quot;00285AFB&quot;/&gt;&lt;wsp:rsid wsp:val=&quot;0028614E&quot;/&gt;&lt;wsp:rsid wsp:val=&quot;00286903&quot;/&gt;&lt;wsp:rsid wsp:val=&quot;00286F69&quot;/&gt;&lt;wsp:rsid wsp:val=&quot;00287CA3&quot;/&gt;&lt;wsp:rsid wsp:val=&quot;002902AD&quot;/&gt;&lt;wsp:rsid wsp:val=&quot;00290916&quot;/&gt;&lt;wsp:rsid wsp:val=&quot;002910CD&quot;/&gt;&lt;wsp:rsid wsp:val=&quot;0029175B&quot;/&gt;&lt;wsp:rsid wsp:val=&quot;00291A6B&quot;/&gt;&lt;wsp:rsid wsp:val=&quot;00291CCA&quot;/&gt;&lt;wsp:rsid wsp:val=&quot;002924F2&quot;/&gt;&lt;wsp:rsid wsp:val=&quot;00292B85&quot;/&gt;&lt;wsp:rsid wsp:val=&quot;0029355D&quot;/&gt;&lt;wsp:rsid wsp:val=&quot;002944FF&quot;/&gt;&lt;wsp:rsid wsp:val=&quot;0029452F&quot;/&gt;&lt;wsp:rsid wsp:val=&quot;0029491B&quot;/&gt;&lt;wsp:rsid wsp:val=&quot;00295187&quot;/&gt;&lt;wsp:rsid wsp:val=&quot;0029525A&quot;/&gt;&lt;wsp:rsid wsp:val=&quot;0029595F&quot;/&gt;&lt;wsp:rsid wsp:val=&quot;002969BA&quot;/&gt;&lt;wsp:rsid wsp:val=&quot;00296A76&quot;/&gt;&lt;wsp:rsid wsp:val=&quot;00297506&quot;/&gt;&lt;wsp:rsid wsp:val=&quot;002A079E&quot;/&gt;&lt;wsp:rsid wsp:val=&quot;002A0E60&quot;/&gt;&lt;wsp:rsid wsp:val=&quot;002A12D7&quot;/&gt;&lt;wsp:rsid wsp:val=&quot;002A2189&quot;/&gt;&lt;wsp:rsid wsp:val=&quot;002A2433&quot;/&gt;&lt;wsp:rsid wsp:val=&quot;002A48F6&quot;/&gt;&lt;wsp:rsid wsp:val=&quot;002A4B39&quot;/&gt;&lt;wsp:rsid wsp:val=&quot;002A530B&quot;/&gt;&lt;wsp:rsid wsp:val=&quot;002A575B&quot;/&gt;&lt;wsp:rsid wsp:val=&quot;002A5A76&quot;/&gt;&lt;wsp:rsid wsp:val=&quot;002A689E&quot;/&gt;&lt;wsp:rsid wsp:val=&quot;002A6947&quot;/&gt;&lt;wsp:rsid wsp:val=&quot;002A7072&quot;/&gt;&lt;wsp:rsid wsp:val=&quot;002A7591&quot;/&gt;&lt;wsp:rsid wsp:val=&quot;002A7604&quot;/&gt;&lt;wsp:rsid wsp:val=&quot;002A7662&quot;/&gt;&lt;wsp:rsid wsp:val=&quot;002A7991&quot;/&gt;&lt;wsp:rsid wsp:val=&quot;002A7E73&quot;/&gt;&lt;wsp:rsid wsp:val=&quot;002B0686&quot;/&gt;&lt;wsp:rsid wsp:val=&quot;002B11BF&quot;/&gt;&lt;wsp:rsid wsp:val=&quot;002B1321&quot;/&gt;&lt;wsp:rsid wsp:val=&quot;002B17EA&quot;/&gt;&lt;wsp:rsid wsp:val=&quot;002B276A&quot;/&gt;&lt;wsp:rsid wsp:val=&quot;002B2F1C&quot;/&gt;&lt;wsp:rsid wsp:val=&quot;002B346B&quot;/&gt;&lt;wsp:rsid wsp:val=&quot;002B5AD9&quot;/&gt;&lt;wsp:rsid wsp:val=&quot;002B5F16&quot;/&gt;&lt;wsp:rsid wsp:val=&quot;002B6235&quot;/&gt;&lt;wsp:rsid wsp:val=&quot;002B6C19&quot;/&gt;&lt;wsp:rsid wsp:val=&quot;002B7397&quot;/&gt;&lt;wsp:rsid wsp:val=&quot;002B75D7&quot;/&gt;&lt;wsp:rsid wsp:val=&quot;002B7A9D&quot;/&gt;&lt;wsp:rsid wsp:val=&quot;002C0E43&quot;/&gt;&lt;wsp:rsid wsp:val=&quot;002C1086&quot;/&gt;&lt;wsp:rsid wsp:val=&quot;002C232A&quot;/&gt;&lt;wsp:rsid wsp:val=&quot;002C3DAE&quot;/&gt;&lt;wsp:rsid wsp:val=&quot;002C4015&quot;/&gt;&lt;wsp:rsid wsp:val=&quot;002C45C4&quot;/&gt;&lt;wsp:rsid wsp:val=&quot;002C5AB2&quot;/&gt;&lt;wsp:rsid wsp:val=&quot;002C5BFD&quot;/&gt;&lt;wsp:rsid wsp:val=&quot;002C665A&quot;/&gt;&lt;wsp:rsid wsp:val=&quot;002C6C60&quot;/&gt;&lt;wsp:rsid wsp:val=&quot;002C702A&quot;/&gt;&lt;wsp:rsid wsp:val=&quot;002C7065&quot;/&gt;&lt;wsp:rsid wsp:val=&quot;002C7AAD&quot;/&gt;&lt;wsp:rsid wsp:val=&quot;002C7BFD&quot;/&gt;&lt;wsp:rsid wsp:val=&quot;002C7D2C&quot;/&gt;&lt;wsp:rsid wsp:val=&quot;002D0592&quot;/&gt;&lt;wsp:rsid wsp:val=&quot;002D072F&quot;/&gt;&lt;wsp:rsid wsp:val=&quot;002D12B2&quot;/&gt;&lt;wsp:rsid wsp:val=&quot;002D2731&quot;/&gt;&lt;wsp:rsid wsp:val=&quot;002D3318&quot;/&gt;&lt;wsp:rsid wsp:val=&quot;002D37F8&quot;/&gt;&lt;wsp:rsid wsp:val=&quot;002D3F89&quot;/&gt;&lt;wsp:rsid wsp:val=&quot;002D42CA&quot;/&gt;&lt;wsp:rsid wsp:val=&quot;002D436A&quot;/&gt;&lt;wsp:rsid wsp:val=&quot;002D50C9&quot;/&gt;&lt;wsp:rsid wsp:val=&quot;002D6344&quot;/&gt;&lt;wsp:rsid wsp:val=&quot;002D73BC&quot;/&gt;&lt;wsp:rsid wsp:val=&quot;002D75AE&quot;/&gt;&lt;wsp:rsid wsp:val=&quot;002D7950&quot;/&gt;&lt;wsp:rsid wsp:val=&quot;002D7F97&quot;/&gt;&lt;wsp:rsid wsp:val=&quot;002E013D&quot;/&gt;&lt;wsp:rsid wsp:val=&quot;002E0521&quot;/&gt;&lt;wsp:rsid wsp:val=&quot;002E0B52&quot;/&gt;&lt;wsp:rsid wsp:val=&quot;002E0D7A&quot;/&gt;&lt;wsp:rsid wsp:val=&quot;002E1A58&quot;/&gt;&lt;wsp:rsid wsp:val=&quot;002E1F3A&quot;/&gt;&lt;wsp:rsid wsp:val=&quot;002E2685&quot;/&gt;&lt;wsp:rsid wsp:val=&quot;002E2982&quot;/&gt;&lt;wsp:rsid wsp:val=&quot;002E2F84&quot;/&gt;&lt;wsp:rsid wsp:val=&quot;002E38BE&quot;/&gt;&lt;wsp:rsid wsp:val=&quot;002E3F91&quot;/&gt;&lt;wsp:rsid wsp:val=&quot;002E43DB&quot;/&gt;&lt;wsp:rsid wsp:val=&quot;002E4B6E&quot;/&gt;&lt;wsp:rsid wsp:val=&quot;002E521F&quot;/&gt;&lt;wsp:rsid wsp:val=&quot;002E5DB7&quot;/&gt;&lt;wsp:rsid wsp:val=&quot;002E6430&quot;/&gt;&lt;wsp:rsid wsp:val=&quot;002E6BE8&quot;/&gt;&lt;wsp:rsid wsp:val=&quot;002E6DAE&quot;/&gt;&lt;wsp:rsid wsp:val=&quot;002E6DCA&quot;/&gt;&lt;wsp:rsid wsp:val=&quot;002E7C3F&quot;/&gt;&lt;wsp:rsid wsp:val=&quot;002F00ED&quot;/&gt;&lt;wsp:rsid wsp:val=&quot;002F02AF&quot;/&gt;&lt;wsp:rsid wsp:val=&quot;002F0535&quot;/&gt;&lt;wsp:rsid wsp:val=&quot;002F0B4F&quot;/&gt;&lt;wsp:rsid wsp:val=&quot;002F161F&quot;/&gt;&lt;wsp:rsid wsp:val=&quot;002F2554&quot;/&gt;&lt;wsp:rsid wsp:val=&quot;002F2840&quot;/&gt;&lt;wsp:rsid wsp:val=&quot;002F28C3&quot;/&gt;&lt;wsp:rsid wsp:val=&quot;002F2B63&quot;/&gt;&lt;wsp:rsid wsp:val=&quot;002F2CE0&quot;/&gt;&lt;wsp:rsid wsp:val=&quot;002F3267&quot;/&gt;&lt;wsp:rsid wsp:val=&quot;002F3E17&quot;/&gt;&lt;wsp:rsid wsp:val=&quot;002F464C&quot;/&gt;&lt;wsp:rsid wsp:val=&quot;002F5217&quot;/&gt;&lt;wsp:rsid wsp:val=&quot;002F55E7&quot;/&gt;&lt;wsp:rsid wsp:val=&quot;002F5D72&quot;/&gt;&lt;wsp:rsid wsp:val=&quot;00300968&quot;/&gt;&lt;wsp:rsid wsp:val=&quot;00300FE8&quot;/&gt;&lt;wsp:rsid wsp:val=&quot;00301026&quot;/&gt;&lt;wsp:rsid wsp:val=&quot;00301450&quot;/&gt;&lt;wsp:rsid wsp:val=&quot;003017E4&quot;/&gt;&lt;wsp:rsid wsp:val=&quot;00301988&quot;/&gt;&lt;wsp:rsid wsp:val=&quot;00301D19&quot;/&gt;&lt;wsp:rsid wsp:val=&quot;00302193&quot;/&gt;&lt;wsp:rsid wsp:val=&quot;00302B92&quot;/&gt;&lt;wsp:rsid wsp:val=&quot;00302F33&quot;/&gt;&lt;wsp:rsid wsp:val=&quot;003030A5&quot;/&gt;&lt;wsp:rsid wsp:val=&quot;0030326F&quot;/&gt;&lt;wsp:rsid wsp:val=&quot;00303278&quot;/&gt;&lt;wsp:rsid wsp:val=&quot;00303BF8&quot;/&gt;&lt;wsp:rsid wsp:val=&quot;003047C4&quot;/&gt;&lt;wsp:rsid wsp:val=&quot;003053AD&quot;/&gt;&lt;wsp:rsid wsp:val=&quot;00307471&quot;/&gt;&lt;wsp:rsid wsp:val=&quot;003079C0&quot;/&gt;&lt;wsp:rsid wsp:val=&quot;00310CA9&quot;/&gt;&lt;wsp:rsid wsp:val=&quot;0031219C&quot;/&gt;&lt;wsp:rsid wsp:val=&quot;0031252E&quot;/&gt;&lt;wsp:rsid wsp:val=&quot;00312D3B&quot;/&gt;&lt;wsp:rsid wsp:val=&quot;00313452&quot;/&gt;&lt;wsp:rsid wsp:val=&quot;00313AED&quot;/&gt;&lt;wsp:rsid wsp:val=&quot;003141A5&quot;/&gt;&lt;wsp:rsid wsp:val=&quot;00314864&quot;/&gt;&lt;wsp:rsid wsp:val=&quot;00314A20&quot;/&gt;&lt;wsp:rsid wsp:val=&quot;003150CC&quot;/&gt;&lt;wsp:rsid wsp:val=&quot;003152E8&quot;/&gt;&lt;wsp:rsid wsp:val=&quot;0031531C&quot;/&gt;&lt;wsp:rsid wsp:val=&quot;003153B7&quot;/&gt;&lt;wsp:rsid wsp:val=&quot;00315BE4&quot;/&gt;&lt;wsp:rsid wsp:val=&quot;00315E5B&quot;/&gt;&lt;wsp:rsid wsp:val=&quot;003169BC&quot;/&gt;&lt;wsp:rsid wsp:val=&quot;00316CF0&quot;/&gt;&lt;wsp:rsid wsp:val=&quot;0031740A&quot;/&gt;&lt;wsp:rsid wsp:val=&quot;003176E0&quot;/&gt;&lt;wsp:rsid wsp:val=&quot;00320A08&quot;/&gt;&lt;wsp:rsid wsp:val=&quot;003225C8&quot;/&gt;&lt;wsp:rsid wsp:val=&quot;00323B92&quot;/&gt;&lt;wsp:rsid wsp:val=&quot;00326A17&quot;/&gt;&lt;wsp:rsid wsp:val=&quot;00327440&quot;/&gt;&lt;wsp:rsid wsp:val=&quot;003314AB&quot;/&gt;&lt;wsp:rsid wsp:val=&quot;00331C84&quot;/&gt;&lt;wsp:rsid wsp:val=&quot;00332F1F&quot;/&gt;&lt;wsp:rsid wsp:val=&quot;003332EE&quot;/&gt;&lt;wsp:rsid wsp:val=&quot;00333E80&quot;/&gt;&lt;wsp:rsid wsp:val=&quot;003345ED&quot;/&gt;&lt;wsp:rsid wsp:val=&quot;00334726&quot;/&gt;&lt;wsp:rsid wsp:val=&quot;00334817&quot;/&gt;&lt;wsp:rsid wsp:val=&quot;003348A2&quot;/&gt;&lt;wsp:rsid wsp:val=&quot;00334A23&quot;/&gt;&lt;wsp:rsid wsp:val=&quot;00335371&quot;/&gt;&lt;wsp:rsid wsp:val=&quot;0033678D&quot;/&gt;&lt;wsp:rsid wsp:val=&quot;003369B7&quot;/&gt;&lt;wsp:rsid wsp:val=&quot;00336C1B&quot;/&gt;&lt;wsp:rsid wsp:val=&quot;00337267&quot;/&gt;&lt;wsp:rsid wsp:val=&quot;0033759A&quot;/&gt;&lt;wsp:rsid wsp:val=&quot;00340B35&quot;/&gt;&lt;wsp:rsid wsp:val=&quot;003419FF&quot;/&gt;&lt;wsp:rsid wsp:val=&quot;00341E59&quot;/&gt;&lt;wsp:rsid wsp:val=&quot;00342F84&quot;/&gt;&lt;wsp:rsid wsp:val=&quot;00343899&quot;/&gt;&lt;wsp:rsid wsp:val=&quot;003438F2&quot;/&gt;&lt;wsp:rsid wsp:val=&quot;00343B8E&quot;/&gt;&lt;wsp:rsid wsp:val=&quot;00343D06&quot;/&gt;&lt;wsp:rsid wsp:val=&quot;003441A3&quot;/&gt;&lt;wsp:rsid wsp:val=&quot;00346804&quot;/&gt;&lt;wsp:rsid wsp:val=&quot;00346DE1&quot;/&gt;&lt;wsp:rsid wsp:val=&quot;00347789&quot;/&gt;&lt;wsp:rsid wsp:val=&quot;00347FDE&quot;/&gt;&lt;wsp:rsid wsp:val=&quot;00350047&quot;/&gt;&lt;wsp:rsid wsp:val=&quot;0035094A&quot;/&gt;&lt;wsp:rsid wsp:val=&quot;0035094B&quot;/&gt;&lt;wsp:rsid wsp:val=&quot;00351752&quot;/&gt;&lt;wsp:rsid wsp:val=&quot;00351B2D&quot;/&gt;&lt;wsp:rsid wsp:val=&quot;00352BCB&quot;/&gt;&lt;wsp:rsid wsp:val=&quot;003539E3&quot;/&gt;&lt;wsp:rsid wsp:val=&quot;00353CCC&quot;/&gt;&lt;wsp:rsid wsp:val=&quot;00354512&quot;/&gt;&lt;wsp:rsid wsp:val=&quot;00355388&quot;/&gt;&lt;wsp:rsid wsp:val=&quot;0035560D&quot;/&gt;&lt;wsp:rsid wsp:val=&quot;00355810&quot;/&gt;&lt;wsp:rsid wsp:val=&quot;00355C8A&quot;/&gt;&lt;wsp:rsid wsp:val=&quot;003567DC&quot;/&gt;&lt;wsp:rsid wsp:val=&quot;003571CF&quot;/&gt;&lt;wsp:rsid wsp:val=&quot;00357203&quot;/&gt;&lt;wsp:rsid wsp:val=&quot;00357251&quot;/&gt;&lt;wsp:rsid wsp:val=&quot;003612AC&quot;/&gt;&lt;wsp:rsid wsp:val=&quot;00362B13&quot;/&gt;&lt;wsp:rsid wsp:val=&quot;00362DB2&quot;/&gt;&lt;wsp:rsid wsp:val=&quot;0036320F&quot;/&gt;&lt;wsp:rsid wsp:val=&quot;0036331B&quot;/&gt;&lt;wsp:rsid wsp:val=&quot;00364217&quot;/&gt;&lt;wsp:rsid wsp:val=&quot;00364815&quot;/&gt;&lt;wsp:rsid wsp:val=&quot;003659D2&quot;/&gt;&lt;wsp:rsid wsp:val=&quot;00366A43&quot;/&gt;&lt;wsp:rsid wsp:val=&quot;003670C8&quot;/&gt;&lt;wsp:rsid wsp:val=&quot;00367E16&quot;/&gt;&lt;wsp:rsid wsp:val=&quot;00371B5D&quot;/&gt;&lt;wsp:rsid wsp:val=&quot;00371C6D&quot;/&gt;&lt;wsp:rsid wsp:val=&quot;00372E12&quot;/&gt;&lt;wsp:rsid wsp:val=&quot;00373E3F&quot;/&gt;&lt;wsp:rsid wsp:val=&quot;00375579&quot;/&gt;&lt;wsp:rsid wsp:val=&quot;003755AF&quot;/&gt;&lt;wsp:rsid wsp:val=&quot;00375712&quot;/&gt;&lt;wsp:rsid wsp:val=&quot;003760F0&quot;/&gt;&lt;wsp:rsid wsp:val=&quot;0037610C&quot;/&gt;&lt;wsp:rsid wsp:val=&quot;00376142&quot;/&gt;&lt;wsp:rsid wsp:val=&quot;00376763&quot;/&gt;&lt;wsp:rsid wsp:val=&quot;00377838&quot;/&gt;&lt;wsp:rsid wsp:val=&quot;00377848&quot;/&gt;&lt;wsp:rsid wsp:val=&quot;0038026F&quot;/&gt;&lt;wsp:rsid wsp:val=&quot;00380B58&quot;/&gt;&lt;wsp:rsid wsp:val=&quot;003815F5&quot;/&gt;&lt;wsp:rsid wsp:val=&quot;00381B28&quot;/&gt;&lt;wsp:rsid wsp:val=&quot;00382241&quot;/&gt;&lt;wsp:rsid wsp:val=&quot;003836F4&quot;/&gt;&lt;wsp:rsid wsp:val=&quot;003839DF&quot;/&gt;&lt;wsp:rsid wsp:val=&quot;00383BC5&quot;/&gt;&lt;wsp:rsid wsp:val=&quot;00383BE8&quot;/&gt;&lt;wsp:rsid wsp:val=&quot;00384AF6&quot;/&gt;&lt;wsp:rsid wsp:val=&quot;003855A5&quot;/&gt;&lt;wsp:rsid wsp:val=&quot;00386158&quot;/&gt;&lt;wsp:rsid wsp:val=&quot;00386CDB&quot;/&gt;&lt;wsp:rsid wsp:val=&quot;003900A8&quot;/&gt;&lt;wsp:rsid wsp:val=&quot;0039061A&quot;/&gt;&lt;wsp:rsid wsp:val=&quot;003907A9&quot;/&gt;&lt;wsp:rsid wsp:val=&quot;003911E1&quot;/&gt;&lt;wsp:rsid wsp:val=&quot;003914A7&quot;/&gt;&lt;wsp:rsid wsp:val=&quot;003914B2&quot;/&gt;&lt;wsp:rsid wsp:val=&quot;003914ED&quot;/&gt;&lt;wsp:rsid wsp:val=&quot;00391936&quot;/&gt;&lt;wsp:rsid wsp:val=&quot;00391974&quot;/&gt;&lt;wsp:rsid wsp:val=&quot;003923BA&quot;/&gt;&lt;wsp:rsid wsp:val=&quot;003923BF&quot;/&gt;&lt;wsp:rsid wsp:val=&quot;00392695&quot;/&gt;&lt;wsp:rsid wsp:val=&quot;003928E0&quot;/&gt;&lt;wsp:rsid wsp:val=&quot;003929A9&quot;/&gt;&lt;wsp:rsid wsp:val=&quot;00392A38&quot;/&gt;&lt;wsp:rsid wsp:val=&quot;00392E45&quot;/&gt;&lt;wsp:rsid wsp:val=&quot;00393A55&quot;/&gt;&lt;wsp:rsid wsp:val=&quot;0039448C&quot;/&gt;&lt;wsp:rsid wsp:val=&quot;0039476E&quot;/&gt;&lt;wsp:rsid wsp:val=&quot;00394C5A&quot;/&gt;&lt;wsp:rsid wsp:val=&quot;00395061&quot;/&gt;&lt;wsp:rsid wsp:val=&quot;003960C8&quot;/&gt;&lt;wsp:rsid wsp:val=&quot;003964E7&quot;/&gt;&lt;wsp:rsid wsp:val=&quot;003A0526&quot;/&gt;&lt;wsp:rsid wsp:val=&quot;003A0B1C&quot;/&gt;&lt;wsp:rsid wsp:val=&quot;003A2400&quot;/&gt;&lt;wsp:rsid wsp:val=&quot;003A2AC2&quot;/&gt;&lt;wsp:rsid wsp:val=&quot;003A2C8D&quot;/&gt;&lt;wsp:rsid wsp:val=&quot;003A3354&quot;/&gt;&lt;wsp:rsid wsp:val=&quot;003A37DF&quot;/&gt;&lt;wsp:rsid wsp:val=&quot;003A42C5&quot;/&gt;&lt;wsp:rsid wsp:val=&quot;003A4BF4&quot;/&gt;&lt;wsp:rsid wsp:val=&quot;003A53BC&quot;/&gt;&lt;wsp:rsid wsp:val=&quot;003A5DE5&quot;/&gt;&lt;wsp:rsid wsp:val=&quot;003A5EEC&quot;/&gt;&lt;wsp:rsid wsp:val=&quot;003A6B21&quot;/&gt;&lt;wsp:rsid wsp:val=&quot;003A7372&quot;/&gt;&lt;wsp:rsid wsp:val=&quot;003A7B09&quot;/&gt;&lt;wsp:rsid wsp:val=&quot;003B0718&quot;/&gt;&lt;wsp:rsid wsp:val=&quot;003B0F7B&quot;/&gt;&lt;wsp:rsid wsp:val=&quot;003B10D2&quot;/&gt;&lt;wsp:rsid wsp:val=&quot;003B131E&quot;/&gt;&lt;wsp:rsid wsp:val=&quot;003B1353&quot;/&gt;&lt;wsp:rsid wsp:val=&quot;003B1D4D&quot;/&gt;&lt;wsp:rsid wsp:val=&quot;003B3067&quot;/&gt;&lt;wsp:rsid wsp:val=&quot;003B3168&quot;/&gt;&lt;wsp:rsid wsp:val=&quot;003B327E&quot;/&gt;&lt;wsp:rsid wsp:val=&quot;003B33FC&quot;/&gt;&lt;wsp:rsid wsp:val=&quot;003B42F3&quot;/&gt;&lt;wsp:rsid wsp:val=&quot;003B5264&quot;/&gt;&lt;wsp:rsid wsp:val=&quot;003B5331&quot;/&gt;&lt;wsp:rsid wsp:val=&quot;003B5DDE&quot;/&gt;&lt;wsp:rsid wsp:val=&quot;003B60CE&quot;/&gt;&lt;wsp:rsid wsp:val=&quot;003B611A&quot;/&gt;&lt;wsp:rsid wsp:val=&quot;003B68BF&quot;/&gt;&lt;wsp:rsid wsp:val=&quot;003B6CA0&quot;/&gt;&lt;wsp:rsid wsp:val=&quot;003B7E9A&quot;/&gt;&lt;wsp:rsid wsp:val=&quot;003C02CF&quot;/&gt;&lt;wsp:rsid wsp:val=&quot;003C0350&quot;/&gt;&lt;wsp:rsid wsp:val=&quot;003C1170&quot;/&gt;&lt;wsp:rsid wsp:val=&quot;003C146F&quot;/&gt;&lt;wsp:rsid wsp:val=&quot;003C1569&quot;/&gt;&lt;wsp:rsid wsp:val=&quot;003C2375&quot;/&gt;&lt;wsp:rsid wsp:val=&quot;003C257D&quot;/&gt;&lt;wsp:rsid wsp:val=&quot;003C2C16&quot;/&gt;&lt;wsp:rsid wsp:val=&quot;003C2F78&quot;/&gt;&lt;wsp:rsid wsp:val=&quot;003C2FFE&quot;/&gt;&lt;wsp:rsid wsp:val=&quot;003C34E1&quot;/&gt;&lt;wsp:rsid wsp:val=&quot;003C370E&quot;/&gt;&lt;wsp:rsid wsp:val=&quot;003C386B&quot;/&gt;&lt;wsp:rsid wsp:val=&quot;003C387E&quot;/&gt;&lt;wsp:rsid wsp:val=&quot;003C3986&quot;/&gt;&lt;wsp:rsid wsp:val=&quot;003C3D1F&quot;/&gt;&lt;wsp:rsid wsp:val=&quot;003C3ED1&quot;/&gt;&lt;wsp:rsid wsp:val=&quot;003C43D7&quot;/&gt;&lt;wsp:rsid wsp:val=&quot;003C4772&quot;/&gt;&lt;wsp:rsid wsp:val=&quot;003C4C72&quot;/&gt;&lt;wsp:rsid wsp:val=&quot;003C4FB3&quot;/&gt;&lt;wsp:rsid wsp:val=&quot;003C5366&quot;/&gt;&lt;wsp:rsid wsp:val=&quot;003C6441&quot;/&gt;&lt;wsp:rsid wsp:val=&quot;003C66B7&quot;/&gt;&lt;wsp:rsid wsp:val=&quot;003C7EF6&quot;/&gt;&lt;wsp:rsid wsp:val=&quot;003C7F22&quot;/&gt;&lt;wsp:rsid wsp:val=&quot;003D0307&quot;/&gt;&lt;wsp:rsid wsp:val=&quot;003D058B&quot;/&gt;&lt;wsp:rsid wsp:val=&quot;003D1947&quot;/&gt;&lt;wsp:rsid wsp:val=&quot;003D2A1F&quot;/&gt;&lt;wsp:rsid wsp:val=&quot;003D2B00&quot;/&gt;&lt;wsp:rsid wsp:val=&quot;003D2BBD&quot;/&gt;&lt;wsp:rsid wsp:val=&quot;003D395B&quot;/&gt;&lt;wsp:rsid wsp:val=&quot;003D4071&quot;/&gt;&lt;wsp:rsid wsp:val=&quot;003D4232&quot;/&gt;&lt;wsp:rsid wsp:val=&quot;003D42A1&quot;/&gt;&lt;wsp:rsid wsp:val=&quot;003D513F&quot;/&gt;&lt;wsp:rsid wsp:val=&quot;003D60BC&quot;/&gt;&lt;wsp:rsid wsp:val=&quot;003D60E3&quot;/&gt;&lt;wsp:rsid wsp:val=&quot;003D619B&quot;/&gt;&lt;wsp:rsid wsp:val=&quot;003D61ED&quot;/&gt;&lt;wsp:rsid wsp:val=&quot;003D7644&quot;/&gt;&lt;wsp:rsid wsp:val=&quot;003E03AC&quot;/&gt;&lt;wsp:rsid wsp:val=&quot;003E05F1&quot;/&gt;&lt;wsp:rsid wsp:val=&quot;003E0B15&quot;/&gt;&lt;wsp:rsid wsp:val=&quot;003E0C15&quot;/&gt;&lt;wsp:rsid wsp:val=&quot;003E0EE1&quot;/&gt;&lt;wsp:rsid wsp:val=&quot;003E10F4&quot;/&gt;&lt;wsp:rsid wsp:val=&quot;003E1275&quot;/&gt;&lt;wsp:rsid wsp:val=&quot;003E1CBC&quot;/&gt;&lt;wsp:rsid wsp:val=&quot;003E2C1E&quot;/&gt;&lt;wsp:rsid wsp:val=&quot;003E2D4C&quot;/&gt;&lt;wsp:rsid wsp:val=&quot;003E36A2&quot;/&gt;&lt;wsp:rsid wsp:val=&quot;003E37CA&quot;/&gt;&lt;wsp:rsid wsp:val=&quot;003E44C2&quot;/&gt;&lt;wsp:rsid wsp:val=&quot;003E4AB1&quot;/&gt;&lt;wsp:rsid wsp:val=&quot;003E5D3B&quot;/&gt;&lt;wsp:rsid wsp:val=&quot;003E667B&quot;/&gt;&lt;wsp:rsid wsp:val=&quot;003E6F7B&quot;/&gt;&lt;wsp:rsid wsp:val=&quot;003E72F7&quot;/&gt;&lt;wsp:rsid wsp:val=&quot;003E73DA&quot;/&gt;&lt;wsp:rsid wsp:val=&quot;003E73F7&quot;/&gt;&lt;wsp:rsid wsp:val=&quot;003E795C&quot;/&gt;&lt;wsp:rsid wsp:val=&quot;003E7BB5&quot;/&gt;&lt;wsp:rsid wsp:val=&quot;003E7FCA&quot;/&gt;&lt;wsp:rsid wsp:val=&quot;003F09DB&quot;/&gt;&lt;wsp:rsid wsp:val=&quot;003F0B2B&quot;/&gt;&lt;wsp:rsid wsp:val=&quot;003F168C&quot;/&gt;&lt;wsp:rsid wsp:val=&quot;003F21A3&quot;/&gt;&lt;wsp:rsid wsp:val=&quot;003F28C7&quot;/&gt;&lt;wsp:rsid wsp:val=&quot;003F2C9A&quot;/&gt;&lt;wsp:rsid wsp:val=&quot;003F3236&quot;/&gt;&lt;wsp:rsid wsp:val=&quot;003F39AD&quot;/&gt;&lt;wsp:rsid wsp:val=&quot;003F3B36&quot;/&gt;&lt;wsp:rsid wsp:val=&quot;003F44E1&quot;/&gt;&lt;wsp:rsid wsp:val=&quot;003F4C7E&quot;/&gt;&lt;wsp:rsid wsp:val=&quot;003F4D18&quot;/&gt;&lt;wsp:rsid wsp:val=&quot;003F4DB5&quot;/&gt;&lt;wsp:rsid wsp:val=&quot;003F514A&quot;/&gt;&lt;wsp:rsid wsp:val=&quot;003F6090&quot;/&gt;&lt;wsp:rsid wsp:val=&quot;003F6155&quot;/&gt;&lt;wsp:rsid wsp:val=&quot;003F6422&quot;/&gt;&lt;wsp:rsid wsp:val=&quot;003F6B4D&quot;/&gt;&lt;wsp:rsid wsp:val=&quot;003F7F85&quot;/&gt;&lt;wsp:rsid wsp:val=&quot;0040033F&quot;/&gt;&lt;wsp:rsid wsp:val=&quot;00400B33&quot;/&gt;&lt;wsp:rsid wsp:val=&quot;0040144B&quot;/&gt;&lt;wsp:rsid wsp:val=&quot;004016C7&quot;/&gt;&lt;wsp:rsid wsp:val=&quot;004019F9&quot;/&gt;&lt;wsp:rsid wsp:val=&quot;00401A1E&quot;/&gt;&lt;wsp:rsid wsp:val=&quot;00401E9D&quot;/&gt;&lt;wsp:rsid wsp:val=&quot;004024EE&quot;/&gt;&lt;wsp:rsid wsp:val=&quot;00402DB7&quot;/&gt;&lt;wsp:rsid wsp:val=&quot;004035C0&quot;/&gt;&lt;wsp:rsid wsp:val=&quot;00403851&quot;/&gt;&lt;wsp:rsid wsp:val=&quot;0040492B&quot;/&gt;&lt;wsp:rsid wsp:val=&quot;00404CEA&quot;/&gt;&lt;wsp:rsid wsp:val=&quot;0040505A&quot;/&gt;&lt;wsp:rsid wsp:val=&quot;00405366&quot;/&gt;&lt;wsp:rsid wsp:val=&quot;00405378&quot;/&gt;&lt;wsp:rsid wsp:val=&quot;00405694&quot;/&gt;&lt;wsp:rsid wsp:val=&quot;00405BDE&quot;/&gt;&lt;wsp:rsid wsp:val=&quot;00405CCD&quot;/&gt;&lt;wsp:rsid wsp:val=&quot;00406215&quot;/&gt;&lt;wsp:rsid wsp:val=&quot;0040628A&quot;/&gt;&lt;wsp:rsid wsp:val=&quot;00406311&quot;/&gt;&lt;wsp:rsid wsp:val=&quot;00406837&quot;/&gt;&lt;wsp:rsid wsp:val=&quot;00406AAF&quot;/&gt;&lt;wsp:rsid wsp:val=&quot;00406B0A&quot;/&gt;&lt;wsp:rsid wsp:val=&quot;00406F33&quot;/&gt;&lt;wsp:rsid wsp:val=&quot;00407127&quot;/&gt;&lt;wsp:rsid wsp:val=&quot;00407168&quot;/&gt;&lt;wsp:rsid wsp:val=&quot;00407574&quot;/&gt;&lt;wsp:rsid wsp:val=&quot;00412767&quot;/&gt;&lt;wsp:rsid wsp:val=&quot;004131DE&quot;/&gt;&lt;wsp:rsid wsp:val=&quot;004135A3&quot;/&gt;&lt;wsp:rsid wsp:val=&quot;00413B12&quot;/&gt;&lt;wsp:rsid wsp:val=&quot;00413D64&quot;/&gt;&lt;wsp:rsid wsp:val=&quot;0041406B&quot;/&gt;&lt;wsp:rsid wsp:val=&quot;00414ECD&quot;/&gt;&lt;wsp:rsid wsp:val=&quot;00414F28&quot;/&gt;&lt;wsp:rsid wsp:val=&quot;00415142&quot;/&gt;&lt;wsp:rsid wsp:val=&quot;00415EDC&quot;/&gt;&lt;wsp:rsid wsp:val=&quot;004177E6&quot;/&gt;&lt;wsp:rsid wsp:val=&quot;00417D37&quot;/&gt;&lt;wsp:rsid wsp:val=&quot;004200AC&quot;/&gt;&lt;wsp:rsid wsp:val=&quot;00420181&quot;/&gt;&lt;wsp:rsid wsp:val=&quot;00420191&quot;/&gt;&lt;wsp:rsid wsp:val=&quot;00420E24&quot;/&gt;&lt;wsp:rsid wsp:val=&quot;00421173&quot;/&gt;&lt;wsp:rsid wsp:val=&quot;0042176E&quot;/&gt;&lt;wsp:rsid wsp:val=&quot;00421928&quot;/&gt;&lt;wsp:rsid wsp:val=&quot;00421CE6&quot;/&gt;&lt;wsp:rsid wsp:val=&quot;00421EB7&quot;/&gt;&lt;wsp:rsid wsp:val=&quot;00422E73&quot;/&gt;&lt;wsp:rsid wsp:val=&quot;0042318E&quot;/&gt;&lt;wsp:rsid wsp:val=&quot;004232C6&quot;/&gt;&lt;wsp:rsid wsp:val=&quot;00423EF2&quot;/&gt;&lt;wsp:rsid wsp:val=&quot;00423FBE&quot;/&gt;&lt;wsp:rsid wsp:val=&quot;00424DDC&quot;/&gt;&lt;wsp:rsid wsp:val=&quot;0042536A&quot;/&gt;&lt;wsp:rsid wsp:val=&quot;00426820&quot;/&gt;&lt;wsp:rsid wsp:val=&quot;004275DA&quot;/&gt;&lt;wsp:rsid wsp:val=&quot;00427673&quot;/&gt;&lt;wsp:rsid wsp:val=&quot;00427698&quot;/&gt;&lt;wsp:rsid wsp:val=&quot;004276F2&quot;/&gt;&lt;wsp:rsid wsp:val=&quot;004302A8&quot;/&gt;&lt;wsp:rsid wsp:val=&quot;00430631&quot;/&gt;&lt;wsp:rsid wsp:val=&quot;004306A3&quot;/&gt;&lt;wsp:rsid wsp:val=&quot;0043147E&quot;/&gt;&lt;wsp:rsid wsp:val=&quot;00431711&quot;/&gt;&lt;wsp:rsid wsp:val=&quot;00431B81&quot;/&gt;&lt;wsp:rsid wsp:val=&quot;00431C46&quot;/&gt;&lt;wsp:rsid wsp:val=&quot;00431EA6&quot;/&gt;&lt;wsp:rsid wsp:val=&quot;004329A7&quot;/&gt;&lt;wsp:rsid wsp:val=&quot;00432F12&quot;/&gt;&lt;wsp:rsid wsp:val=&quot;0043355E&quot;/&gt;&lt;wsp:rsid wsp:val=&quot;004341DF&quot;/&gt;&lt;wsp:rsid wsp:val=&quot;00434ABD&quot;/&gt;&lt;wsp:rsid wsp:val=&quot;00435049&quot;/&gt;&lt;wsp:rsid wsp:val=&quot;0043540D&quot;/&gt;&lt;wsp:rsid wsp:val=&quot;00435544&quot;/&gt;&lt;wsp:rsid wsp:val=&quot;00435578&quot;/&gt;&lt;wsp:rsid wsp:val=&quot;00435720&quot;/&gt;&lt;wsp:rsid wsp:val=&quot;0043573F&quot;/&gt;&lt;wsp:rsid wsp:val=&quot;00435A62&quot;/&gt;&lt;wsp:rsid wsp:val=&quot;00435F68&quot;/&gt;&lt;wsp:rsid wsp:val=&quot;00436827&quot;/&gt;&lt;wsp:rsid wsp:val=&quot;00436E52&quot;/&gt;&lt;wsp:rsid wsp:val=&quot;00436E6D&quot;/&gt;&lt;wsp:rsid wsp:val=&quot;00437896&quot;/&gt;&lt;wsp:rsid wsp:val=&quot;0044069B&quot;/&gt;&lt;wsp:rsid wsp:val=&quot;00440BE6&quot;/&gt;&lt;wsp:rsid wsp:val=&quot;00440CC7&quot;/&gt;&lt;wsp:rsid wsp:val=&quot;004415A9&quot;/&gt;&lt;wsp:rsid wsp:val=&quot;00441DA7&quot;/&gt;&lt;wsp:rsid wsp:val=&quot;004421A1&quot;/&gt;&lt;wsp:rsid wsp:val=&quot;0044220D&quot;/&gt;&lt;wsp:rsid wsp:val=&quot;004429B0&quot;/&gt;&lt;wsp:rsid wsp:val=&quot;004433B0&quot;/&gt;&lt;wsp:rsid wsp:val=&quot;0044397A&quot;/&gt;&lt;wsp:rsid wsp:val=&quot;00443B1C&quot;/&gt;&lt;wsp:rsid wsp:val=&quot;00443C65&quot;/&gt;&lt;wsp:rsid wsp:val=&quot;00443E4A&quot;/&gt;&lt;wsp:rsid wsp:val=&quot;00444078&quot;/&gt;&lt;wsp:rsid wsp:val=&quot;00444608&quot;/&gt;&lt;wsp:rsid wsp:val=&quot;00444939&quot;/&gt;&lt;wsp:rsid wsp:val=&quot;0044584F&quot;/&gt;&lt;wsp:rsid wsp:val=&quot;004469FD&quot;/&gt;&lt;wsp:rsid wsp:val=&quot;0044710E&quot;/&gt;&lt;wsp:rsid wsp:val=&quot;00447B24&quot;/&gt;&lt;wsp:rsid wsp:val=&quot;0045023D&quot;/&gt;&lt;wsp:rsid wsp:val=&quot;004504CC&quot;/&gt;&lt;wsp:rsid wsp:val=&quot;004510FF&quot;/&gt;&lt;wsp:rsid wsp:val=&quot;00451392&quot;/&gt;&lt;wsp:rsid wsp:val=&quot;00451D66&quot;/&gt;&lt;wsp:rsid wsp:val=&quot;0045206F&quot;/&gt;&lt;wsp:rsid wsp:val=&quot;00453E8C&quot;/&gt;&lt;wsp:rsid wsp:val=&quot;00453EA2&quot;/&gt;&lt;wsp:rsid wsp:val=&quot;00454753&quot;/&gt;&lt;wsp:rsid wsp:val=&quot;004547FD&quot;/&gt;&lt;wsp:rsid wsp:val=&quot;00455587&quot;/&gt;&lt;wsp:rsid wsp:val=&quot;00455B59&quot;/&gt;&lt;wsp:rsid wsp:val=&quot;004561AE&quot;/&gt;&lt;wsp:rsid wsp:val=&quot;0045673C&quot;/&gt;&lt;wsp:rsid wsp:val=&quot;004569EE&quot;/&gt;&lt;wsp:rsid wsp:val=&quot;00457101&quot;/&gt;&lt;wsp:rsid wsp:val=&quot;00457518&quot;/&gt;&lt;wsp:rsid wsp:val=&quot;004575FD&quot;/&gt;&lt;wsp:rsid wsp:val=&quot;00457CCC&quot;/&gt;&lt;wsp:rsid wsp:val=&quot;00457D28&quot;/&gt;&lt;wsp:rsid wsp:val=&quot;00461650&quot;/&gt;&lt;wsp:rsid wsp:val=&quot;00461F90&quot;/&gt;&lt;wsp:rsid wsp:val=&quot;004624F2&quot;/&gt;&lt;wsp:rsid wsp:val=&quot;00463708&quot;/&gt;&lt;wsp:rsid wsp:val=&quot;00463C02&quot;/&gt;&lt;wsp:rsid wsp:val=&quot;0046405F&quot;/&gt;&lt;wsp:rsid wsp:val=&quot;00466D3A&quot;/&gt;&lt;wsp:rsid wsp:val=&quot;00467076&quot;/&gt;&lt;wsp:rsid wsp:val=&quot;0047171A&quot;/&gt;&lt;wsp:rsid wsp:val=&quot;00471777&quot;/&gt;&lt;wsp:rsid wsp:val=&quot;00471D94&quot;/&gt;&lt;wsp:rsid wsp:val=&quot;004728DD&quot;/&gt;&lt;wsp:rsid wsp:val=&quot;004729EF&quot;/&gt;&lt;wsp:rsid wsp:val=&quot;0047477F&quot;/&gt;&lt;wsp:rsid wsp:val=&quot;004748AC&quot;/&gt;&lt;wsp:rsid wsp:val=&quot;00474B98&quot;/&gt;&lt;wsp:rsid wsp:val=&quot;00475650&quot;/&gt;&lt;wsp:rsid wsp:val=&quot;00475755&quot;/&gt;&lt;wsp:rsid wsp:val=&quot;00475ADB&quot;/&gt;&lt;wsp:rsid wsp:val=&quot;00475B0A&quot;/&gt;&lt;wsp:rsid wsp:val=&quot;0047602B&quot;/&gt;&lt;wsp:rsid wsp:val=&quot;0047655F&quot;/&gt;&lt;wsp:rsid wsp:val=&quot;00476652&quot;/&gt;&lt;wsp:rsid wsp:val=&quot;004769A8&quot;/&gt;&lt;wsp:rsid wsp:val=&quot;00476EBF&quot;/&gt;&lt;wsp:rsid wsp:val=&quot;0047754B&quot;/&gt;&lt;wsp:rsid wsp:val=&quot;00477872&quot;/&gt;&lt;wsp:rsid wsp:val=&quot;00477CCC&quot;/&gt;&lt;wsp:rsid wsp:val=&quot;004800AD&quot;/&gt;&lt;wsp:rsid wsp:val=&quot;004808E7&quot;/&gt;&lt;wsp:rsid wsp:val=&quot;00481954&quot;/&gt;&lt;wsp:rsid wsp:val=&quot;004825B7&quot;/&gt;&lt;wsp:rsid wsp:val=&quot;004828F3&quot;/&gt;&lt;wsp:rsid wsp:val=&quot;00482D25&quot;/&gt;&lt;wsp:rsid wsp:val=&quot;00483269&quot;/&gt;&lt;wsp:rsid wsp:val=&quot;00483311&quot;/&gt;&lt;wsp:rsid wsp:val=&quot;004834B1&quot;/&gt;&lt;wsp:rsid wsp:val=&quot;00483DB4&quot;/&gt;&lt;wsp:rsid wsp:val=&quot;0048446F&quot;/&gt;&lt;wsp:rsid wsp:val=&quot;00484743&quot;/&gt;&lt;wsp:rsid wsp:val=&quot;00484959&quot;/&gt;&lt;wsp:rsid wsp:val=&quot;00484BB0&quot;/&gt;&lt;wsp:rsid wsp:val=&quot;00484F0E&quot;/&gt;&lt;wsp:rsid wsp:val=&quot;0048517D&quot;/&gt;&lt;wsp:rsid wsp:val=&quot;00485253&quot;/&gt;&lt;wsp:rsid wsp:val=&quot;004854B9&quot;/&gt;&lt;wsp:rsid wsp:val=&quot;004862D0&quot;/&gt;&lt;wsp:rsid wsp:val=&quot;004864E1&quot;/&gt;&lt;wsp:rsid wsp:val=&quot;004866BE&quot;/&gt;&lt;wsp:rsid wsp:val=&quot;004867B1&quot;/&gt;&lt;wsp:rsid wsp:val=&quot;00486E3A&quot;/&gt;&lt;wsp:rsid wsp:val=&quot;004877BA&quot;/&gt;&lt;wsp:rsid wsp:val=&quot;0049013D&quot;/&gt;&lt;wsp:rsid wsp:val=&quot;00490227&quot;/&gt;&lt;wsp:rsid wsp:val=&quot;00490824&quot;/&gt;&lt;wsp:rsid wsp:val=&quot;00490893&quot;/&gt;&lt;wsp:rsid wsp:val=&quot;00491E3F&quot;/&gt;&lt;wsp:rsid wsp:val=&quot;00492775&quot;/&gt;&lt;wsp:rsid wsp:val=&quot;0049283E&quot;/&gt;&lt;wsp:rsid wsp:val=&quot;00492892&quot;/&gt;&lt;wsp:rsid wsp:val=&quot;00492B8F&quot;/&gt;&lt;wsp:rsid wsp:val=&quot;004932B0&quot;/&gt;&lt;wsp:rsid wsp:val=&quot;00493853&quot;/&gt;&lt;wsp:rsid wsp:val=&quot;00493E43&quot;/&gt;&lt;wsp:rsid wsp:val=&quot;004959B3&quot;/&gt;&lt;wsp:rsid wsp:val=&quot;004970A1&quot;/&gt;&lt;wsp:rsid wsp:val=&quot;00497934&quot;/&gt;&lt;wsp:rsid wsp:val=&quot;004A0B4A&quot;/&gt;&lt;wsp:rsid wsp:val=&quot;004A1725&quot;/&gt;&lt;wsp:rsid wsp:val=&quot;004A1C22&quot;/&gt;&lt;wsp:rsid wsp:val=&quot;004A1F31&quot;/&gt;&lt;wsp:rsid wsp:val=&quot;004A2E96&quot;/&gt;&lt;wsp:rsid wsp:val=&quot;004A2F7C&quot;/&gt;&lt;wsp:rsid wsp:val=&quot;004A2F9E&quot;/&gt;&lt;wsp:rsid wsp:val=&quot;004A30B7&quot;/&gt;&lt;wsp:rsid wsp:val=&quot;004A47FA&quot;/&gt;&lt;wsp:rsid wsp:val=&quot;004A4D69&quot;/&gt;&lt;wsp:rsid wsp:val=&quot;004A50DB&quot;/&gt;&lt;wsp:rsid wsp:val=&quot;004A53D9&quot;/&gt;&lt;wsp:rsid wsp:val=&quot;004A5D54&quot;/&gt;&lt;wsp:rsid wsp:val=&quot;004A5F45&quot;/&gt;&lt;wsp:rsid wsp:val=&quot;004A68ED&quot;/&gt;&lt;wsp:rsid wsp:val=&quot;004A6C18&quot;/&gt;&lt;wsp:rsid wsp:val=&quot;004A6DEE&quot;/&gt;&lt;wsp:rsid wsp:val=&quot;004A74C4&quot;/&gt;&lt;wsp:rsid wsp:val=&quot;004A79DA&quot;/&gt;&lt;wsp:rsid wsp:val=&quot;004B0BB9&quot;/&gt;&lt;wsp:rsid wsp:val=&quot;004B0CD4&quot;/&gt;&lt;wsp:rsid wsp:val=&quot;004B103A&quot;/&gt;&lt;wsp:rsid wsp:val=&quot;004B1F5B&quot;/&gt;&lt;wsp:rsid wsp:val=&quot;004B2330&quot;/&gt;&lt;wsp:rsid wsp:val=&quot;004B38DF&quot;/&gt;&lt;wsp:rsid wsp:val=&quot;004B3E84&quot;/&gt;&lt;wsp:rsid wsp:val=&quot;004B450F&quot;/&gt;&lt;wsp:rsid wsp:val=&quot;004B485A&quot;/&gt;&lt;wsp:rsid wsp:val=&quot;004B4C8A&quot;/&gt;&lt;wsp:rsid wsp:val=&quot;004B4DA8&quot;/&gt;&lt;wsp:rsid wsp:val=&quot;004B4FF5&quot;/&gt;&lt;wsp:rsid wsp:val=&quot;004B53E8&quot;/&gt;&lt;wsp:rsid wsp:val=&quot;004B5616&quot;/&gt;&lt;wsp:rsid wsp:val=&quot;004B68E3&quot;/&gt;&lt;wsp:rsid wsp:val=&quot;004B7246&quot;/&gt;&lt;wsp:rsid wsp:val=&quot;004C01B1&quot;/&gt;&lt;wsp:rsid wsp:val=&quot;004C03B1&quot;/&gt;&lt;wsp:rsid wsp:val=&quot;004C08A6&quot;/&gt;&lt;wsp:rsid wsp:val=&quot;004C0D1E&quot;/&gt;&lt;wsp:rsid wsp:val=&quot;004C0FDF&quot;/&gt;&lt;wsp:rsid wsp:val=&quot;004C1BAD&quot;/&gt;&lt;wsp:rsid wsp:val=&quot;004C2126&quot;/&gt;&lt;wsp:rsid wsp:val=&quot;004C2A33&quot;/&gt;&lt;wsp:rsid wsp:val=&quot;004C2B74&quot;/&gt;&lt;wsp:rsid wsp:val=&quot;004C351E&quot;/&gt;&lt;wsp:rsid wsp:val=&quot;004C3AFF&quot;/&gt;&lt;wsp:rsid wsp:val=&quot;004C41B8&quot;/&gt;&lt;wsp:rsid wsp:val=&quot;004C42CD&quot;/&gt;&lt;wsp:rsid wsp:val=&quot;004C4629&quot;/&gt;&lt;wsp:rsid wsp:val=&quot;004C47F0&quot;/&gt;&lt;wsp:rsid wsp:val=&quot;004C58CD&quot;/&gt;&lt;wsp:rsid wsp:val=&quot;004C5966&quot;/&gt;&lt;wsp:rsid wsp:val=&quot;004C5A8C&quot;/&gt;&lt;wsp:rsid wsp:val=&quot;004C5A98&quot;/&gt;&lt;wsp:rsid wsp:val=&quot;004C5A9F&quot;/&gt;&lt;wsp:rsid wsp:val=&quot;004C60C6&quot;/&gt;&lt;wsp:rsid wsp:val=&quot;004C67B2&quot;/&gt;&lt;wsp:rsid wsp:val=&quot;004C6AC8&quot;/&gt;&lt;wsp:rsid wsp:val=&quot;004C6B34&quot;/&gt;&lt;wsp:rsid wsp:val=&quot;004C6F04&quot;/&gt;&lt;wsp:rsid wsp:val=&quot;004C7477&quot;/&gt;&lt;wsp:rsid wsp:val=&quot;004D0103&quot;/&gt;&lt;wsp:rsid wsp:val=&quot;004D0780&quot;/&gt;&lt;wsp:rsid wsp:val=&quot;004D0B0E&quot;/&gt;&lt;wsp:rsid wsp:val=&quot;004D133A&quot;/&gt;&lt;wsp:rsid wsp:val=&quot;004D13AB&quot;/&gt;&lt;wsp:rsid wsp:val=&quot;004D1CA1&quot;/&gt;&lt;wsp:rsid wsp:val=&quot;004D2566&quot;/&gt;&lt;wsp:rsid wsp:val=&quot;004D28CB&quot;/&gt;&lt;wsp:rsid wsp:val=&quot;004D313C&quot;/&gt;&lt;wsp:rsid wsp:val=&quot;004D350E&quot;/&gt;&lt;wsp:rsid wsp:val=&quot;004D3680&quot;/&gt;&lt;wsp:rsid wsp:val=&quot;004D39F7&quot;/&gt;&lt;wsp:rsid wsp:val=&quot;004D3BA4&quot;/&gt;&lt;wsp:rsid wsp:val=&quot;004D3DBE&quot;/&gt;&lt;wsp:rsid wsp:val=&quot;004D4028&quot;/&gt;&lt;wsp:rsid wsp:val=&quot;004D445F&quot;/&gt;&lt;wsp:rsid wsp:val=&quot;004D4CF2&quot;/&gt;&lt;wsp:rsid wsp:val=&quot;004D4D42&quot;/&gt;&lt;wsp:rsid wsp:val=&quot;004D54E1&quot;/&gt;&lt;wsp:rsid wsp:val=&quot;004D563E&quot;/&gt;&lt;wsp:rsid wsp:val=&quot;004D57B4&quot;/&gt;&lt;wsp:rsid wsp:val=&quot;004D598E&quot;/&gt;&lt;wsp:rsid wsp:val=&quot;004D611F&quot;/&gt;&lt;wsp:rsid wsp:val=&quot;004D65BA&quot;/&gt;&lt;wsp:rsid wsp:val=&quot;004D6C7B&quot;/&gt;&lt;wsp:rsid wsp:val=&quot;004D741E&quot;/&gt;&lt;wsp:rsid wsp:val=&quot;004D7BF2&quot;/&gt;&lt;wsp:rsid wsp:val=&quot;004E0AEF&quot;/&gt;&lt;wsp:rsid wsp:val=&quot;004E0C73&quot;/&gt;&lt;wsp:rsid wsp:val=&quot;004E12F2&quot;/&gt;&lt;wsp:rsid wsp:val=&quot;004E273A&quot;/&gt;&lt;wsp:rsid wsp:val=&quot;004E2A29&quot;/&gt;&lt;wsp:rsid wsp:val=&quot;004E5471&quot;/&gt;&lt;wsp:rsid wsp:val=&quot;004E5CF3&quot;/&gt;&lt;wsp:rsid wsp:val=&quot;004E5E91&quot;/&gt;&lt;wsp:rsid wsp:val=&quot;004E5FAA&quot;/&gt;&lt;wsp:rsid wsp:val=&quot;004E6F3C&quot;/&gt;&lt;wsp:rsid wsp:val=&quot;004E7690&quot;/&gt;&lt;wsp:rsid wsp:val=&quot;004F0352&quot;/&gt;&lt;wsp:rsid wsp:val=&quot;004F0481&quot;/&gt;&lt;wsp:rsid wsp:val=&quot;004F0B77&quot;/&gt;&lt;wsp:rsid wsp:val=&quot;004F15C1&quot;/&gt;&lt;wsp:rsid wsp:val=&quot;004F15CB&quot;/&gt;&lt;wsp:rsid wsp:val=&quot;004F1ACF&quot;/&gt;&lt;wsp:rsid wsp:val=&quot;004F2589&quot;/&gt;&lt;wsp:rsid wsp:val=&quot;004F26F1&quot;/&gt;&lt;wsp:rsid wsp:val=&quot;004F2B6B&quot;/&gt;&lt;wsp:rsid wsp:val=&quot;004F321E&quot;/&gt;&lt;wsp:rsid wsp:val=&quot;004F432E&quot;/&gt;&lt;wsp:rsid wsp:val=&quot;004F4641&quot;/&gt;&lt;wsp:rsid wsp:val=&quot;004F4876&quot;/&gt;&lt;wsp:rsid wsp:val=&quot;004F4F4C&quot;/&gt;&lt;wsp:rsid wsp:val=&quot;004F539A&quot;/&gt;&lt;wsp:rsid wsp:val=&quot;004F5C3D&quot;/&gt;&lt;wsp:rsid wsp:val=&quot;004F5D51&quot;/&gt;&lt;wsp:rsid wsp:val=&quot;004F5F57&quot;/&gt;&lt;wsp:rsid wsp:val=&quot;004F61FD&quot;/&gt;&lt;wsp:rsid wsp:val=&quot;004F660F&quot;/&gt;&lt;wsp:rsid wsp:val=&quot;004F67C4&quot;/&gt;&lt;wsp:rsid wsp:val=&quot;004F7297&quot;/&gt;&lt;wsp:rsid wsp:val=&quot;004F73D9&quot;/&gt;&lt;wsp:rsid wsp:val=&quot;004F76C1&quot;/&gt;&lt;wsp:rsid wsp:val=&quot;00501D1F&quot;/&gt;&lt;wsp:rsid wsp:val=&quot;0050248B&quot;/&gt;&lt;wsp:rsid wsp:val=&quot;00502DA9&quot;/&gt;&lt;wsp:rsid wsp:val=&quot;00502FA7&quot;/&gt;&lt;wsp:rsid wsp:val=&quot;00503418&quot;/&gt;&lt;wsp:rsid wsp:val=&quot;00504720&quot;/&gt;&lt;wsp:rsid wsp:val=&quot;00505234&quot;/&gt;&lt;wsp:rsid wsp:val=&quot;0050651C&quot;/&gt;&lt;wsp:rsid wsp:val=&quot;0050707A&quot;/&gt;&lt;wsp:rsid wsp:val=&quot;00507259&quot;/&gt;&lt;wsp:rsid wsp:val=&quot;00507305&quot;/&gt;&lt;wsp:rsid wsp:val=&quot;0051066C&quot;/&gt;&lt;wsp:rsid wsp:val=&quot;005108C0&quot;/&gt;&lt;wsp:rsid wsp:val=&quot;00510BCD&quot;/&gt;&lt;wsp:rsid wsp:val=&quot;00511393&quot;/&gt;&lt;wsp:rsid wsp:val=&quot;0051278C&quot;/&gt;&lt;wsp:rsid wsp:val=&quot;005138C2&quot;/&gt;&lt;wsp:rsid wsp:val=&quot;00514253&quot;/&gt;&lt;wsp:rsid wsp:val=&quot;005143F4&quot;/&gt;&lt;wsp:rsid wsp:val=&quot;0051449F&quot;/&gt;&lt;wsp:rsid wsp:val=&quot;00514523&quot;/&gt;&lt;wsp:rsid wsp:val=&quot;00514BD2&quot;/&gt;&lt;wsp:rsid wsp:val=&quot;005155D4&quot;/&gt;&lt;wsp:rsid wsp:val=&quot;00515783&quot;/&gt;&lt;wsp:rsid wsp:val=&quot;0051622E&quot;/&gt;&lt;wsp:rsid wsp:val=&quot;00516276&quot;/&gt;&lt;wsp:rsid wsp:val=&quot;00516E75&quot;/&gt;&lt;wsp:rsid wsp:val=&quot;00517540&quot;/&gt;&lt;wsp:rsid wsp:val=&quot;00520257&quot;/&gt;&lt;wsp:rsid wsp:val=&quot;00520E22&quot;/&gt;&lt;wsp:rsid wsp:val=&quot;005213A0&quot;/&gt;&lt;wsp:rsid wsp:val=&quot;00522752&quot;/&gt;&lt;wsp:rsid wsp:val=&quot;00522F19&quot;/&gt;&lt;wsp:rsid wsp:val=&quot;00523F25&quot;/&gt;&lt;wsp:rsid wsp:val=&quot;005245E6&quot;/&gt;&lt;wsp:rsid wsp:val=&quot;00524DB8&quot;/&gt;&lt;wsp:rsid wsp:val=&quot;005259BB&quot;/&gt;&lt;wsp:rsid wsp:val=&quot;00526348&quot;/&gt;&lt;wsp:rsid wsp:val=&quot;005265A7&quot;/&gt;&lt;wsp:rsid wsp:val=&quot;005269C0&quot;/&gt;&lt;wsp:rsid wsp:val=&quot;00526BC2&quot;/&gt;&lt;wsp:rsid wsp:val=&quot;00526F0B&quot;/&gt;&lt;wsp:rsid wsp:val=&quot;005277CE&quot;/&gt;&lt;wsp:rsid wsp:val=&quot;00527B94&quot;/&gt;&lt;wsp:rsid wsp:val=&quot;00530487&quot;/&gt;&lt;wsp:rsid wsp:val=&quot;00530A6D&quot;/&gt;&lt;wsp:rsid wsp:val=&quot;00531950&quot;/&gt;&lt;wsp:rsid wsp:val=&quot;00531A18&quot;/&gt;&lt;wsp:rsid wsp:val=&quot;005327CE&quot;/&gt;&lt;wsp:rsid wsp:val=&quot;0053349A&quot;/&gt;&lt;wsp:rsid wsp:val=&quot;00533582&quot;/&gt;&lt;wsp:rsid wsp:val=&quot;00533A8F&quot;/&gt;&lt;wsp:rsid wsp:val=&quot;00533B55&quot;/&gt;&lt;wsp:rsid wsp:val=&quot;00533FBF&quot;/&gt;&lt;wsp:rsid wsp:val=&quot;00534BEC&quot;/&gt;&lt;wsp:rsid wsp:val=&quot;005355F6&quot;/&gt;&lt;wsp:rsid wsp:val=&quot;00535A3C&quot;/&gt;&lt;wsp:rsid wsp:val=&quot;0053658F&quot;/&gt;&lt;wsp:rsid wsp:val=&quot;00536868&quot;/&gt;&lt;wsp:rsid wsp:val=&quot;00536B36&quot;/&gt;&lt;wsp:rsid wsp:val=&quot;00536CED&quot;/&gt;&lt;wsp:rsid wsp:val=&quot;005375DF&quot;/&gt;&lt;wsp:rsid wsp:val=&quot;00537917&quot;/&gt;&lt;wsp:rsid wsp:val=&quot;00537F95&quot;/&gt;&lt;wsp:rsid wsp:val=&quot;00540714&quot;/&gt;&lt;wsp:rsid wsp:val=&quot;0054083B&quot;/&gt;&lt;wsp:rsid wsp:val=&quot;00540A2A&quot;/&gt;&lt;wsp:rsid wsp:val=&quot;00541081&quot;/&gt;&lt;wsp:rsid wsp:val=&quot;0054207B&quot;/&gt;&lt;wsp:rsid wsp:val=&quot;005422D0&quot;/&gt;&lt;wsp:rsid wsp:val=&quot;0054257C&quot;/&gt;&lt;wsp:rsid wsp:val=&quot;005427ED&quot;/&gt;&lt;wsp:rsid wsp:val=&quot;0054291A&quot;/&gt;&lt;wsp:rsid wsp:val=&quot;00543C38&quot;/&gt;&lt;wsp:rsid wsp:val=&quot;00543D99&quot;/&gt;&lt;wsp:rsid wsp:val=&quot;00544402&quot;/&gt;&lt;wsp:rsid wsp:val=&quot;0054441C&quot;/&gt;&lt;wsp:rsid wsp:val=&quot;00544718&quot;/&gt;&lt;wsp:rsid wsp:val=&quot;00544EEE&quot;/&gt;&lt;wsp:rsid wsp:val=&quot;00546BF4&quot;/&gt;&lt;wsp:rsid wsp:val=&quot;005475A0&quot;/&gt;&lt;wsp:rsid wsp:val=&quot;0055024C&quot;/&gt;&lt;wsp:rsid wsp:val=&quot;00550299&quot;/&gt;&lt;wsp:rsid wsp:val=&quot;005505E7&quot;/&gt;&lt;wsp:rsid wsp:val=&quot;005515BD&quot;/&gt;&lt;wsp:rsid wsp:val=&quot;00552685&quot;/&gt;&lt;wsp:rsid wsp:val=&quot;00552730&quot;/&gt;&lt;wsp:rsid wsp:val=&quot;005529E7&quot;/&gt;&lt;wsp:rsid wsp:val=&quot;00552B13&quot;/&gt;&lt;wsp:rsid wsp:val=&quot;00552E9E&quot;/&gt;&lt;wsp:rsid wsp:val=&quot;0055474B&quot;/&gt;&lt;wsp:rsid wsp:val=&quot;00555182&quot;/&gt;&lt;wsp:rsid wsp:val=&quot;0055529D&quot;/&gt;&lt;wsp:rsid wsp:val=&quot;005567D5&quot;/&gt;&lt;wsp:rsid wsp:val=&quot;005573E0&quot;/&gt;&lt;wsp:rsid wsp:val=&quot;00557C46&quot;/&gt;&lt;wsp:rsid wsp:val=&quot;00560A5D&quot;/&gt;&lt;wsp:rsid wsp:val=&quot;00561C4A&quot;/&gt;&lt;wsp:rsid wsp:val=&quot;0056237E&quot;/&gt;&lt;wsp:rsid wsp:val=&quot;00563168&quot;/&gt;&lt;wsp:rsid wsp:val=&quot;00563A5D&quot;/&gt;&lt;wsp:rsid wsp:val=&quot;00564920&quot;/&gt;&lt;wsp:rsid wsp:val=&quot;005654D3&quot;/&gt;&lt;wsp:rsid wsp:val=&quot;005661D7&quot;/&gt;&lt;wsp:rsid wsp:val=&quot;00566BC6&quot;/&gt;&lt;wsp:rsid wsp:val=&quot;005671C8&quot;/&gt;&lt;wsp:rsid wsp:val=&quot;005675E7&quot;/&gt;&lt;wsp:rsid wsp:val=&quot;00567A97&quot;/&gt;&lt;wsp:rsid wsp:val=&quot;00567EF1&quot;/&gt;&lt;wsp:rsid wsp:val=&quot;005706CC&quot;/&gt;&lt;wsp:rsid wsp:val=&quot;00570C30&quot;/&gt;&lt;wsp:rsid wsp:val=&quot;00572F28&quot;/&gt;&lt;wsp:rsid wsp:val=&quot;005732C8&quot;/&gt;&lt;wsp:rsid wsp:val=&quot;00573E79&quot;/&gt;&lt;wsp:rsid wsp:val=&quot;005740D8&quot;/&gt;&lt;wsp:rsid wsp:val=&quot;005740DC&quot;/&gt;&lt;wsp:rsid wsp:val=&quot;005745C4&quot;/&gt;&lt;wsp:rsid wsp:val=&quot;00574C5A&quot;/&gt;&lt;wsp:rsid wsp:val=&quot;00574D4B&quot;/&gt;&lt;wsp:rsid wsp:val=&quot;00574EDC&quot;/&gt;&lt;wsp:rsid wsp:val=&quot;0057555B&quot;/&gt;&lt;wsp:rsid wsp:val=&quot;00575624&quot;/&gt;&lt;wsp:rsid wsp:val=&quot;005757EF&quot;/&gt;&lt;wsp:rsid wsp:val=&quot;00575A23&quot;/&gt;&lt;wsp:rsid wsp:val=&quot;00575DF6&quot;/&gt;&lt;wsp:rsid wsp:val=&quot;005764DB&quot;/&gt;&lt;wsp:rsid wsp:val=&quot;00576540&quot;/&gt;&lt;wsp:rsid wsp:val=&quot;005765F1&quot;/&gt;&lt;wsp:rsid wsp:val=&quot;0057678D&quot;/&gt;&lt;wsp:rsid wsp:val=&quot;00576B40&quot;/&gt;&lt;wsp:rsid wsp:val=&quot;0057712F&quot;/&gt;&lt;wsp:rsid wsp:val=&quot;00577678&quot;/&gt;&lt;wsp:rsid wsp:val=&quot;005812D4&quot;/&gt;&lt;wsp:rsid wsp:val=&quot;00581DCE&quot;/&gt;&lt;wsp:rsid wsp:val=&quot;0058245A&quot;/&gt;&lt;wsp:rsid wsp:val=&quot;00582674&quot;/&gt;&lt;wsp:rsid wsp:val=&quot;00584175&quot;/&gt;&lt;wsp:rsid wsp:val=&quot;0058471C&quot;/&gt;&lt;wsp:rsid wsp:val=&quot;005848C9&quot;/&gt;&lt;wsp:rsid wsp:val=&quot;00584C92&quot;/&gt;&lt;wsp:rsid wsp:val=&quot;00585B33&quot;/&gt;&lt;wsp:rsid wsp:val=&quot;00586393&quot;/&gt;&lt;wsp:rsid wsp:val=&quot;005866C2&quot;/&gt;&lt;wsp:rsid wsp:val=&quot;005866DF&quot;/&gt;&lt;wsp:rsid wsp:val=&quot;00590A83&quot;/&gt;&lt;wsp:rsid wsp:val=&quot;00590D95&quot;/&gt;&lt;wsp:rsid wsp:val=&quot;00591326&quot;/&gt;&lt;wsp:rsid wsp:val=&quot;0059198A&quot;/&gt;&lt;wsp:rsid wsp:val=&quot;00591A89&quot;/&gt;&lt;wsp:rsid wsp:val=&quot;00591D28&quot;/&gt;&lt;wsp:rsid wsp:val=&quot;005946D1&quot;/&gt;&lt;wsp:rsid wsp:val=&quot;00594A16&quot;/&gt;&lt;wsp:rsid wsp:val=&quot;00595192&quot;/&gt;&lt;wsp:rsid wsp:val=&quot;00595FB7&quot;/&gt;&lt;wsp:rsid wsp:val=&quot;005966ED&quot;/&gt;&lt;wsp:rsid wsp:val=&quot;005974D0&quot;/&gt;&lt;wsp:rsid wsp:val=&quot;005A0473&quot;/&gt;&lt;wsp:rsid wsp:val=&quot;005A0AE3&quot;/&gt;&lt;wsp:rsid wsp:val=&quot;005A10B5&quot;/&gt;&lt;wsp:rsid wsp:val=&quot;005A190A&quot;/&gt;&lt;wsp:rsid wsp:val=&quot;005A19E7&quot;/&gt;&lt;wsp:rsid wsp:val=&quot;005A242D&quot;/&gt;&lt;wsp:rsid wsp:val=&quot;005A25A8&quot;/&gt;&lt;wsp:rsid wsp:val=&quot;005A3011&quot;/&gt;&lt;wsp:rsid wsp:val=&quot;005A355D&quot;/&gt;&lt;wsp:rsid wsp:val=&quot;005A37FF&quot;/&gt;&lt;wsp:rsid wsp:val=&quot;005A3D90&quot;/&gt;&lt;wsp:rsid wsp:val=&quot;005A3E30&quot;/&gt;&lt;wsp:rsid wsp:val=&quot;005A3EF4&quot;/&gt;&lt;wsp:rsid wsp:val=&quot;005A3F6D&quot;/&gt;&lt;wsp:rsid wsp:val=&quot;005A44C5&quot;/&gt;&lt;wsp:rsid wsp:val=&quot;005A44F7&quot;/&gt;&lt;wsp:rsid wsp:val=&quot;005A4611&quot;/&gt;&lt;wsp:rsid wsp:val=&quot;005A4F0C&quot;/&gt;&lt;wsp:rsid wsp:val=&quot;005A6167&quot;/&gt;&lt;wsp:rsid wsp:val=&quot;005A6316&quot;/&gt;&lt;wsp:rsid wsp:val=&quot;005A6A1D&quot;/&gt;&lt;wsp:rsid wsp:val=&quot;005A6AEF&quot;/&gt;&lt;wsp:rsid wsp:val=&quot;005A7273&quot;/&gt;&lt;wsp:rsid wsp:val=&quot;005B00B6&quot;/&gt;&lt;wsp:rsid wsp:val=&quot;005B0D13&quot;/&gt;&lt;wsp:rsid wsp:val=&quot;005B1395&quot;/&gt;&lt;wsp:rsid wsp:val=&quot;005B16E6&quot;/&gt;&lt;wsp:rsid wsp:val=&quot;005B1841&quot;/&gt;&lt;wsp:rsid wsp:val=&quot;005B206A&quot;/&gt;&lt;wsp:rsid wsp:val=&quot;005B3037&quot;/&gt;&lt;wsp:rsid wsp:val=&quot;005B31DB&quot;/&gt;&lt;wsp:rsid wsp:val=&quot;005B34EE&quot;/&gt;&lt;wsp:rsid wsp:val=&quot;005B3653&quot;/&gt;&lt;wsp:rsid wsp:val=&quot;005B43AD&quot;/&gt;&lt;wsp:rsid wsp:val=&quot;005B46BC&quot;/&gt;&lt;wsp:rsid wsp:val=&quot;005B4A9D&quot;/&gt;&lt;wsp:rsid wsp:val=&quot;005B4DF7&quot;/&gt;&lt;wsp:rsid wsp:val=&quot;005B5BC0&quot;/&gt;&lt;wsp:rsid wsp:val=&quot;005B637A&quot;/&gt;&lt;wsp:rsid wsp:val=&quot;005B70DB&quot;/&gt;&lt;wsp:rsid wsp:val=&quot;005B72BD&quot;/&gt;&lt;wsp:rsid wsp:val=&quot;005B75A2&quot;/&gt;&lt;wsp:rsid wsp:val=&quot;005B7E4F&quot;/&gt;&lt;wsp:rsid wsp:val=&quot;005B7E51&quot;/&gt;&lt;wsp:rsid wsp:val=&quot;005C0917&quot;/&gt;&lt;wsp:rsid wsp:val=&quot;005C0A9D&quot;/&gt;&lt;wsp:rsid wsp:val=&quot;005C0D98&quot;/&gt;&lt;wsp:rsid wsp:val=&quot;005C0F75&quot;/&gt;&lt;wsp:rsid wsp:val=&quot;005C14B4&quot;/&gt;&lt;wsp:rsid wsp:val=&quot;005C1B95&quot;/&gt;&lt;wsp:rsid wsp:val=&quot;005C2B9D&quot;/&gt;&lt;wsp:rsid wsp:val=&quot;005C4318&quot;/&gt;&lt;wsp:rsid wsp:val=&quot;005C4A44&quot;/&gt;&lt;wsp:rsid wsp:val=&quot;005C5415&quot;/&gt;&lt;wsp:rsid wsp:val=&quot;005C6BE7&quot;/&gt;&lt;wsp:rsid wsp:val=&quot;005C6C21&quot;/&gt;&lt;wsp:rsid wsp:val=&quot;005C6FEC&quot;/&gt;&lt;wsp:rsid wsp:val=&quot;005C7B92&quot;/&gt;&lt;wsp:rsid wsp:val=&quot;005D0DCB&quot;/&gt;&lt;wsp:rsid wsp:val=&quot;005D1079&quot;/&gt;&lt;wsp:rsid wsp:val=&quot;005D2BBD&quot;/&gt;&lt;wsp:rsid wsp:val=&quot;005D3297&quot;/&gt;&lt;wsp:rsid wsp:val=&quot;005D38C9&quot;/&gt;&lt;wsp:rsid wsp:val=&quot;005D3ED4&quot;/&gt;&lt;wsp:rsid wsp:val=&quot;005D5A88&quot;/&gt;&lt;wsp:rsid wsp:val=&quot;005D5F04&quot;/&gt;&lt;wsp:rsid wsp:val=&quot;005D607C&quot;/&gt;&lt;wsp:rsid wsp:val=&quot;005D677D&quot;/&gt;&lt;wsp:rsid wsp:val=&quot;005D67B4&quot;/&gt;&lt;wsp:rsid wsp:val=&quot;005D69F4&quot;/&gt;&lt;wsp:rsid wsp:val=&quot;005D7D9A&quot;/&gt;&lt;wsp:rsid wsp:val=&quot;005E0040&quot;/&gt;&lt;wsp:rsid wsp:val=&quot;005E08B0&quot;/&gt;&lt;wsp:rsid wsp:val=&quot;005E135C&quot;/&gt;&lt;wsp:rsid wsp:val=&quot;005E18C3&quot;/&gt;&lt;wsp:rsid wsp:val=&quot;005E2CD0&quot;/&gt;&lt;wsp:rsid wsp:val=&quot;005E30F2&quot;/&gt;&lt;wsp:rsid wsp:val=&quot;005E38D4&quot;/&gt;&lt;wsp:rsid wsp:val=&quot;005E3D8A&quot;/&gt;&lt;wsp:rsid wsp:val=&quot;005E3E61&quot;/&gt;&lt;wsp:rsid wsp:val=&quot;005E4613&quot;/&gt;&lt;wsp:rsid wsp:val=&quot;005E4658&quot;/&gt;&lt;wsp:rsid wsp:val=&quot;005E4799&quot;/&gt;&lt;wsp:rsid wsp:val=&quot;005E4A6B&quot;/&gt;&lt;wsp:rsid wsp:val=&quot;005E53D0&quot;/&gt;&lt;wsp:rsid wsp:val=&quot;005E5CFC&quot;/&gt;&lt;wsp:rsid wsp:val=&quot;005E5E8B&quot;/&gt;&lt;wsp:rsid wsp:val=&quot;005E600C&quot;/&gt;&lt;wsp:rsid wsp:val=&quot;005E68DE&quot;/&gt;&lt;wsp:rsid wsp:val=&quot;005E729C&quot;/&gt;&lt;wsp:rsid wsp:val=&quot;005E7B60&quot;/&gt;&lt;wsp:rsid wsp:val=&quot;005F010F&quot;/&gt;&lt;wsp:rsid wsp:val=&quot;005F0273&quot;/&gt;&lt;wsp:rsid wsp:val=&quot;005F0298&quot;/&gt;&lt;wsp:rsid wsp:val=&quot;005F124F&quot;/&gt;&lt;wsp:rsid wsp:val=&quot;005F1715&quot;/&gt;&lt;wsp:rsid wsp:val=&quot;005F21D2&quot;/&gt;&lt;wsp:rsid wsp:val=&quot;005F23C6&quot;/&gt;&lt;wsp:rsid wsp:val=&quot;005F36CF&quot;/&gt;&lt;wsp:rsid wsp:val=&quot;005F43E5&quot;/&gt;&lt;wsp:rsid wsp:val=&quot;005F46E9&quot;/&gt;&lt;wsp:rsid wsp:val=&quot;005F55CB&quot;/&gt;&lt;wsp:rsid wsp:val=&quot;005F5A42&quot;/&gt;&lt;wsp:rsid wsp:val=&quot;005F602B&quot;/&gt;&lt;wsp:rsid wsp:val=&quot;005F619D&quot;/&gt;&lt;wsp:rsid wsp:val=&quot;005F79C4&quot;/&gt;&lt;wsp:rsid wsp:val=&quot;0060063D&quot;/&gt;&lt;wsp:rsid wsp:val=&quot;00600BB4&quot;/&gt;&lt;wsp:rsid wsp:val=&quot;0060137A&quot;/&gt;&lt;wsp:rsid wsp:val=&quot;006014AA&quot;/&gt;&lt;wsp:rsid wsp:val=&quot;006018FE&quot;/&gt;&lt;wsp:rsid wsp:val=&quot;006021E6&quot;/&gt;&lt;wsp:rsid wsp:val=&quot;006022CB&quot;/&gt;&lt;wsp:rsid wsp:val=&quot;0060245A&quot;/&gt;&lt;wsp:rsid wsp:val=&quot;00602648&quot;/&gt;&lt;wsp:rsid wsp:val=&quot;00602A41&quot;/&gt;&lt;wsp:rsid wsp:val=&quot;00602CA9&quot;/&gt;&lt;wsp:rsid wsp:val=&quot;00602DF7&quot;/&gt;&lt;wsp:rsid wsp:val=&quot;00603036&quot;/&gt;&lt;wsp:rsid wsp:val=&quot;006034CF&quot;/&gt;&lt;wsp:rsid wsp:val=&quot;00603FDF&quot;/&gt;&lt;wsp:rsid wsp:val=&quot;0060434B&quot;/&gt;&lt;wsp:rsid wsp:val=&quot;006043CC&quot;/&gt;&lt;wsp:rsid wsp:val=&quot;00604505&quot;/&gt;&lt;wsp:rsid wsp:val=&quot;00604D7B&quot;/&gt;&lt;wsp:rsid wsp:val=&quot;00604E15&quot;/&gt;&lt;wsp:rsid wsp:val=&quot;00605118&quot;/&gt;&lt;wsp:rsid wsp:val=&quot;006055A6&quot;/&gt;&lt;wsp:rsid wsp:val=&quot;00605655&quot;/&gt;&lt;wsp:rsid wsp:val=&quot;00605C90&quot;/&gt;&lt;wsp:rsid wsp:val=&quot;006061EF&quot;/&gt;&lt;wsp:rsid wsp:val=&quot;00606805&quot;/&gt;&lt;wsp:rsid wsp:val=&quot;006068BE&quot;/&gt;&lt;wsp:rsid wsp:val=&quot;00606A97&quot;/&gt;&lt;wsp:rsid wsp:val=&quot;00606B5D&quot;/&gt;&lt;wsp:rsid wsp:val=&quot;006079AE&quot;/&gt;&lt;wsp:rsid wsp:val=&quot;00610073&quot;/&gt;&lt;wsp:rsid wsp:val=&quot;006105C5&quot;/&gt;&lt;wsp:rsid wsp:val=&quot;006106C6&quot;/&gt;&lt;wsp:rsid wsp:val=&quot;00611187&quot;/&gt;&lt;wsp:rsid wsp:val=&quot;006115FB&quot;/&gt;&lt;wsp:rsid wsp:val=&quot;00611888&quot;/&gt;&lt;wsp:rsid wsp:val=&quot;006120A7&quot;/&gt;&lt;wsp:rsid wsp:val=&quot;00612FC5&quot;/&gt;&lt;wsp:rsid wsp:val=&quot;0061310C&quot;/&gt;&lt;wsp:rsid wsp:val=&quot;006131D3&quot;/&gt;&lt;wsp:rsid wsp:val=&quot;00613461&quot;/&gt;&lt;wsp:rsid wsp:val=&quot;00614F8B&quot;/&gt;&lt;wsp:rsid wsp:val=&quot;006155BF&quot;/&gt;&lt;wsp:rsid wsp:val=&quot;00615A4E&quot;/&gt;&lt;wsp:rsid wsp:val=&quot;0061654B&quot;/&gt;&lt;wsp:rsid wsp:val=&quot;00616A2B&quot;/&gt;&lt;wsp:rsid wsp:val=&quot;00616CBD&quot;/&gt;&lt;wsp:rsid wsp:val=&quot;00616F93&quot;/&gt;&lt;wsp:rsid wsp:val=&quot;00616FEE&quot;/&gt;&lt;wsp:rsid wsp:val=&quot;006175DA&quot;/&gt;&lt;wsp:rsid wsp:val=&quot;00617AEE&quot;/&gt;&lt;wsp:rsid wsp:val=&quot;0062086C&quot;/&gt;&lt;wsp:rsid wsp:val=&quot;00620FAB&quot;/&gt;&lt;wsp:rsid wsp:val=&quot;006217BD&quot;/&gt;&lt;wsp:rsid wsp:val=&quot;00621F33&quot;/&gt;&lt;wsp:rsid wsp:val=&quot;00622B5F&quot;/&gt;&lt;wsp:rsid wsp:val=&quot;00623511&quot;/&gt;&lt;wsp:rsid wsp:val=&quot;00624435&quot;/&gt;&lt;wsp:rsid wsp:val=&quot;006246B2&quot;/&gt;&lt;wsp:rsid wsp:val=&quot;006259E9&quot;/&gt;&lt;wsp:rsid wsp:val=&quot;00625E63&quot;/&gt;&lt;wsp:rsid wsp:val=&quot;006264A8&quot;/&gt;&lt;wsp:rsid wsp:val=&quot;006271E4&quot;/&gt;&lt;wsp:rsid wsp:val=&quot;00632B05&quot;/&gt;&lt;wsp:rsid wsp:val=&quot;006340A4&quot;/&gt;&lt;wsp:rsid wsp:val=&quot;006343D7&quot;/&gt;&lt;wsp:rsid wsp:val=&quot;0063532B&quot;/&gt;&lt;wsp:rsid wsp:val=&quot;00635A49&quot;/&gt;&lt;wsp:rsid wsp:val=&quot;00636283&quot;/&gt;&lt;wsp:rsid wsp:val=&quot;0063675B&quot;/&gt;&lt;wsp:rsid wsp:val=&quot;00636B4E&quot;/&gt;&lt;wsp:rsid wsp:val=&quot;006372AE&quot;/&gt;&lt;wsp:rsid wsp:val=&quot;006375E8&quot;/&gt;&lt;wsp:rsid wsp:val=&quot;00637E7B&quot;/&gt;&lt;wsp:rsid wsp:val=&quot;00637F56&quot;/&gt;&lt;wsp:rsid wsp:val=&quot;00640E7C&quot;/&gt;&lt;wsp:rsid wsp:val=&quot;006412E5&quot;/&gt;&lt;wsp:rsid wsp:val=&quot;00641464&quot;/&gt;&lt;wsp:rsid wsp:val=&quot;00641B04&quot;/&gt;&lt;wsp:rsid wsp:val=&quot;00641D8C&quot;/&gt;&lt;wsp:rsid wsp:val=&quot;00642918&quot;/&gt;&lt;wsp:rsid wsp:val=&quot;00642A74&quot;/&gt;&lt;wsp:rsid wsp:val=&quot;006439B2&quot;/&gt;&lt;wsp:rsid wsp:val=&quot;006439D8&quot;/&gt;&lt;wsp:rsid wsp:val=&quot;00643ECA&quot;/&gt;&lt;wsp:rsid wsp:val=&quot;0064406E&quot;/&gt;&lt;wsp:rsid wsp:val=&quot;00644249&quot;/&gt;&lt;wsp:rsid wsp:val=&quot;00644B78&quot;/&gt;&lt;wsp:rsid wsp:val=&quot;00645C9B&quot;/&gt;&lt;wsp:rsid wsp:val=&quot;00645EB5&quot;/&gt;&lt;wsp:rsid wsp:val=&quot;0064657C&quot;/&gt;&lt;wsp:rsid wsp:val=&quot;00646EDD&quot;/&gt;&lt;wsp:rsid wsp:val=&quot;006479D6&quot;/&gt;&lt;wsp:rsid wsp:val=&quot;00650766&quot;/&gt;&lt;wsp:rsid wsp:val=&quot;0065087C&quot;/&gt;&lt;wsp:rsid wsp:val=&quot;0065147E&quot;/&gt;&lt;wsp:rsid wsp:val=&quot;00651F1B&quot;/&gt;&lt;wsp:rsid wsp:val=&quot;00652E5E&quot;/&gt;&lt;wsp:rsid wsp:val=&quot;00653285&quot;/&gt;&lt;wsp:rsid wsp:val=&quot;00653500&quot;/&gt;&lt;wsp:rsid wsp:val=&quot;00653A55&quot;/&gt;&lt;wsp:rsid wsp:val=&quot;00653CD5&quot;/&gt;&lt;wsp:rsid wsp:val=&quot;00654886&quot;/&gt;&lt;wsp:rsid wsp:val=&quot;00654F47&quot;/&gt;&lt;wsp:rsid wsp:val=&quot;006550DB&quot;/&gt;&lt;wsp:rsid wsp:val=&quot;00655133&quot;/&gt;&lt;wsp:rsid wsp:val=&quot;0065591C&quot;/&gt;&lt;wsp:rsid wsp:val=&quot;00656B8B&quot;/&gt;&lt;wsp:rsid wsp:val=&quot;00656BC1&quot;/&gt;&lt;wsp:rsid wsp:val=&quot;00657246&quot;/&gt;&lt;wsp:rsid wsp:val=&quot;00657518&quot;/&gt;&lt;wsp:rsid wsp:val=&quot;00657E6F&quot;/&gt;&lt;wsp:rsid wsp:val=&quot;00661162&quot;/&gt;&lt;wsp:rsid wsp:val=&quot;00661190&quot;/&gt;&lt;wsp:rsid wsp:val=&quot;00661CCF&quot;/&gt;&lt;wsp:rsid wsp:val=&quot;006620B6&quot;/&gt;&lt;wsp:rsid wsp:val=&quot;006624FA&quot;/&gt;&lt;wsp:rsid wsp:val=&quot;00662FCD&quot;/&gt;&lt;wsp:rsid wsp:val=&quot;0066311A&quot;/&gt;&lt;wsp:rsid wsp:val=&quot;006633E6&quot;/&gt;&lt;wsp:rsid wsp:val=&quot;00663579&quot;/&gt;&lt;wsp:rsid wsp:val=&quot;00663CA8&quot;/&gt;&lt;wsp:rsid wsp:val=&quot;0066406E&quot;/&gt;&lt;wsp:rsid wsp:val=&quot;006646AB&quot;/&gt;&lt;wsp:rsid wsp:val=&quot;00664951&quot;/&gt;&lt;wsp:rsid wsp:val=&quot;006655E2&quot;/&gt;&lt;wsp:rsid wsp:val=&quot;0066691A&quot;/&gt;&lt;wsp:rsid wsp:val=&quot;00666B9C&quot;/&gt;&lt;wsp:rsid wsp:val=&quot;00666FCD&quot;/&gt;&lt;wsp:rsid wsp:val=&quot;0066740A&quot;/&gt;&lt;wsp:rsid wsp:val=&quot;0067023D&quot;/&gt;&lt;wsp:rsid wsp:val=&quot;00670CC9&quot;/&gt;&lt;wsp:rsid wsp:val=&quot;00672680&quot;/&gt;&lt;wsp:rsid wsp:val=&quot;006728E0&quot;/&gt;&lt;wsp:rsid wsp:val=&quot;0067307A&quot;/&gt;&lt;wsp:rsid wsp:val=&quot;006732BB&quot;/&gt;&lt;wsp:rsid wsp:val=&quot;00673366&quot;/&gt;&lt;wsp:rsid wsp:val=&quot;006739DA&quot;/&gt;&lt;wsp:rsid wsp:val=&quot;00673B13&quot;/&gt;&lt;wsp:rsid wsp:val=&quot;0067439E&quot;/&gt;&lt;wsp:rsid wsp:val=&quot;006747A7&quot;/&gt;&lt;wsp:rsid wsp:val=&quot;0067488E&quot;/&gt;&lt;wsp:rsid wsp:val=&quot;00674A33&quot;/&gt;&lt;wsp:rsid wsp:val=&quot;00675220&quot;/&gt;&lt;wsp:rsid wsp:val=&quot;00675961&quot;/&gt;&lt;wsp:rsid wsp:val=&quot;006759E0&quot;/&gt;&lt;wsp:rsid wsp:val=&quot;00675BA4&quot;/&gt;&lt;wsp:rsid wsp:val=&quot;006779ED&quot;/&gt;&lt;wsp:rsid wsp:val=&quot;00680068&quot;/&gt;&lt;wsp:rsid wsp:val=&quot;00680632&quot;/&gt;&lt;wsp:rsid wsp:val=&quot;0068155D&quot;/&gt;&lt;wsp:rsid wsp:val=&quot;0068156E&quot;/&gt;&lt;wsp:rsid wsp:val=&quot;00682A84&quot;/&gt;&lt;wsp:rsid wsp:val=&quot;00683D38&quot;/&gt;&lt;wsp:rsid wsp:val=&quot;00684DF3&quot;/&gt;&lt;wsp:rsid wsp:val=&quot;0068521B&quot;/&gt;&lt;wsp:rsid wsp:val=&quot;006854AF&quot;/&gt;&lt;wsp:rsid wsp:val=&quot;0068563B&quot;/&gt;&lt;wsp:rsid wsp:val=&quot;0068571F&quot;/&gt;&lt;wsp:rsid wsp:val=&quot;0068587F&quot;/&gt;&lt;wsp:rsid wsp:val=&quot;00686043&quot;/&gt;&lt;wsp:rsid wsp:val=&quot;006861AA&quot;/&gt;&lt;wsp:rsid wsp:val=&quot;006872B2&quot;/&gt;&lt;wsp:rsid wsp:val=&quot;00687740&quot;/&gt;&lt;wsp:rsid wsp:val=&quot;00687762&quot;/&gt;&lt;wsp:rsid wsp:val=&quot;00690D15&quot;/&gt;&lt;wsp:rsid wsp:val=&quot;00690EA3&quot;/&gt;&lt;wsp:rsid wsp:val=&quot;006916DF&quot;/&gt;&lt;wsp:rsid wsp:val=&quot;006918BC&quot;/&gt;&lt;wsp:rsid wsp:val=&quot;00693172&quot;/&gt;&lt;wsp:rsid wsp:val=&quot;0069474D&quot;/&gt;&lt;wsp:rsid wsp:val=&quot;00694D68&quot;/&gt;&lt;wsp:rsid wsp:val=&quot;00695DC5&quot;/&gt;&lt;wsp:rsid wsp:val=&quot;006971A6&quot;/&gt;&lt;wsp:rsid wsp:val=&quot;0069780F&quot;/&gt;&lt;wsp:rsid wsp:val=&quot;00697859&quot;/&gt;&lt;wsp:rsid wsp:val=&quot;00697B86&quot;/&gt;&lt;wsp:rsid wsp:val=&quot;006A04E3&quot;/&gt;&lt;wsp:rsid wsp:val=&quot;006A12FF&quot;/&gt;&lt;wsp:rsid wsp:val=&quot;006A15CD&quot;/&gt;&lt;wsp:rsid wsp:val=&quot;006A1B84&quot;/&gt;&lt;wsp:rsid wsp:val=&quot;006A1E15&quot;/&gt;&lt;wsp:rsid wsp:val=&quot;006A21E8&quot;/&gt;&lt;wsp:rsid wsp:val=&quot;006A2840&quot;/&gt;&lt;wsp:rsid wsp:val=&quot;006A2847&quot;/&gt;&lt;wsp:rsid wsp:val=&quot;006A344A&quot;/&gt;&lt;wsp:rsid wsp:val=&quot;006A4087&quot;/&gt;&lt;wsp:rsid wsp:val=&quot;006A41FD&quot;/&gt;&lt;wsp:rsid wsp:val=&quot;006A4CC2&quot;/&gt;&lt;wsp:rsid wsp:val=&quot;006A513C&quot;/&gt;&lt;wsp:rsid wsp:val=&quot;006A570C&quot;/&gt;&lt;wsp:rsid wsp:val=&quot;006A5A9E&quot;/&gt;&lt;wsp:rsid wsp:val=&quot;006A639B&quot;/&gt;&lt;wsp:rsid wsp:val=&quot;006A6946&quot;/&gt;&lt;wsp:rsid wsp:val=&quot;006A7D10&quot;/&gt;&lt;wsp:rsid wsp:val=&quot;006A7EA9&quot;/&gt;&lt;wsp:rsid wsp:val=&quot;006B065C&quot;/&gt;&lt;wsp:rsid wsp:val=&quot;006B210E&quot;/&gt;&lt;wsp:rsid wsp:val=&quot;006B2E2A&quot;/&gt;&lt;wsp:rsid wsp:val=&quot;006B3052&quot;/&gt;&lt;wsp:rsid wsp:val=&quot;006B33D5&quot;/&gt;&lt;wsp:rsid wsp:val=&quot;006B3567&quot;/&gt;&lt;wsp:rsid wsp:val=&quot;006B4EC0&quot;/&gt;&lt;wsp:rsid wsp:val=&quot;006B4EF5&quot;/&gt;&lt;wsp:rsid wsp:val=&quot;006B500F&quot;/&gt;&lt;wsp:rsid wsp:val=&quot;006B5628&quot;/&gt;&lt;wsp:rsid wsp:val=&quot;006B594A&quot;/&gt;&lt;wsp:rsid wsp:val=&quot;006B5F71&quot;/&gt;&lt;wsp:rsid wsp:val=&quot;006B610A&quot;/&gt;&lt;wsp:rsid wsp:val=&quot;006B6C6E&quot;/&gt;&lt;wsp:rsid wsp:val=&quot;006C0267&quot;/&gt;&lt;wsp:rsid wsp:val=&quot;006C0A6A&quot;/&gt;&lt;wsp:rsid wsp:val=&quot;006C0AFF&quot;/&gt;&lt;wsp:rsid wsp:val=&quot;006C1A01&quot;/&gt;&lt;wsp:rsid wsp:val=&quot;006C2CFA&quot;/&gt;&lt;wsp:rsid wsp:val=&quot;006C31EB&quot;/&gt;&lt;wsp:rsid wsp:val=&quot;006C32A5&quot;/&gt;&lt;wsp:rsid wsp:val=&quot;006C3688&quot;/&gt;&lt;wsp:rsid wsp:val=&quot;006C3998&quot;/&gt;&lt;wsp:rsid wsp:val=&quot;006C4FD1&quot;/&gt;&lt;wsp:rsid wsp:val=&quot;006C51C1&quot;/&gt;&lt;wsp:rsid wsp:val=&quot;006C5AD7&quot;/&gt;&lt;wsp:rsid wsp:val=&quot;006C5BC7&quot;/&gt;&lt;wsp:rsid wsp:val=&quot;006C5EDC&quot;/&gt;&lt;wsp:rsid wsp:val=&quot;006C71AD&quot;/&gt;&lt;wsp:rsid wsp:val=&quot;006C78BA&quot;/&gt;&lt;wsp:rsid wsp:val=&quot;006C78D4&quot;/&gt;&lt;wsp:rsid wsp:val=&quot;006C7963&quot;/&gt;&lt;wsp:rsid wsp:val=&quot;006C7B3F&quot;/&gt;&lt;wsp:rsid wsp:val=&quot;006D08C1&quot;/&gt;&lt;wsp:rsid wsp:val=&quot;006D1677&quot;/&gt;&lt;wsp:rsid wsp:val=&quot;006D171D&quot;/&gt;&lt;wsp:rsid wsp:val=&quot;006D2076&quot;/&gt;&lt;wsp:rsid wsp:val=&quot;006D20A2&quot;/&gt;&lt;wsp:rsid wsp:val=&quot;006D216E&quot;/&gt;&lt;wsp:rsid wsp:val=&quot;006D2D5E&quot;/&gt;&lt;wsp:rsid wsp:val=&quot;006D2E59&quot;/&gt;&lt;wsp:rsid wsp:val=&quot;006D3679&quot;/&gt;&lt;wsp:rsid wsp:val=&quot;006D370E&quot;/&gt;&lt;wsp:rsid wsp:val=&quot;006D4416&quot;/&gt;&lt;wsp:rsid wsp:val=&quot;006D45F1&quot;/&gt;&lt;wsp:rsid wsp:val=&quot;006D4A4E&quot;/&gt;&lt;wsp:rsid wsp:val=&quot;006D4CD3&quot;/&gt;&lt;wsp:rsid wsp:val=&quot;006D4F42&quot;/&gt;&lt;wsp:rsid wsp:val=&quot;006D6986&quot;/&gt;&lt;wsp:rsid wsp:val=&quot;006D6B74&quot;/&gt;&lt;wsp:rsid wsp:val=&quot;006D7164&quot;/&gt;&lt;wsp:rsid wsp:val=&quot;006D738C&quot;/&gt;&lt;wsp:rsid wsp:val=&quot;006E00A3&quot;/&gt;&lt;wsp:rsid wsp:val=&quot;006E12C3&quot;/&gt;&lt;wsp:rsid wsp:val=&quot;006E13FF&quot;/&gt;&lt;wsp:rsid wsp:val=&quot;006E1AB6&quot;/&gt;&lt;wsp:rsid wsp:val=&quot;006E1D79&quot;/&gt;&lt;wsp:rsid wsp:val=&quot;006E2BC4&quot;/&gt;&lt;wsp:rsid wsp:val=&quot;006E319D&quot;/&gt;&lt;wsp:rsid wsp:val=&quot;006E3922&quot;/&gt;&lt;wsp:rsid wsp:val=&quot;006E4434&quot;/&gt;&lt;wsp:rsid wsp:val=&quot;006E6147&quot;/&gt;&lt;wsp:rsid wsp:val=&quot;006E6608&quot;/&gt;&lt;wsp:rsid wsp:val=&quot;006E70E1&quot;/&gt;&lt;wsp:rsid wsp:val=&quot;006E74FD&quot;/&gt;&lt;wsp:rsid wsp:val=&quot;006E7534&quot;/&gt;&lt;wsp:rsid wsp:val=&quot;006E79C9&quot;/&gt;&lt;wsp:rsid wsp:val=&quot;006E7CEA&quot;/&gt;&lt;wsp:rsid wsp:val=&quot;006F085D&quot;/&gt;&lt;wsp:rsid wsp:val=&quot;006F0B85&quot;/&gt;&lt;wsp:rsid wsp:val=&quot;006F1400&quot;/&gt;&lt;wsp:rsid wsp:val=&quot;006F1A2E&quot;/&gt;&lt;wsp:rsid wsp:val=&quot;006F1A4E&quot;/&gt;&lt;wsp:rsid wsp:val=&quot;006F2489&quot;/&gt;&lt;wsp:rsid wsp:val=&quot;006F24AA&quot;/&gt;&lt;wsp:rsid wsp:val=&quot;006F2A60&quot;/&gt;&lt;wsp:rsid wsp:val=&quot;006F339C&quot;/&gt;&lt;wsp:rsid wsp:val=&quot;006F33CA&quot;/&gt;&lt;wsp:rsid wsp:val=&quot;006F3483&quot;/&gt;&lt;wsp:rsid wsp:val=&quot;006F3875&quot;/&gt;&lt;wsp:rsid wsp:val=&quot;006F412A&quot;/&gt;&lt;wsp:rsid wsp:val=&quot;006F43F2&quot;/&gt;&lt;wsp:rsid wsp:val=&quot;006F4C54&quot;/&gt;&lt;wsp:rsid wsp:val=&quot;006F5262&quot;/&gt;&lt;wsp:rsid wsp:val=&quot;006F61DE&quot;/&gt;&lt;wsp:rsid wsp:val=&quot;006F6285&quot;/&gt;&lt;wsp:rsid wsp:val=&quot;0070017D&quot;/&gt;&lt;wsp:rsid wsp:val=&quot;007001AC&quot;/&gt;&lt;wsp:rsid wsp:val=&quot;0070197A&quot;/&gt;&lt;wsp:rsid wsp:val=&quot;00701B17&quot;/&gt;&lt;wsp:rsid wsp:val=&quot;00702722&quot;/&gt;&lt;wsp:rsid wsp:val=&quot;00702A57&quot;/&gt;&lt;wsp:rsid wsp:val=&quot;00703159&quot;/&gt;&lt;wsp:rsid wsp:val=&quot;007039AF&quot;/&gt;&lt;wsp:rsid wsp:val=&quot;0070543E&quot;/&gt;&lt;wsp:rsid wsp:val=&quot;007060AB&quot;/&gt;&lt;wsp:rsid wsp:val=&quot;007065B2&quot;/&gt;&lt;wsp:rsid wsp:val=&quot;00706A8F&quot;/&gt;&lt;wsp:rsid wsp:val=&quot;00706D6A&quot;/&gt;&lt;wsp:rsid wsp:val=&quot;00706E04&quot;/&gt;&lt;wsp:rsid wsp:val=&quot;00710DDA&quot;/&gt;&lt;wsp:rsid wsp:val=&quot;00710DFD&quot;/&gt;&lt;wsp:rsid wsp:val=&quot;0071144E&quot;/&gt;&lt;wsp:rsid wsp:val=&quot;007114D1&quot;/&gt;&lt;wsp:rsid wsp:val=&quot;00711DDB&quot;/&gt;&lt;wsp:rsid wsp:val=&quot;00711E99&quot;/&gt;&lt;wsp:rsid wsp:val=&quot;00712125&quot;/&gt;&lt;wsp:rsid wsp:val=&quot;00712146&quot;/&gt;&lt;wsp:rsid wsp:val=&quot;00712184&quot;/&gt;&lt;wsp:rsid wsp:val=&quot;00712F6A&quot;/&gt;&lt;wsp:rsid wsp:val=&quot;0071333E&quot;/&gt;&lt;wsp:rsid wsp:val=&quot;007134CC&quot;/&gt;&lt;wsp:rsid wsp:val=&quot;0071385C&quot;/&gt;&lt;wsp:rsid wsp:val=&quot;00713C93&quot;/&gt;&lt;wsp:rsid wsp:val=&quot;007141F3&quot;/&gt;&lt;wsp:rsid wsp:val=&quot;0071476C&quot;/&gt;&lt;wsp:rsid wsp:val=&quot;00714A7E&quot;/&gt;&lt;wsp:rsid wsp:val=&quot;007158C1&quot;/&gt;&lt;wsp:rsid wsp:val=&quot;007159C4&quot;/&gt;&lt;wsp:rsid wsp:val=&quot;00715BBB&quot;/&gt;&lt;wsp:rsid wsp:val=&quot;0071622A&quot;/&gt;&lt;wsp:rsid wsp:val=&quot;00716472&quot;/&gt;&lt;wsp:rsid wsp:val=&quot;007166FA&quot;/&gt;&lt;wsp:rsid wsp:val=&quot;00716D16&quot;/&gt;&lt;wsp:rsid wsp:val=&quot;007170A6&quot;/&gt;&lt;wsp:rsid wsp:val=&quot;00717F02&quot;/&gt;&lt;wsp:rsid wsp:val=&quot;0072028F&quot;/&gt;&lt;wsp:rsid wsp:val=&quot;007203CA&quot;/&gt;&lt;wsp:rsid wsp:val=&quot;00720C13&quot;/&gt;&lt;wsp:rsid wsp:val=&quot;00721548&quot;/&gt;&lt;wsp:rsid wsp:val=&quot;00721CCF&quot;/&gt;&lt;wsp:rsid wsp:val=&quot;00721EAE&quot;/&gt;&lt;wsp:rsid wsp:val=&quot;00722613&quot;/&gt;&lt;wsp:rsid wsp:val=&quot;007229A2&quot;/&gt;&lt;wsp:rsid wsp:val=&quot;00722EDD&quot;/&gt;&lt;wsp:rsid wsp:val=&quot;00723116&quot;/&gt;&lt;wsp:rsid wsp:val=&quot;00723392&quot;/&gt;&lt;wsp:rsid wsp:val=&quot;0072369A&quot;/&gt;&lt;wsp:rsid wsp:val=&quot;007236B8&quot;/&gt;&lt;wsp:rsid wsp:val=&quot;00723CCA&quot;/&gt;&lt;wsp:rsid wsp:val=&quot;00723F9A&quot;/&gt;&lt;wsp:rsid wsp:val=&quot;00724950&quot;/&gt;&lt;wsp:rsid wsp:val=&quot;00725FCC&quot;/&gt;&lt;wsp:rsid wsp:val=&quot;00726724&quot;/&gt;&lt;wsp:rsid wsp:val=&quot;00730174&quot;/&gt;&lt;wsp:rsid wsp:val=&quot;00731376&quot;/&gt;&lt;wsp:rsid wsp:val=&quot;007323B1&quot;/&gt;&lt;wsp:rsid wsp:val=&quot;007324AC&quot;/&gt;&lt;wsp:rsid wsp:val=&quot;00732669&quot;/&gt;&lt;wsp:rsid wsp:val=&quot;00733769&quot;/&gt;&lt;wsp:rsid wsp:val=&quot;00733FD4&quot;/&gt;&lt;wsp:rsid wsp:val=&quot;00735784&quot;/&gt;&lt;wsp:rsid wsp:val=&quot;00736FCB&quot;/&gt;&lt;wsp:rsid wsp:val=&quot;00737B67&quot;/&gt;&lt;wsp:rsid wsp:val=&quot;00737BC9&quot;/&gt;&lt;wsp:rsid wsp:val=&quot;00740574&quot;/&gt;&lt;wsp:rsid wsp:val=&quot;00740D48&quot;/&gt;&lt;wsp:rsid wsp:val=&quot;00741110&quot;/&gt;&lt;wsp:rsid wsp:val=&quot;007417A2&quot;/&gt;&lt;wsp:rsid wsp:val=&quot;00741B4E&quot;/&gt;&lt;wsp:rsid wsp:val=&quot;00741FC4&quot;/&gt;&lt;wsp:rsid wsp:val=&quot;00742167&quot;/&gt;&lt;wsp:rsid wsp:val=&quot;00742C19&quot;/&gt;&lt;wsp:rsid wsp:val=&quot;00742E8B&quot;/&gt;&lt;wsp:rsid wsp:val=&quot;00743C2C&quot;/&gt;&lt;wsp:rsid wsp:val=&quot;00743F0A&quot;/&gt;&lt;wsp:rsid wsp:val=&quot;0074402B&quot;/&gt;&lt;wsp:rsid wsp:val=&quot;0074407B&quot;/&gt;&lt;wsp:rsid wsp:val=&quot;00744921&quot;/&gt;&lt;wsp:rsid wsp:val=&quot;00744D17&quot;/&gt;&lt;wsp:rsid wsp:val=&quot;00744DAD&quot;/&gt;&lt;wsp:rsid wsp:val=&quot;0074522B&quot;/&gt;&lt;wsp:rsid wsp:val=&quot;00745F0B&quot;/&gt;&lt;wsp:rsid wsp:val=&quot;00746403&quot;/&gt;&lt;wsp:rsid wsp:val=&quot;00746843&quot;/&gt;&lt;wsp:rsid wsp:val=&quot;00746993&quot;/&gt;&lt;wsp:rsid wsp:val=&quot;00746AD5&quot;/&gt;&lt;wsp:rsid wsp:val=&quot;00747F88&quot;/&gt;&lt;wsp:rsid wsp:val=&quot;0075052F&quot;/&gt;&lt;wsp:rsid wsp:val=&quot;00750909&quot;/&gt;&lt;wsp:rsid wsp:val=&quot;007509F2&quot;/&gt;&lt;wsp:rsid wsp:val=&quot;007515EB&quot;/&gt;&lt;wsp:rsid wsp:val=&quot;00751708&quot;/&gt;&lt;wsp:rsid wsp:val=&quot;007517E1&quot;/&gt;&lt;wsp:rsid wsp:val=&quot;00751A8B&quot;/&gt;&lt;wsp:rsid wsp:val=&quot;00751D52&quot;/&gt;&lt;wsp:rsid wsp:val=&quot;00752975&quot;/&gt;&lt;wsp:rsid wsp:val=&quot;00752EE1&quot;/&gt;&lt;wsp:rsid wsp:val=&quot;007533F7&quot;/&gt;&lt;wsp:rsid wsp:val=&quot;0075383C&quot;/&gt;&lt;wsp:rsid wsp:val=&quot;007546A0&quot;/&gt;&lt;wsp:rsid wsp:val=&quot;00754743&quot;/&gt;&lt;wsp:rsid wsp:val=&quot;00754F42&quot;/&gt;&lt;wsp:rsid wsp:val=&quot;007551AE&quot;/&gt;&lt;wsp:rsid wsp:val=&quot;00755302&quot;/&gt;&lt;wsp:rsid wsp:val=&quot;00756865&quot;/&gt;&lt;wsp:rsid wsp:val=&quot;00757D95&quot;/&gt;&lt;wsp:rsid wsp:val=&quot;007600CB&quot;/&gt;&lt;wsp:rsid wsp:val=&quot;007612B1&quot;/&gt;&lt;wsp:rsid wsp:val=&quot;00761A06&quot;/&gt;&lt;wsp:rsid wsp:val=&quot;00761BAE&quot;/&gt;&lt;wsp:rsid wsp:val=&quot;0076219B&quot;/&gt;&lt;wsp:rsid wsp:val=&quot;00762438&quot;/&gt;&lt;wsp:rsid wsp:val=&quot;007634AF&quot;/&gt;&lt;wsp:rsid wsp:val=&quot;00763611&quot;/&gt;&lt;wsp:rsid wsp:val=&quot;00763648&quot;/&gt;&lt;wsp:rsid wsp:val=&quot;00763A6D&quot;/&gt;&lt;wsp:rsid wsp:val=&quot;00764117&quot;/&gt;&lt;wsp:rsid wsp:val=&quot;00764C2C&quot;/&gt;&lt;wsp:rsid wsp:val=&quot;00765C55&quot;/&gt;&lt;wsp:rsid wsp:val=&quot;00765F14&quot;/&gt;&lt;wsp:rsid wsp:val=&quot;00765F52&quot;/&gt;&lt;wsp:rsid wsp:val=&quot;00766A8E&quot;/&gt;&lt;wsp:rsid wsp:val=&quot;00766AD4&quot;/&gt;&lt;wsp:rsid wsp:val=&quot;00766C66&quot;/&gt;&lt;wsp:rsid wsp:val=&quot;00766E11&quot;/&gt;&lt;wsp:rsid wsp:val=&quot;00767311&quot;/&gt;&lt;wsp:rsid wsp:val=&quot;00767F3F&quot;/&gt;&lt;wsp:rsid wsp:val=&quot;00770410&quot;/&gt;&lt;wsp:rsid wsp:val=&quot;00770FCB&quot;/&gt;&lt;wsp:rsid wsp:val=&quot;00771841&quot;/&gt;&lt;wsp:rsid wsp:val=&quot;00771F19&quot;/&gt;&lt;wsp:rsid wsp:val=&quot;007724E7&quot;/&gt;&lt;wsp:rsid wsp:val=&quot;00772573&quot;/&gt;&lt;wsp:rsid wsp:val=&quot;007727EF&quot;/&gt;&lt;wsp:rsid wsp:val=&quot;007729A7&quot;/&gt;&lt;wsp:rsid wsp:val=&quot;00772F22&quot;/&gt;&lt;wsp:rsid wsp:val=&quot;00772F37&quot;/&gt;&lt;wsp:rsid wsp:val=&quot;00772F7F&quot;/&gt;&lt;wsp:rsid wsp:val=&quot;00773110&quot;/&gt;&lt;wsp:rsid wsp:val=&quot;0077353B&quot;/&gt;&lt;wsp:rsid wsp:val=&quot;007736F4&quot;/&gt;&lt;wsp:rsid wsp:val=&quot;00773FC8&quot;/&gt;&lt;wsp:rsid wsp:val=&quot;0077457E&quot;/&gt;&lt;wsp:rsid wsp:val=&quot;00774D50&quot;/&gt;&lt;wsp:rsid wsp:val=&quot;0077593F&quot;/&gt;&lt;wsp:rsid wsp:val=&quot;00775998&quot;/&gt;&lt;wsp:rsid wsp:val=&quot;0077647A&quot;/&gt;&lt;wsp:rsid wsp:val=&quot;00776AA7&quot;/&gt;&lt;wsp:rsid wsp:val=&quot;00776D25&quot;/&gt;&lt;wsp:rsid wsp:val=&quot;00776F14&quot;/&gt;&lt;wsp:rsid wsp:val=&quot;007772B7&quot;/&gt;&lt;wsp:rsid wsp:val=&quot;00777683&quot;/&gt;&lt;wsp:rsid wsp:val=&quot;0077784C&quot;/&gt;&lt;wsp:rsid wsp:val=&quot;00777EED&quot;/&gt;&lt;wsp:rsid wsp:val=&quot;00780560&quot;/&gt;&lt;wsp:rsid wsp:val=&quot;00780C5D&quot;/&gt;&lt;wsp:rsid wsp:val=&quot;00780DFB&quot;/&gt;&lt;wsp:rsid wsp:val=&quot;007813DA&quot;/&gt;&lt;wsp:rsid wsp:val=&quot;00781B22&quot;/&gt;&lt;wsp:rsid wsp:val=&quot;00781F39&quot;/&gt;&lt;wsp:rsid wsp:val=&quot;00781F6B&quot;/&gt;&lt;wsp:rsid wsp:val=&quot;00783DC2&quot;/&gt;&lt;wsp:rsid wsp:val=&quot;00784899&quot;/&gt;&lt;wsp:rsid wsp:val=&quot;00784D69&quot;/&gt;&lt;wsp:rsid wsp:val=&quot;00785468&quot;/&gt;&lt;wsp:rsid wsp:val=&quot;0078648E&quot;/&gt;&lt;wsp:rsid wsp:val=&quot;00786525&quot;/&gt;&lt;wsp:rsid wsp:val=&quot;0078734C&quot;/&gt;&lt;wsp:rsid wsp:val=&quot;00787781&quot;/&gt;&lt;wsp:rsid wsp:val=&quot;00790A0B&quot;/&gt;&lt;wsp:rsid wsp:val=&quot;007916A3&quot;/&gt;&lt;wsp:rsid wsp:val=&quot;00792E4F&quot;/&gt;&lt;wsp:rsid wsp:val=&quot;00793B17&quot;/&gt;&lt;wsp:rsid wsp:val=&quot;00794C5A&quot;/&gt;&lt;wsp:rsid wsp:val=&quot;00795A22&quot;/&gt;&lt;wsp:rsid wsp:val=&quot;00797CE1&quot;/&gt;&lt;wsp:rsid wsp:val=&quot;00797E2A&quot;/&gt;&lt;wsp:rsid wsp:val=&quot;007A0238&quot;/&gt;&lt;wsp:rsid wsp:val=&quot;007A0ECB&quot;/&gt;&lt;wsp:rsid wsp:val=&quot;007A0F53&quot;/&gt;&lt;wsp:rsid wsp:val=&quot;007A193E&quot;/&gt;&lt;wsp:rsid wsp:val=&quot;007A1D0C&quot;/&gt;&lt;wsp:rsid wsp:val=&quot;007A1DF1&quot;/&gt;&lt;wsp:rsid wsp:val=&quot;007A2A61&quot;/&gt;&lt;wsp:rsid wsp:val=&quot;007A3160&quot;/&gt;&lt;wsp:rsid wsp:val=&quot;007A55CA&quot;/&gt;&lt;wsp:rsid wsp:val=&quot;007A6350&quot;/&gt;&lt;wsp:rsid wsp:val=&quot;007A65DF&quot;/&gt;&lt;wsp:rsid wsp:val=&quot;007A72D7&quot;/&gt;&lt;wsp:rsid wsp:val=&quot;007A7823&quot;/&gt;&lt;wsp:rsid wsp:val=&quot;007A7FAF&quot;/&gt;&lt;wsp:rsid wsp:val=&quot;007B04EB&quot;/&gt;&lt;wsp:rsid wsp:val=&quot;007B0841&quot;/&gt;&lt;wsp:rsid wsp:val=&quot;007B0C05&quot;/&gt;&lt;wsp:rsid wsp:val=&quot;007B1340&quot;/&gt;&lt;wsp:rsid wsp:val=&quot;007B13AB&quot;/&gt;&lt;wsp:rsid wsp:val=&quot;007B1AAF&quot;/&gt;&lt;wsp:rsid wsp:val=&quot;007B1C9C&quot;/&gt;&lt;wsp:rsid wsp:val=&quot;007B257B&quot;/&gt;&lt;wsp:rsid wsp:val=&quot;007B2861&quot;/&gt;&lt;wsp:rsid wsp:val=&quot;007B2FBE&quot;/&gt;&lt;wsp:rsid wsp:val=&quot;007B356D&quot;/&gt;&lt;wsp:rsid wsp:val=&quot;007B3731&quot;/&gt;&lt;wsp:rsid wsp:val=&quot;007B3D0F&quot;/&gt;&lt;wsp:rsid wsp:val=&quot;007B3F82&quot;/&gt;&lt;wsp:rsid wsp:val=&quot;007B4646&quot;/&gt;&lt;wsp:rsid wsp:val=&quot;007B4B52&quot;/&gt;&lt;wsp:rsid wsp:val=&quot;007B66D5&quot;/&gt;&lt;wsp:rsid wsp:val=&quot;007B6B8E&quot;/&gt;&lt;wsp:rsid wsp:val=&quot;007B7409&quot;/&gt;&lt;wsp:rsid wsp:val=&quot;007C08C4&quot;/&gt;&lt;wsp:rsid wsp:val=&quot;007C0A8D&quot;/&gt;&lt;wsp:rsid wsp:val=&quot;007C0B94&quot;/&gt;&lt;wsp:rsid wsp:val=&quot;007C0ECF&quot;/&gt;&lt;wsp:rsid wsp:val=&quot;007C0FEE&quot;/&gt;&lt;wsp:rsid wsp:val=&quot;007C1D33&quot;/&gt;&lt;wsp:rsid wsp:val=&quot;007C2356&quot;/&gt;&lt;wsp:rsid wsp:val=&quot;007C25B5&quot;/&gt;&lt;wsp:rsid wsp:val=&quot;007C273F&quot;/&gt;&lt;wsp:rsid wsp:val=&quot;007C301C&quot;/&gt;&lt;wsp:rsid wsp:val=&quot;007C32DA&quot;/&gt;&lt;wsp:rsid wsp:val=&quot;007C34BD&quot;/&gt;&lt;wsp:rsid wsp:val=&quot;007C3B88&quot;/&gt;&lt;wsp:rsid wsp:val=&quot;007C4A3B&quot;/&gt;&lt;wsp:rsid wsp:val=&quot;007C4F18&quot;/&gt;&lt;wsp:rsid wsp:val=&quot;007C55FC&quot;/&gt;&lt;wsp:rsid wsp:val=&quot;007C5EEB&quot;/&gt;&lt;wsp:rsid wsp:val=&quot;007C6FE6&quot;/&gt;&lt;wsp:rsid wsp:val=&quot;007C711B&quot;/&gt;&lt;wsp:rsid wsp:val=&quot;007C752F&quot;/&gt;&lt;wsp:rsid wsp:val=&quot;007C77AC&quot;/&gt;&lt;wsp:rsid wsp:val=&quot;007C7B51&quot;/&gt;&lt;wsp:rsid wsp:val=&quot;007D0332&quot;/&gt;&lt;wsp:rsid wsp:val=&quot;007D039C&quot;/&gt;&lt;wsp:rsid wsp:val=&quot;007D0C18&quot;/&gt;&lt;wsp:rsid wsp:val=&quot;007D1DA9&quot;/&gt;&lt;wsp:rsid wsp:val=&quot;007D2404&quot;/&gt;&lt;wsp:rsid wsp:val=&quot;007D316B&quot;/&gt;&lt;wsp:rsid wsp:val=&quot;007D35B1&quot;/&gt;&lt;wsp:rsid wsp:val=&quot;007D3DF1&quot;/&gt;&lt;wsp:rsid wsp:val=&quot;007D3FC0&quot;/&gt;&lt;wsp:rsid wsp:val=&quot;007D41E1&quot;/&gt;&lt;wsp:rsid wsp:val=&quot;007D478B&quot;/&gt;&lt;wsp:rsid wsp:val=&quot;007D533D&quot;/&gt;&lt;wsp:rsid wsp:val=&quot;007D5518&quot;/&gt;&lt;wsp:rsid wsp:val=&quot;007D5C88&quot;/&gt;&lt;wsp:rsid wsp:val=&quot;007D7373&quot;/&gt;&lt;wsp:rsid wsp:val=&quot;007D7FFC&quot;/&gt;&lt;wsp:rsid wsp:val=&quot;007E1B6E&quot;/&gt;&lt;wsp:rsid wsp:val=&quot;007E2AB9&quot;/&gt;&lt;wsp:rsid wsp:val=&quot;007E2ED0&quot;/&gt;&lt;wsp:rsid wsp:val=&quot;007E2F2D&quot;/&gt;&lt;wsp:rsid wsp:val=&quot;007E3625&quot;/&gt;&lt;wsp:rsid wsp:val=&quot;007E415F&quot;/&gt;&lt;wsp:rsid wsp:val=&quot;007E486D&quot;/&gt;&lt;wsp:rsid wsp:val=&quot;007E54D9&quot;/&gt;&lt;wsp:rsid wsp:val=&quot;007E5524&quot;/&gt;&lt;wsp:rsid wsp:val=&quot;007E5F40&quot;/&gt;&lt;wsp:rsid wsp:val=&quot;007E77C3&quot;/&gt;&lt;wsp:rsid wsp:val=&quot;007E7E51&quot;/&gt;&lt;wsp:rsid wsp:val=&quot;007F07FC&quot;/&gt;&lt;wsp:rsid wsp:val=&quot;007F0A81&quot;/&gt;&lt;wsp:rsid wsp:val=&quot;007F1927&quot;/&gt;&lt;wsp:rsid wsp:val=&quot;007F1A66&quot;/&gt;&lt;wsp:rsid wsp:val=&quot;007F1D1C&quot;/&gt;&lt;wsp:rsid wsp:val=&quot;007F1FB0&quot;/&gt;&lt;wsp:rsid wsp:val=&quot;007F283E&quot;/&gt;&lt;wsp:rsid wsp:val=&quot;007F2C30&quot;/&gt;&lt;wsp:rsid wsp:val=&quot;007F30B1&quot;/&gt;&lt;wsp:rsid wsp:val=&quot;007F34C8&quot;/&gt;&lt;wsp:rsid wsp:val=&quot;007F3963&quot;/&gt;&lt;wsp:rsid wsp:val=&quot;007F4C7B&quot;/&gt;&lt;wsp:rsid wsp:val=&quot;007F5834&quot;/&gt;&lt;wsp:rsid wsp:val=&quot;007F5F46&quot;/&gt;&lt;wsp:rsid wsp:val=&quot;007F7018&quot;/&gt;&lt;wsp:rsid wsp:val=&quot;007F730E&quot;/&gt;&lt;wsp:rsid wsp:val=&quot;007F760B&quot;/&gt;&lt;wsp:rsid wsp:val=&quot;00800C23&quot;/&gt;&lt;wsp:rsid wsp:val=&quot;00800DD2&quot;/&gt;&lt;wsp:rsid wsp:val=&quot;00801090&quot;/&gt;&lt;wsp:rsid wsp:val=&quot;00801A1A&quot;/&gt;&lt;wsp:rsid wsp:val=&quot;0080210F&quot;/&gt;&lt;wsp:rsid wsp:val=&quot;00802A30&quot;/&gt;&lt;wsp:rsid wsp:val=&quot;00802A6B&quot;/&gt;&lt;wsp:rsid wsp:val=&quot;00802B51&quot;/&gt;&lt;wsp:rsid wsp:val=&quot;00803803&quot;/&gt;&lt;wsp:rsid wsp:val=&quot;00803C2D&quot;/&gt;&lt;wsp:rsid wsp:val=&quot;00803E31&quot;/&gt;&lt;wsp:rsid wsp:val=&quot;00804066&quot;/&gt;&lt;wsp:rsid wsp:val=&quot;0080425C&quot;/&gt;&lt;wsp:rsid wsp:val=&quot;008049F7&quot;/&gt;&lt;wsp:rsid wsp:val=&quot;00805046&quot;/&gt;&lt;wsp:rsid wsp:val=&quot;0080547D&quot;/&gt;&lt;wsp:rsid wsp:val=&quot;008054F1&quot;/&gt;&lt;wsp:rsid wsp:val=&quot;008054FF&quot;/&gt;&lt;wsp:rsid wsp:val=&quot;008057AF&quot;/&gt;&lt;wsp:rsid wsp:val=&quot;00806218&quot;/&gt;&lt;wsp:rsid wsp:val=&quot;0080796D&quot;/&gt;&lt;wsp:rsid wsp:val=&quot;00807C54&quot;/&gt;&lt;wsp:rsid wsp:val=&quot;00807ECB&quot;/&gt;&lt;wsp:rsid wsp:val=&quot;00810830&quot;/&gt;&lt;wsp:rsid wsp:val=&quot;00810BB7&quot;/&gt;&lt;wsp:rsid wsp:val=&quot;00810FF5&quot;/&gt;&lt;wsp:rsid wsp:val=&quot;00811873&quot;/&gt;&lt;wsp:rsid wsp:val=&quot;00811B57&quot;/&gt;&lt;wsp:rsid wsp:val=&quot;00812070&quot;/&gt;&lt;wsp:rsid wsp:val=&quot;0081228C&quot;/&gt;&lt;wsp:rsid wsp:val=&quot;0081231F&quot;/&gt;&lt;wsp:rsid wsp:val=&quot;008139EE&quot;/&gt;&lt;wsp:rsid wsp:val=&quot;00813E15&quot;/&gt;&lt;wsp:rsid wsp:val=&quot;00814420&quot;/&gt;&lt;wsp:rsid wsp:val=&quot;00814E4C&quot;/&gt;&lt;wsp:rsid wsp:val=&quot;00814FCC&quot;/&gt;&lt;wsp:rsid wsp:val=&quot;00815360&quot;/&gt;&lt;wsp:rsid wsp:val=&quot;008158FD&quot;/&gt;&lt;wsp:rsid wsp:val=&quot;008164BC&quot;/&gt;&lt;wsp:rsid wsp:val=&quot;008167D4&quot;/&gt;&lt;wsp:rsid wsp:val=&quot;008178D8&quot;/&gt;&lt;wsp:rsid wsp:val=&quot;00817A26&quot;/&gt;&lt;wsp:rsid wsp:val=&quot;008204FB&quot;/&gt;&lt;wsp:rsid wsp:val=&quot;00821CC8&quot;/&gt;&lt;wsp:rsid wsp:val=&quot;00822083&quot;/&gt;&lt;wsp:rsid wsp:val=&quot;0082281C&quot;/&gt;&lt;wsp:rsid wsp:val=&quot;008229CA&quot;/&gt;&lt;wsp:rsid wsp:val=&quot;0082335C&quot;/&gt;&lt;wsp:rsid wsp:val=&quot;00823B31&quot;/&gt;&lt;wsp:rsid wsp:val=&quot;00824E58&quot;/&gt;&lt;wsp:rsid wsp:val=&quot;00824F87&quot;/&gt;&lt;wsp:rsid wsp:val=&quot;00825059&quot;/&gt;&lt;wsp:rsid wsp:val=&quot;00825646&quot;/&gt;&lt;wsp:rsid wsp:val=&quot;00825BE5&quot;/&gt;&lt;wsp:rsid wsp:val=&quot;00827E1F&quot;/&gt;&lt;wsp:rsid wsp:val=&quot;008308A1&quot;/&gt;&lt;wsp:rsid wsp:val=&quot;00830E85&quot;/&gt;&lt;wsp:rsid wsp:val=&quot;00830FAA&quot;/&gt;&lt;wsp:rsid wsp:val=&quot;0083212E&quot;/&gt;&lt;wsp:rsid wsp:val=&quot;008321FF&quot;/&gt;&lt;wsp:rsid wsp:val=&quot;00832754&quot;/&gt;&lt;wsp:rsid wsp:val=&quot;00833372&quot;/&gt;&lt;wsp:rsid wsp:val=&quot;00833AA2&quot;/&gt;&lt;wsp:rsid wsp:val=&quot;00833BE0&quot;/&gt;&lt;wsp:rsid wsp:val=&quot;00833FE7&quot;/&gt;&lt;wsp:rsid wsp:val=&quot;00834644&quot;/&gt;&lt;wsp:rsid wsp:val=&quot;00835282&quot;/&gt;&lt;wsp:rsid wsp:val=&quot;00836593&quot;/&gt;&lt;wsp:rsid wsp:val=&quot;00836E27&quot;/&gt;&lt;wsp:rsid wsp:val=&quot;00837A45&quot;/&gt;&lt;wsp:rsid wsp:val=&quot;008403F4&quot;/&gt;&lt;wsp:rsid wsp:val=&quot;008409D3&quot;/&gt;&lt;wsp:rsid wsp:val=&quot;00840CDC&quot;/&gt;&lt;wsp:rsid wsp:val=&quot;00840F0C&quot;/&gt;&lt;wsp:rsid wsp:val=&quot;008410B7&quot;/&gt;&lt;wsp:rsid wsp:val=&quot;0084143D&quot;/&gt;&lt;wsp:rsid wsp:val=&quot;00841529&quot;/&gt;&lt;wsp:rsid wsp:val=&quot;00841B76&quot;/&gt;&lt;wsp:rsid wsp:val=&quot;00841E57&quot;/&gt;&lt;wsp:rsid wsp:val=&quot;0084203D&quot;/&gt;&lt;wsp:rsid wsp:val=&quot;00842A8C&quot;/&gt;&lt;wsp:rsid wsp:val=&quot;00843668&quot;/&gt;&lt;wsp:rsid wsp:val=&quot;00844F50&quot;/&gt;&lt;wsp:rsid wsp:val=&quot;00845BD2&quot;/&gt;&lt;wsp:rsid wsp:val=&quot;00845D36&quot;/&gt;&lt;wsp:rsid wsp:val=&quot;00845D62&quot;/&gt;&lt;wsp:rsid wsp:val=&quot;00845EEF&quot;/&gt;&lt;wsp:rsid wsp:val=&quot;00845EFF&quot;/&gt;&lt;wsp:rsid wsp:val=&quot;0084633F&quot;/&gt;&lt;wsp:rsid wsp:val=&quot;00847889&quot;/&gt;&lt;wsp:rsid wsp:val=&quot;00847FF3&quot;/&gt;&lt;wsp:rsid wsp:val=&quot;00850207&quot;/&gt;&lt;wsp:rsid wsp:val=&quot;00850886&quot;/&gt;&lt;wsp:rsid wsp:val=&quot;0085092B&quot;/&gt;&lt;wsp:rsid wsp:val=&quot;008510A9&quot;/&gt;&lt;wsp:rsid wsp:val=&quot;00851643&quot;/&gt;&lt;wsp:rsid wsp:val=&quot;00851FA1&quot;/&gt;&lt;wsp:rsid wsp:val=&quot;00852C3E&quot;/&gt;&lt;wsp:rsid wsp:val=&quot;008530BF&quot;/&gt;&lt;wsp:rsid wsp:val=&quot;008531C9&quot;/&gt;&lt;wsp:rsid wsp:val=&quot;008540AE&quot;/&gt;&lt;wsp:rsid wsp:val=&quot;0085432C&quot;/&gt;&lt;wsp:rsid wsp:val=&quot;0085506A&quot;/&gt;&lt;wsp:rsid wsp:val=&quot;00855672&quot;/&gt;&lt;wsp:rsid wsp:val=&quot;00855886&quot;/&gt;&lt;wsp:rsid wsp:val=&quot;008568C8&quot;/&gt;&lt;wsp:rsid wsp:val=&quot;00856B01&quot;/&gt;&lt;wsp:rsid wsp:val=&quot;008578D6&quot;/&gt;&lt;wsp:rsid wsp:val=&quot;00857922&quot;/&gt;&lt;wsp:rsid wsp:val=&quot;00857D39&quot;/&gt;&lt;wsp:rsid wsp:val=&quot;008616CC&quot;/&gt;&lt;wsp:rsid wsp:val=&quot;008618BD&quot;/&gt;&lt;wsp:rsid wsp:val=&quot;008621ED&quot;/&gt;&lt;wsp:rsid wsp:val=&quot;00863098&quot;/&gt;&lt;wsp:rsid wsp:val=&quot;00863447&quot;/&gt;&lt;wsp:rsid wsp:val=&quot;00863D1C&quot;/&gt;&lt;wsp:rsid wsp:val=&quot;008641C4&quot;/&gt;&lt;wsp:rsid wsp:val=&quot;00864B9E&quot;/&gt;&lt;wsp:rsid wsp:val=&quot;00864E12&quot;/&gt;&lt;wsp:rsid wsp:val=&quot;00865812&quot;/&gt;&lt;wsp:rsid wsp:val=&quot;00865A4B&quot;/&gt;&lt;wsp:rsid wsp:val=&quot;00866494&quot;/&gt;&lt;wsp:rsid wsp:val=&quot;00867024&quot;/&gt;&lt;wsp:rsid wsp:val=&quot;0086716B&quot;/&gt;&lt;wsp:rsid wsp:val=&quot;008675BD&quot;/&gt;&lt;wsp:rsid wsp:val=&quot;0086772D&quot;/&gt;&lt;wsp:rsid wsp:val=&quot;00870089&quot;/&gt;&lt;wsp:rsid wsp:val=&quot;0087165A&quot;/&gt;&lt;wsp:rsid wsp:val=&quot;008719B3&quot;/&gt;&lt;wsp:rsid wsp:val=&quot;00872506&quot;/&gt;&lt;wsp:rsid wsp:val=&quot;008726BB&quot;/&gt;&lt;wsp:rsid wsp:val=&quot;00872C14&quot;/&gt;&lt;wsp:rsid wsp:val=&quot;00873572&quot;/&gt;&lt;wsp:rsid wsp:val=&quot;00874B70&quot;/&gt;&lt;wsp:rsid wsp:val=&quot;00875862&quot;/&gt;&lt;wsp:rsid wsp:val=&quot;0087597D&quot;/&gt;&lt;wsp:rsid wsp:val=&quot;008759A1&quot;/&gt;&lt;wsp:rsid wsp:val=&quot;00875BC6&quot;/&gt;&lt;wsp:rsid wsp:val=&quot;008762D5&quot;/&gt;&lt;wsp:rsid wsp:val=&quot;00876F6E&quot;/&gt;&lt;wsp:rsid wsp:val=&quot;00877290&quot;/&gt;&lt;wsp:rsid wsp:val=&quot;0087733E&quot;/&gt;&lt;wsp:rsid wsp:val=&quot;00877BCB&quot;/&gt;&lt;wsp:rsid wsp:val=&quot;00880D28&quot;/&gt;&lt;wsp:rsid wsp:val=&quot;00881086&quot;/&gt;&lt;wsp:rsid wsp:val=&quot;00881D1B&quot;/&gt;&lt;wsp:rsid wsp:val=&quot;00883C28&quot;/&gt;&lt;wsp:rsid wsp:val=&quot;008842B3&quot;/&gt;&lt;wsp:rsid wsp:val=&quot;00884680&quot;/&gt;&lt;wsp:rsid wsp:val=&quot;00884701&quot;/&gt;&lt;wsp:rsid wsp:val=&quot;00884758&quot;/&gt;&lt;wsp:rsid wsp:val=&quot;00884A94&quot;/&gt;&lt;wsp:rsid wsp:val=&quot;00884DFF&quot;/&gt;&lt;wsp:rsid wsp:val=&quot;00884F7E&quot;/&gt;&lt;wsp:rsid wsp:val=&quot;00885100&quot;/&gt;&lt;wsp:rsid wsp:val=&quot;008858FA&quot;/&gt;&lt;wsp:rsid wsp:val=&quot;00886162&quot;/&gt;&lt;wsp:rsid wsp:val=&quot;00886E8B&quot;/&gt;&lt;wsp:rsid wsp:val=&quot;00886EA3&quot;/&gt;&lt;wsp:rsid wsp:val=&quot;008870F3&quot;/&gt;&lt;wsp:rsid wsp:val=&quot;00887D6D&quot;/&gt;&lt;wsp:rsid wsp:val=&quot;0089035E&quot;/&gt;&lt;wsp:rsid wsp:val=&quot;008907F6&quot;/&gt;&lt;wsp:rsid wsp:val=&quot;0089179B&quot;/&gt;&lt;wsp:rsid wsp:val=&quot;00891F19&quot;/&gt;&lt;wsp:rsid wsp:val=&quot;00891FCC&quot;/&gt;&lt;wsp:rsid wsp:val=&quot;00892239&quot;/&gt;&lt;wsp:rsid wsp:val=&quot;008932EB&quot;/&gt;&lt;wsp:rsid wsp:val=&quot;0089353B&quot;/&gt;&lt;wsp:rsid wsp:val=&quot;008935C6&quot;/&gt;&lt;wsp:rsid wsp:val=&quot;00893DDB&quot;/&gt;&lt;wsp:rsid wsp:val=&quot;00894307&quot;/&gt;&lt;wsp:rsid wsp:val=&quot;008947DC&quot;/&gt;&lt;wsp:rsid wsp:val=&quot;0089487A&quot;/&gt;&lt;wsp:rsid wsp:val=&quot;0089512A&quot;/&gt;&lt;wsp:rsid wsp:val=&quot;0089514C&quot;/&gt;&lt;wsp:rsid wsp:val=&quot;00895FC3&quot;/&gt;&lt;wsp:rsid wsp:val=&quot;00896124&quot;/&gt;&lt;wsp:rsid wsp:val=&quot;00896570&quot;/&gt;&lt;wsp:rsid wsp:val=&quot;008965A0&quot;/&gt;&lt;wsp:rsid wsp:val=&quot;00897C06&quot;/&gt;&lt;wsp:rsid wsp:val=&quot;00897E07&quot;/&gt;&lt;wsp:rsid wsp:val=&quot;00897FDD&quot;/&gt;&lt;wsp:rsid wsp:val=&quot;008A0049&quot;/&gt;&lt;wsp:rsid wsp:val=&quot;008A15AD&quot;/&gt;&lt;wsp:rsid wsp:val=&quot;008A23C6&quot;/&gt;&lt;wsp:rsid wsp:val=&quot;008A2D6F&quot;/&gt;&lt;wsp:rsid wsp:val=&quot;008A2F34&quot;/&gt;&lt;wsp:rsid wsp:val=&quot;008A3444&quot;/&gt;&lt;wsp:rsid wsp:val=&quot;008A3720&quot;/&gt;&lt;wsp:rsid wsp:val=&quot;008A3F8B&quot;/&gt;&lt;wsp:rsid wsp:val=&quot;008A5258&quot;/&gt;&lt;wsp:rsid wsp:val=&quot;008A5805&quot;/&gt;&lt;wsp:rsid wsp:val=&quot;008A6284&quot;/&gt;&lt;wsp:rsid wsp:val=&quot;008A6298&quot;/&gt;&lt;wsp:rsid wsp:val=&quot;008A7EC6&quot;/&gt;&lt;wsp:rsid wsp:val=&quot;008A7F24&quot;/&gt;&lt;wsp:rsid wsp:val=&quot;008B0048&quot;/&gt;&lt;wsp:rsid wsp:val=&quot;008B0649&quot;/&gt;&lt;wsp:rsid wsp:val=&quot;008B0AAC&quot;/&gt;&lt;wsp:rsid wsp:val=&quot;008B0F81&quot;/&gt;&lt;wsp:rsid wsp:val=&quot;008B17DF&quot;/&gt;&lt;wsp:rsid wsp:val=&quot;008B18C3&quot;/&gt;&lt;wsp:rsid wsp:val=&quot;008B1FDD&quot;/&gt;&lt;wsp:rsid wsp:val=&quot;008B246C&quot;/&gt;&lt;wsp:rsid wsp:val=&quot;008B25BC&quot;/&gt;&lt;wsp:rsid wsp:val=&quot;008B2DAF&quot;/&gt;&lt;wsp:rsid wsp:val=&quot;008B3539&quot;/&gt;&lt;wsp:rsid wsp:val=&quot;008B3719&quot;/&gt;&lt;wsp:rsid wsp:val=&quot;008B585A&quot;/&gt;&lt;wsp:rsid wsp:val=&quot;008B59D2&quot;/&gt;&lt;wsp:rsid wsp:val=&quot;008B65F8&quot;/&gt;&lt;wsp:rsid wsp:val=&quot;008B6C98&quot;/&gt;&lt;wsp:rsid wsp:val=&quot;008B6F02&quot;/&gt;&lt;wsp:rsid wsp:val=&quot;008B76D1&quot;/&gt;&lt;wsp:rsid wsp:val=&quot;008B79D7&quot;/&gt;&lt;wsp:rsid wsp:val=&quot;008B79DE&quot;/&gt;&lt;wsp:rsid wsp:val=&quot;008B7CEF&quot;/&gt;&lt;wsp:rsid wsp:val=&quot;008C007A&quot;/&gt;&lt;wsp:rsid wsp:val=&quot;008C0D43&quot;/&gt;&lt;wsp:rsid wsp:val=&quot;008C1322&quot;/&gt;&lt;wsp:rsid wsp:val=&quot;008C27D8&quot;/&gt;&lt;wsp:rsid wsp:val=&quot;008C2C24&quot;/&gt;&lt;wsp:rsid wsp:val=&quot;008C331A&quot;/&gt;&lt;wsp:rsid wsp:val=&quot;008C343E&quot;/&gt;&lt;wsp:rsid wsp:val=&quot;008C4443&quot;/&gt;&lt;wsp:rsid wsp:val=&quot;008C4BCE&quot;/&gt;&lt;wsp:rsid wsp:val=&quot;008C53A8&quot;/&gt;&lt;wsp:rsid wsp:val=&quot;008C5514&quot;/&gt;&lt;wsp:rsid wsp:val=&quot;008C5A05&quot;/&gt;&lt;wsp:rsid wsp:val=&quot;008C60E6&quot;/&gt;&lt;wsp:rsid wsp:val=&quot;008C6AD6&quot;/&gt;&lt;wsp:rsid wsp:val=&quot;008C6C5E&quot;/&gt;&lt;wsp:rsid wsp:val=&quot;008C727D&quot;/&gt;&lt;wsp:rsid wsp:val=&quot;008C760D&quot;/&gt;&lt;wsp:rsid wsp:val=&quot;008C78CC&quot;/&gt;&lt;wsp:rsid wsp:val=&quot;008D0A94&quot;/&gt;&lt;wsp:rsid wsp:val=&quot;008D12A7&quot;/&gt;&lt;wsp:rsid wsp:val=&quot;008D157A&quot;/&gt;&lt;wsp:rsid wsp:val=&quot;008D1CF7&quot;/&gt;&lt;wsp:rsid wsp:val=&quot;008D23FE&quot;/&gt;&lt;wsp:rsid wsp:val=&quot;008D2667&quot;/&gt;&lt;wsp:rsid wsp:val=&quot;008D2A6C&quot;/&gt;&lt;wsp:rsid wsp:val=&quot;008D2B8F&quot;/&gt;&lt;wsp:rsid wsp:val=&quot;008D2F7A&quot;/&gt;&lt;wsp:rsid wsp:val=&quot;008D38B6&quot;/&gt;&lt;wsp:rsid wsp:val=&quot;008D3C69&quot;/&gt;&lt;wsp:rsid wsp:val=&quot;008D3E5C&quot;/&gt;&lt;wsp:rsid wsp:val=&quot;008D471D&quot;/&gt;&lt;wsp:rsid wsp:val=&quot;008D628E&quot;/&gt;&lt;wsp:rsid wsp:val=&quot;008D62B0&quot;/&gt;&lt;wsp:rsid wsp:val=&quot;008E10E6&quot;/&gt;&lt;wsp:rsid wsp:val=&quot;008E2615&quot;/&gt;&lt;wsp:rsid wsp:val=&quot;008E2B07&quot;/&gt;&lt;wsp:rsid wsp:val=&quot;008E2E13&quot;/&gt;&lt;wsp:rsid wsp:val=&quot;008E2F25&quot;/&gt;&lt;wsp:rsid wsp:val=&quot;008E40C2&quot;/&gt;&lt;wsp:rsid wsp:val=&quot;008E49CF&quot;/&gt;&lt;wsp:rsid wsp:val=&quot;008E4AF0&quot;/&gt;&lt;wsp:rsid wsp:val=&quot;008E4CB6&quot;/&gt;&lt;wsp:rsid wsp:val=&quot;008E4FC7&quot;/&gt;&lt;wsp:rsid wsp:val=&quot;008E5EA8&quot;/&gt;&lt;wsp:rsid wsp:val=&quot;008E5FD6&quot;/&gt;&lt;wsp:rsid wsp:val=&quot;008E62CA&quot;/&gt;&lt;wsp:rsid wsp:val=&quot;008E64BA&quot;/&gt;&lt;wsp:rsid wsp:val=&quot;008E6832&quot;/&gt;&lt;wsp:rsid wsp:val=&quot;008E6D6D&quot;/&gt;&lt;wsp:rsid wsp:val=&quot;008E7ACD&quot;/&gt;&lt;wsp:rsid wsp:val=&quot;008F0F30&quot;/&gt;&lt;wsp:rsid wsp:val=&quot;008F0FAD&quot;/&gt;&lt;wsp:rsid wsp:val=&quot;008F1313&quot;/&gt;&lt;wsp:rsid wsp:val=&quot;008F17E2&quot;/&gt;&lt;wsp:rsid wsp:val=&quot;008F193F&quot;/&gt;&lt;wsp:rsid wsp:val=&quot;008F1D2C&quot;/&gt;&lt;wsp:rsid wsp:val=&quot;008F29B5&quot;/&gt;&lt;wsp:rsid wsp:val=&quot;008F31D7&quot;/&gt;&lt;wsp:rsid wsp:val=&quot;008F35E0&quot;/&gt;&lt;wsp:rsid wsp:val=&quot;008F4098&quot;/&gt;&lt;wsp:rsid wsp:val=&quot;008F4523&quot;/&gt;&lt;wsp:rsid wsp:val=&quot;008F5643&quot;/&gt;&lt;wsp:rsid wsp:val=&quot;008F5CC7&quot;/&gt;&lt;wsp:rsid wsp:val=&quot;008F5F4B&quot;/&gt;&lt;wsp:rsid wsp:val=&quot;008F5F73&quot;/&gt;&lt;wsp:rsid wsp:val=&quot;008F6244&quot;/&gt;&lt;wsp:rsid wsp:val=&quot;008F6DA7&quot;/&gt;&lt;wsp:rsid wsp:val=&quot;008F7056&quot;/&gt;&lt;wsp:rsid wsp:val=&quot;008F78C1&quot;/&gt;&lt;wsp:rsid wsp:val=&quot;008F7F1F&quot;/&gt;&lt;wsp:rsid wsp:val=&quot;00900311&quot;/&gt;&lt;wsp:rsid wsp:val=&quot;00900667&quot;/&gt;&lt;wsp:rsid wsp:val=&quot;00900D31&quot;/&gt;&lt;wsp:rsid wsp:val=&quot;00901938&quot;/&gt;&lt;wsp:rsid wsp:val=&quot;00901A5C&quot;/&gt;&lt;wsp:rsid wsp:val=&quot;009020FD&quot;/&gt;&lt;wsp:rsid wsp:val=&quot;00902933&quot;/&gt;&lt;wsp:rsid wsp:val=&quot;00902A26&quot;/&gt;&lt;wsp:rsid wsp:val=&quot;0090376D&quot;/&gt;&lt;wsp:rsid wsp:val=&quot;0090382C&quot;/&gt;&lt;wsp:rsid wsp:val=&quot;0090392D&quot;/&gt;&lt;wsp:rsid wsp:val=&quot;0090598C&quot;/&gt;&lt;wsp:rsid wsp:val=&quot;00905997&quot;/&gt;&lt;wsp:rsid wsp:val=&quot;009060E9&quot;/&gt;&lt;wsp:rsid wsp:val=&quot;0090627B&quot;/&gt;&lt;wsp:rsid wsp:val=&quot;00906415&quot;/&gt;&lt;wsp:rsid wsp:val=&quot;00906565&quot;/&gt;&lt;wsp:rsid wsp:val=&quot;00907373&quot;/&gt;&lt;wsp:rsid wsp:val=&quot;0090784B&quot;/&gt;&lt;wsp:rsid wsp:val=&quot;00910029&quot;/&gt;&lt;wsp:rsid wsp:val=&quot;00910229&quot;/&gt;&lt;wsp:rsid wsp:val=&quot;0091027E&quot;/&gt;&lt;wsp:rsid wsp:val=&quot;009108EF&quot;/&gt;&lt;wsp:rsid wsp:val=&quot;00910D2E&quot;/&gt;&lt;wsp:rsid wsp:val=&quot;00911552&quot;/&gt;&lt;wsp:rsid wsp:val=&quot;00911851&quot;/&gt;&lt;wsp:rsid wsp:val=&quot;00911962&quot;/&gt;&lt;wsp:rsid wsp:val=&quot;009119EB&quot;/&gt;&lt;wsp:rsid wsp:val=&quot;009121B9&quot;/&gt;&lt;wsp:rsid wsp:val=&quot;00912F0E&quot;/&gt;&lt;wsp:rsid wsp:val=&quot;009133FA&quot;/&gt;&lt;wsp:rsid wsp:val=&quot;00913B5D&quot;/&gt;&lt;wsp:rsid wsp:val=&quot;0091438D&quot;/&gt;&lt;wsp:rsid wsp:val=&quot;00915D51&quot;/&gt;&lt;wsp:rsid wsp:val=&quot;0091633C&quot;/&gt;&lt;wsp:rsid wsp:val=&quot;00916857&quot;/&gt;&lt;wsp:rsid wsp:val=&quot;00916A22&quot;/&gt;&lt;wsp:rsid wsp:val=&quot;00916B9C&quot;/&gt;&lt;wsp:rsid wsp:val=&quot;009174DF&quot;/&gt;&lt;wsp:rsid wsp:val=&quot;00917C8C&quot;/&gt;&lt;wsp:rsid wsp:val=&quot;009201BB&quot;/&gt;&lt;wsp:rsid wsp:val=&quot;0092045E&quot;/&gt;&lt;wsp:rsid wsp:val=&quot;009207AC&quot;/&gt;&lt;wsp:rsid wsp:val=&quot;0092089F&quot;/&gt;&lt;wsp:rsid wsp:val=&quot;00921504&quot;/&gt;&lt;wsp:rsid wsp:val=&quot;00921E0F&quot;/&gt;&lt;wsp:rsid wsp:val=&quot;009227F6&quot;/&gt;&lt;wsp:rsid wsp:val=&quot;00922A36&quot;/&gt;&lt;wsp:rsid wsp:val=&quot;00922ADA&quot;/&gt;&lt;wsp:rsid wsp:val=&quot;00922D42&quot;/&gt;&lt;wsp:rsid wsp:val=&quot;00923372&quot;/&gt;&lt;wsp:rsid wsp:val=&quot;0092353A&quot;/&gt;&lt;wsp:rsid wsp:val=&quot;00923787&quot;/&gt;&lt;wsp:rsid wsp:val=&quot;00923AF8&quot;/&gt;&lt;wsp:rsid wsp:val=&quot;00923AF9&quot;/&gt;&lt;wsp:rsid wsp:val=&quot;0092407F&quot;/&gt;&lt;wsp:rsid wsp:val=&quot;00925E93&quot;/&gt;&lt;wsp:rsid wsp:val=&quot;00926A9B&quot;/&gt;&lt;wsp:rsid wsp:val=&quot;009274E3&quot;/&gt;&lt;wsp:rsid wsp:val=&quot;009276C5&quot;/&gt;&lt;wsp:rsid wsp:val=&quot;00927AC1&quot;/&gt;&lt;wsp:rsid wsp:val=&quot;00927CC9&quot;/&gt;&lt;wsp:rsid wsp:val=&quot;00927E77&quot;/&gt;&lt;wsp:rsid wsp:val=&quot;00930114&quot;/&gt;&lt;wsp:rsid wsp:val=&quot;00930355&quot;/&gt;&lt;wsp:rsid wsp:val=&quot;009307FE&quot;/&gt;&lt;wsp:rsid wsp:val=&quot;00930E26&quot;/&gt;&lt;wsp:rsid wsp:val=&quot;00930FF3&quot;/&gt;&lt;wsp:rsid wsp:val=&quot;00931395&quot;/&gt;&lt;wsp:rsid wsp:val=&quot;00931D32&quot;/&gt;&lt;wsp:rsid wsp:val=&quot;00932880&quot;/&gt;&lt;wsp:rsid wsp:val=&quot;00932A35&quot;/&gt;&lt;wsp:rsid wsp:val=&quot;009330B8&quot;/&gt;&lt;wsp:rsid wsp:val=&quot;00933774&quot;/&gt;&lt;wsp:rsid wsp:val=&quot;00933E42&quot;/&gt;&lt;wsp:rsid wsp:val=&quot;00933EFE&quot;/&gt;&lt;wsp:rsid wsp:val=&quot;00933F5C&quot;/&gt;&lt;wsp:rsid wsp:val=&quot;00934757&quot;/&gt;&lt;wsp:rsid wsp:val=&quot;009349E2&quot;/&gt;&lt;wsp:rsid wsp:val=&quot;009349E7&quot;/&gt;&lt;wsp:rsid wsp:val=&quot;00934CFC&quot;/&gt;&lt;wsp:rsid wsp:val=&quot;00935B93&quot;/&gt;&lt;wsp:rsid wsp:val=&quot;00936BA3&quot;/&gt;&lt;wsp:rsid wsp:val=&quot;00936C23&quot;/&gt;&lt;wsp:rsid wsp:val=&quot;00937194&quot;/&gt;&lt;wsp:rsid wsp:val=&quot;009379AD&quot;/&gt;&lt;wsp:rsid wsp:val=&quot;00940835&quot;/&gt;&lt;wsp:rsid wsp:val=&quot;00940E5E&quot;/&gt;&lt;wsp:rsid wsp:val=&quot;00940FC9&quot;/&gt;&lt;wsp:rsid wsp:val=&quot;0094128A&quot;/&gt;&lt;wsp:rsid wsp:val=&quot;00941774&quot;/&gt;&lt;wsp:rsid wsp:val=&quot;00941F57&quot;/&gt;&lt;wsp:rsid wsp:val=&quot;00942BE9&quot;/&gt;&lt;wsp:rsid wsp:val=&quot;00942DE4&quot;/&gt;&lt;wsp:rsid wsp:val=&quot;00942E14&quot;/&gt;&lt;wsp:rsid wsp:val=&quot;00943392&quot;/&gt;&lt;wsp:rsid wsp:val=&quot;00943F22&quot;/&gt;&lt;wsp:rsid wsp:val=&quot;00944855&quot;/&gt;&lt;wsp:rsid wsp:val=&quot;00945334&quot;/&gt;&lt;wsp:rsid wsp:val=&quot;0094631C&quot;/&gt;&lt;wsp:rsid wsp:val=&quot;009464C9&quot;/&gt;&lt;wsp:rsid wsp:val=&quot;00947761&quot;/&gt;&lt;wsp:rsid wsp:val=&quot;0094790D&quot;/&gt;&lt;wsp:rsid wsp:val=&quot;0095023C&quot;/&gt;&lt;wsp:rsid wsp:val=&quot;00950995&quot;/&gt;&lt;wsp:rsid wsp:val=&quot;009511F0&quot;/&gt;&lt;wsp:rsid wsp:val=&quot;009516FE&quot;/&gt;&lt;wsp:rsid wsp:val=&quot;00951B5B&quot;/&gt;&lt;wsp:rsid wsp:val=&quot;00952625&quot;/&gt;&lt;wsp:rsid wsp:val=&quot;009529BB&quot;/&gt;&lt;wsp:rsid wsp:val=&quot;00953D77&quot;/&gt;&lt;wsp:rsid wsp:val=&quot;00953D86&quot;/&gt;&lt;wsp:rsid wsp:val=&quot;00953F12&quot;/&gt;&lt;wsp:rsid wsp:val=&quot;0095431C&quot;/&gt;&lt;wsp:rsid wsp:val=&quot;00954DB6&quot;/&gt;&lt;wsp:rsid wsp:val=&quot;00954FA9&quot;/&gt;&lt;wsp:rsid wsp:val=&quot;0095547C&quot;/&gt;&lt;wsp:rsid wsp:val=&quot;009557C2&quot;/&gt;&lt;wsp:rsid wsp:val=&quot;009564FA&quot;/&gt;&lt;wsp:rsid wsp:val=&quot;00957A67&quot;/&gt;&lt;wsp:rsid wsp:val=&quot;00960BC4&quot;/&gt;&lt;wsp:rsid wsp:val=&quot;00961702&quot;/&gt;&lt;wsp:rsid wsp:val=&quot;009617A5&quot;/&gt;&lt;wsp:rsid wsp:val=&quot;009619A0&quot;/&gt;&lt;wsp:rsid wsp:val=&quot;009621A5&quot;/&gt;&lt;wsp:rsid wsp:val=&quot;0096248D&quot;/&gt;&lt;wsp:rsid wsp:val=&quot;00962EC4&quot;/&gt;&lt;wsp:rsid wsp:val=&quot;00964585&quot;/&gt;&lt;wsp:rsid wsp:val=&quot;00964D42&quot;/&gt;&lt;wsp:rsid wsp:val=&quot;00964F24&quot;/&gt;&lt;wsp:rsid wsp:val=&quot;0096788E&quot;/&gt;&lt;wsp:rsid wsp:val=&quot;009700CA&quot;/&gt;&lt;wsp:rsid wsp:val=&quot;0097048F&quot;/&gt;&lt;wsp:rsid wsp:val=&quot;00970779&quot;/&gt;&lt;wsp:rsid wsp:val=&quot;009707DB&quot;/&gt;&lt;wsp:rsid wsp:val=&quot;0097085B&quot;/&gt;&lt;wsp:rsid wsp:val=&quot;0097118A&quot;/&gt;&lt;wsp:rsid wsp:val=&quot;009716CB&quot;/&gt;&lt;wsp:rsid wsp:val=&quot;00972098&quot;/&gt;&lt;wsp:rsid wsp:val=&quot;009722B6&quot;/&gt;&lt;wsp:rsid wsp:val=&quot;00972765&quot;/&gt;&lt;wsp:rsid wsp:val=&quot;009728CB&quot;/&gt;&lt;wsp:rsid wsp:val=&quot;00973282&quot;/&gt;&lt;wsp:rsid wsp:val=&quot;00973A4D&quot;/&gt;&lt;wsp:rsid wsp:val=&quot;009740D2&quot;/&gt;&lt;wsp:rsid wsp:val=&quot;00974381&quot;/&gt;&lt;wsp:rsid wsp:val=&quot;009754CB&quot;/&gt;&lt;wsp:rsid wsp:val=&quot;0097562F&quot;/&gt;&lt;wsp:rsid wsp:val=&quot;00975885&quot;/&gt;&lt;wsp:rsid wsp:val=&quot;009766BE&quot;/&gt;&lt;wsp:rsid wsp:val=&quot;009773A2&quot;/&gt;&lt;wsp:rsid wsp:val=&quot;009801AD&quot;/&gt;&lt;wsp:rsid wsp:val=&quot;009810D6&quot;/&gt;&lt;wsp:rsid wsp:val=&quot;00982A7D&quot;/&gt;&lt;wsp:rsid wsp:val=&quot;00982AFD&quot;/&gt;&lt;wsp:rsid wsp:val=&quot;00982C80&quot;/&gt;&lt;wsp:rsid wsp:val=&quot;0098335A&quot;/&gt;&lt;wsp:rsid wsp:val=&quot;00984E69&quot;/&gt;&lt;wsp:rsid wsp:val=&quot;0098505A&quot;/&gt;&lt;wsp:rsid wsp:val=&quot;00985666&quot;/&gt;&lt;wsp:rsid wsp:val=&quot;00986156&quot;/&gt;&lt;wsp:rsid wsp:val=&quot;009867F3&quot;/&gt;&lt;wsp:rsid wsp:val=&quot;00986A74&quot;/&gt;&lt;wsp:rsid wsp:val=&quot;00987576&quot;/&gt;&lt;wsp:rsid wsp:val=&quot;009876AB&quot;/&gt;&lt;wsp:rsid wsp:val=&quot;00990075&quot;/&gt;&lt;wsp:rsid wsp:val=&quot;00990102&quot;/&gt;&lt;wsp:rsid wsp:val=&quot;009904AE&quot;/&gt;&lt;wsp:rsid wsp:val=&quot;00990535&quot;/&gt;&lt;wsp:rsid wsp:val=&quot;009906C9&quot;/&gt;&lt;wsp:rsid wsp:val=&quot;00990DAC&quot;/&gt;&lt;wsp:rsid wsp:val=&quot;00990EC5&quot;/&gt;&lt;wsp:rsid wsp:val=&quot;00990ED9&quot;/&gt;&lt;wsp:rsid wsp:val=&quot;00991CB1&quot;/&gt;&lt;wsp:rsid wsp:val=&quot;00992177&quot;/&gt;&lt;wsp:rsid wsp:val=&quot;00992AD7&quot;/&gt;&lt;wsp:rsid wsp:val=&quot;00993377&quot;/&gt;&lt;wsp:rsid wsp:val=&quot;009940DD&quot;/&gt;&lt;wsp:rsid wsp:val=&quot;00994165&quot;/&gt;&lt;wsp:rsid wsp:val=&quot;00994342&quot;/&gt;&lt;wsp:rsid wsp:val=&quot;00995D19&quot;/&gt;&lt;wsp:rsid wsp:val=&quot;009A12C8&quot;/&gt;&lt;wsp:rsid wsp:val=&quot;009A1B95&quot;/&gt;&lt;wsp:rsid wsp:val=&quot;009A1D98&quot;/&gt;&lt;wsp:rsid wsp:val=&quot;009A2122&quot;/&gt;&lt;wsp:rsid wsp:val=&quot;009A2F40&quot;/&gt;&lt;wsp:rsid wsp:val=&quot;009A3044&quot;/&gt;&lt;wsp:rsid wsp:val=&quot;009A36A0&quot;/&gt;&lt;wsp:rsid wsp:val=&quot;009A43C6&quot;/&gt;&lt;wsp:rsid wsp:val=&quot;009A486B&quot;/&gt;&lt;wsp:rsid wsp:val=&quot;009A4B14&quot;/&gt;&lt;wsp:rsid wsp:val=&quot;009A7035&quot;/&gt;&lt;wsp:rsid wsp:val=&quot;009A7336&quot;/&gt;&lt;wsp:rsid wsp:val=&quot;009A760E&quot;/&gt;&lt;wsp:rsid wsp:val=&quot;009B1060&quot;/&gt;&lt;wsp:rsid wsp:val=&quot;009B13D7&quot;/&gt;&lt;wsp:rsid wsp:val=&quot;009B1755&quot;/&gt;&lt;wsp:rsid wsp:val=&quot;009B185E&quot;/&gt;&lt;wsp:rsid wsp:val=&quot;009B1C2E&quot;/&gt;&lt;wsp:rsid wsp:val=&quot;009B224C&quot;/&gt;&lt;wsp:rsid wsp:val=&quot;009B2388&quot;/&gt;&lt;wsp:rsid wsp:val=&quot;009B2FF4&quot;/&gt;&lt;wsp:rsid wsp:val=&quot;009B31DB&quot;/&gt;&lt;wsp:rsid wsp:val=&quot;009B32FE&quot;/&gt;&lt;wsp:rsid wsp:val=&quot;009B3EAD&quot;/&gt;&lt;wsp:rsid wsp:val=&quot;009B4B8C&quot;/&gt;&lt;wsp:rsid wsp:val=&quot;009B4C3D&quot;/&gt;&lt;wsp:rsid wsp:val=&quot;009B640C&quot;/&gt;&lt;wsp:rsid wsp:val=&quot;009B642B&quot;/&gt;&lt;wsp:rsid wsp:val=&quot;009B692C&quot;/&gt;&lt;wsp:rsid wsp:val=&quot;009B795C&quot;/&gt;&lt;wsp:rsid wsp:val=&quot;009B7C2A&quot;/&gt;&lt;wsp:rsid wsp:val=&quot;009C0D02&quot;/&gt;&lt;wsp:rsid wsp:val=&quot;009C0D9B&quot;/&gt;&lt;wsp:rsid wsp:val=&quot;009C1378&quot;/&gt;&lt;wsp:rsid wsp:val=&quot;009C17EB&quot;/&gt;&lt;wsp:rsid wsp:val=&quot;009C30BA&quot;/&gt;&lt;wsp:rsid wsp:val=&quot;009C32E4&quot;/&gt;&lt;wsp:rsid wsp:val=&quot;009C33BA&quot;/&gt;&lt;wsp:rsid wsp:val=&quot;009C340D&quot;/&gt;&lt;wsp:rsid wsp:val=&quot;009C411A&quot;/&gt;&lt;wsp:rsid wsp:val=&quot;009C569A&quot;/&gt;&lt;wsp:rsid wsp:val=&quot;009C5D12&quot;/&gt;&lt;wsp:rsid wsp:val=&quot;009C5DE6&quot;/&gt;&lt;wsp:rsid wsp:val=&quot;009C6D38&quot;/&gt;&lt;wsp:rsid wsp:val=&quot;009C719A&quot;/&gt;&lt;wsp:rsid wsp:val=&quot;009C7478&quot;/&gt;&lt;wsp:rsid wsp:val=&quot;009D01B2&quot;/&gt;&lt;wsp:rsid wsp:val=&quot;009D047C&quot;/&gt;&lt;wsp:rsid wsp:val=&quot;009D054F&quot;/&gt;&lt;wsp:rsid wsp:val=&quot;009D0775&quot;/&gt;&lt;wsp:rsid wsp:val=&quot;009D0ADE&quot;/&gt;&lt;wsp:rsid wsp:val=&quot;009D181C&quot;/&gt;&lt;wsp:rsid wsp:val=&quot;009D1A66&quot;/&gt;&lt;wsp:rsid wsp:val=&quot;009D2F19&quot;/&gt;&lt;wsp:rsid wsp:val=&quot;009D3DF9&quot;/&gt;&lt;wsp:rsid wsp:val=&quot;009D4DEF&quot;/&gt;&lt;wsp:rsid wsp:val=&quot;009D50EC&quot;/&gt;&lt;wsp:rsid wsp:val=&quot;009D5678&quot;/&gt;&lt;wsp:rsid wsp:val=&quot;009D61EF&quot;/&gt;&lt;wsp:rsid wsp:val=&quot;009D668B&quot;/&gt;&lt;wsp:rsid wsp:val=&quot;009D7E07&quot;/&gt;&lt;wsp:rsid wsp:val=&quot;009E05FE&quot;/&gt;&lt;wsp:rsid wsp:val=&quot;009E10CF&quot;/&gt;&lt;wsp:rsid wsp:val=&quot;009E1626&quot;/&gt;&lt;wsp:rsid wsp:val=&quot;009E16C8&quot;/&gt;&lt;wsp:rsid wsp:val=&quot;009E1DC9&quot;/&gt;&lt;wsp:rsid wsp:val=&quot;009E2483&quot;/&gt;&lt;wsp:rsid wsp:val=&quot;009E2643&quot;/&gt;&lt;wsp:rsid wsp:val=&quot;009E47AB&quot;/&gt;&lt;wsp:rsid wsp:val=&quot;009E4F76&quot;/&gt;&lt;wsp:rsid wsp:val=&quot;009E66B2&quot;/&gt;&lt;wsp:rsid wsp:val=&quot;009E6C06&quot;/&gt;&lt;wsp:rsid wsp:val=&quot;009E74C8&quot;/&gt;&lt;wsp:rsid wsp:val=&quot;009E765E&quot;/&gt;&lt;wsp:rsid wsp:val=&quot;009F124F&quot;/&gt;&lt;wsp:rsid wsp:val=&quot;009F1625&quot;/&gt;&lt;wsp:rsid wsp:val=&quot;009F257A&quot;/&gt;&lt;wsp:rsid wsp:val=&quot;009F2676&quot;/&gt;&lt;wsp:rsid wsp:val=&quot;009F2FC6&quot;/&gt;&lt;wsp:rsid wsp:val=&quot;009F3760&quot;/&gt;&lt;wsp:rsid wsp:val=&quot;009F3C60&quot;/&gt;&lt;wsp:rsid wsp:val=&quot;009F5494&quot;/&gt;&lt;wsp:rsid wsp:val=&quot;009F5CAA&quot;/&gt;&lt;wsp:rsid wsp:val=&quot;009F5F39&quot;/&gt;&lt;wsp:rsid wsp:val=&quot;009F6165&quot;/&gt;&lt;wsp:rsid wsp:val=&quot;009F739A&quot;/&gt;&lt;wsp:rsid wsp:val=&quot;009F75FC&quot;/&gt;&lt;wsp:rsid wsp:val=&quot;009F7608&quot;/&gt;&lt;wsp:rsid wsp:val=&quot;009F7B92&quot;/&gt;&lt;wsp:rsid wsp:val=&quot;00A00AD6&quot;/&gt;&lt;wsp:rsid wsp:val=&quot;00A01417&quot;/&gt;&lt;wsp:rsid wsp:val=&quot;00A01D24&quot;/&gt;&lt;wsp:rsid wsp:val=&quot;00A01E88&quot;/&gt;&lt;wsp:rsid wsp:val=&quot;00A02065&quot;/&gt;&lt;wsp:rsid wsp:val=&quot;00A0437D&quot;/&gt;&lt;wsp:rsid wsp:val=&quot;00A0449C&quot;/&gt;&lt;wsp:rsid wsp:val=&quot;00A045EB&quot;/&gt;&lt;wsp:rsid wsp:val=&quot;00A04B0F&quot;/&gt;&lt;wsp:rsid wsp:val=&quot;00A05087&quot;/&gt;&lt;wsp:rsid wsp:val=&quot;00A05B6B&quot;/&gt;&lt;wsp:rsid wsp:val=&quot;00A05DB1&quot;/&gt;&lt;wsp:rsid wsp:val=&quot;00A05E13&quot;/&gt;&lt;wsp:rsid wsp:val=&quot;00A10850&quot;/&gt;&lt;wsp:rsid wsp:val=&quot;00A10ED2&quot;/&gt;&lt;wsp:rsid wsp:val=&quot;00A11C67&quot;/&gt;&lt;wsp:rsid wsp:val=&quot;00A1211A&quot;/&gt;&lt;wsp:rsid wsp:val=&quot;00A1257D&quot;/&gt;&lt;wsp:rsid wsp:val=&quot;00A12725&quot;/&gt;&lt;wsp:rsid wsp:val=&quot;00A13162&quot;/&gt;&lt;wsp:rsid wsp:val=&quot;00A13407&quot;/&gt;&lt;wsp:rsid wsp:val=&quot;00A13638&quot;/&gt;&lt;wsp:rsid wsp:val=&quot;00A146DE&quot;/&gt;&lt;wsp:rsid wsp:val=&quot;00A14C20&quot;/&gt;&lt;wsp:rsid wsp:val=&quot;00A15146&quot;/&gt;&lt;wsp:rsid wsp:val=&quot;00A15214&quot;/&gt;&lt;wsp:rsid wsp:val=&quot;00A153A3&quot;/&gt;&lt;wsp:rsid wsp:val=&quot;00A15476&quot;/&gt;&lt;wsp:rsid wsp:val=&quot;00A15D1D&quot;/&gt;&lt;wsp:rsid wsp:val=&quot;00A1600A&quot;/&gt;&lt;wsp:rsid wsp:val=&quot;00A1657C&quot;/&gt;&lt;wsp:rsid wsp:val=&quot;00A166C8&quot;/&gt;&lt;wsp:rsid wsp:val=&quot;00A16B30&quot;/&gt;&lt;wsp:rsid wsp:val=&quot;00A16CD9&quot;/&gt;&lt;wsp:rsid wsp:val=&quot;00A20126&quot;/&gt;&lt;wsp:rsid wsp:val=&quot;00A20903&quot;/&gt;&lt;wsp:rsid wsp:val=&quot;00A20BE8&quot;/&gt;&lt;wsp:rsid wsp:val=&quot;00A215A8&quot;/&gt;&lt;wsp:rsid wsp:val=&quot;00A21BC8&quot;/&gt;&lt;wsp:rsid wsp:val=&quot;00A21F1D&quot;/&gt;&lt;wsp:rsid wsp:val=&quot;00A22127&quot;/&gt;&lt;wsp:rsid wsp:val=&quot;00A22BBA&quot;/&gt;&lt;wsp:rsid wsp:val=&quot;00A22E4B&quot;/&gt;&lt;wsp:rsid wsp:val=&quot;00A23006&quot;/&gt;&lt;wsp:rsid wsp:val=&quot;00A233A1&quot;/&gt;&lt;wsp:rsid wsp:val=&quot;00A2400B&quot;/&gt;&lt;wsp:rsid wsp:val=&quot;00A257FE&quot;/&gt;&lt;wsp:rsid wsp:val=&quot;00A2605D&quot;/&gt;&lt;wsp:rsid wsp:val=&quot;00A26791&quot;/&gt;&lt;wsp:rsid wsp:val=&quot;00A27C80&quot;/&gt;&lt;wsp:rsid wsp:val=&quot;00A302D2&quot;/&gt;&lt;wsp:rsid wsp:val=&quot;00A30B0A&quot;/&gt;&lt;wsp:rsid wsp:val=&quot;00A30FC3&quot;/&gt;&lt;wsp:rsid wsp:val=&quot;00A31826&quot;/&gt;&lt;wsp:rsid wsp:val=&quot;00A32FAB&quot;/&gt;&lt;wsp:rsid wsp:val=&quot;00A33475&quot;/&gt;&lt;wsp:rsid wsp:val=&quot;00A34E56&quot;/&gt;&lt;wsp:rsid wsp:val=&quot;00A363A9&quot;/&gt;&lt;wsp:rsid wsp:val=&quot;00A3688B&quot;/&gt;&lt;wsp:rsid wsp:val=&quot;00A36941&quot;/&gt;&lt;wsp:rsid wsp:val=&quot;00A36FCA&quot;/&gt;&lt;wsp:rsid wsp:val=&quot;00A3711D&quot;/&gt;&lt;wsp:rsid wsp:val=&quot;00A37921&quot;/&gt;&lt;wsp:rsid wsp:val=&quot;00A37FB4&quot;/&gt;&lt;wsp:rsid wsp:val=&quot;00A40242&quot;/&gt;&lt;wsp:rsid wsp:val=&quot;00A402B6&quot;/&gt;&lt;wsp:rsid wsp:val=&quot;00A40AA3&quot;/&gt;&lt;wsp:rsid wsp:val=&quot;00A41924&quot;/&gt;&lt;wsp:rsid wsp:val=&quot;00A41A20&quot;/&gt;&lt;wsp:rsid wsp:val=&quot;00A41A82&quot;/&gt;&lt;wsp:rsid wsp:val=&quot;00A41B9B&quot;/&gt;&lt;wsp:rsid wsp:val=&quot;00A41CD1&quot;/&gt;&lt;wsp:rsid wsp:val=&quot;00A423BD&quot;/&gt;&lt;wsp:rsid wsp:val=&quot;00A42E70&quot;/&gt;&lt;wsp:rsid wsp:val=&quot;00A435ED&quot;/&gt;&lt;wsp:rsid wsp:val=&quot;00A438D3&quot;/&gt;&lt;wsp:rsid wsp:val=&quot;00A43FDB&quot;/&gt;&lt;wsp:rsid wsp:val=&quot;00A44892&quot;/&gt;&lt;wsp:rsid wsp:val=&quot;00A44AF8&quot;/&gt;&lt;wsp:rsid wsp:val=&quot;00A44BF0&quot;/&gt;&lt;wsp:rsid wsp:val=&quot;00A458C8&quot;/&gt;&lt;wsp:rsid wsp:val=&quot;00A4593E&quot;/&gt;&lt;wsp:rsid wsp:val=&quot;00A45CD2&quot;/&gt;&lt;wsp:rsid wsp:val=&quot;00A45F3F&quot;/&gt;&lt;wsp:rsid wsp:val=&quot;00A47259&quot;/&gt;&lt;wsp:rsid wsp:val=&quot;00A50A94&quot;/&gt;&lt;wsp:rsid wsp:val=&quot;00A50C80&quot;/&gt;&lt;wsp:rsid wsp:val=&quot;00A51507&quot;/&gt;&lt;wsp:rsid wsp:val=&quot;00A52478&quot;/&gt;&lt;wsp:rsid wsp:val=&quot;00A5261F&quot;/&gt;&lt;wsp:rsid wsp:val=&quot;00A52622&quot;/&gt;&lt;wsp:rsid wsp:val=&quot;00A53D8F&quot;/&gt;&lt;wsp:rsid wsp:val=&quot;00A551D2&quot;/&gt;&lt;wsp:rsid wsp:val=&quot;00A55731&quot;/&gt;&lt;wsp:rsid wsp:val=&quot;00A55D62&quot;/&gt;&lt;wsp:rsid wsp:val=&quot;00A56843&quot;/&gt;&lt;wsp:rsid wsp:val=&quot;00A57175&quot;/&gt;&lt;wsp:rsid wsp:val=&quot;00A5720D&quot;/&gt;&lt;wsp:rsid wsp:val=&quot;00A572EA&quot;/&gt;&lt;wsp:rsid wsp:val=&quot;00A576DC&quot;/&gt;&lt;wsp:rsid wsp:val=&quot;00A57B74&quot;/&gt;&lt;wsp:rsid wsp:val=&quot;00A6084F&quot;/&gt;&lt;wsp:rsid wsp:val=&quot;00A61354&quot;/&gt;&lt;wsp:rsid wsp:val=&quot;00A6159E&quot;/&gt;&lt;wsp:rsid wsp:val=&quot;00A61823&quot;/&gt;&lt;wsp:rsid wsp:val=&quot;00A61BDA&quot;/&gt;&lt;wsp:rsid wsp:val=&quot;00A6206B&quot;/&gt;&lt;wsp:rsid wsp:val=&quot;00A62EA3&quot;/&gt;&lt;wsp:rsid wsp:val=&quot;00A6340F&quot;/&gt;&lt;wsp:rsid wsp:val=&quot;00A63AA9&quot;/&gt;&lt;wsp:rsid wsp:val=&quot;00A6419C&quot;/&gt;&lt;wsp:rsid wsp:val=&quot;00A65C4A&quot;/&gt;&lt;wsp:rsid wsp:val=&quot;00A65ECC&quot;/&gt;&lt;wsp:rsid wsp:val=&quot;00A675F4&quot;/&gt;&lt;wsp:rsid wsp:val=&quot;00A677CD&quot;/&gt;&lt;wsp:rsid wsp:val=&quot;00A678E3&quot;/&gt;&lt;wsp:rsid wsp:val=&quot;00A67BF2&quot;/&gt;&lt;wsp:rsid wsp:val=&quot;00A67F45&quot;/&gt;&lt;wsp:rsid wsp:val=&quot;00A70103&quot;/&gt;&lt;wsp:rsid wsp:val=&quot;00A7086C&quot;/&gt;&lt;wsp:rsid wsp:val=&quot;00A7093E&quot;/&gt;&lt;wsp:rsid wsp:val=&quot;00A70B7C&quot;/&gt;&lt;wsp:rsid wsp:val=&quot;00A7111B&quot;/&gt;&lt;wsp:rsid wsp:val=&quot;00A717F5&quot;/&gt;&lt;wsp:rsid wsp:val=&quot;00A71E4C&quot;/&gt;&lt;wsp:rsid wsp:val=&quot;00A72EF8&quot;/&gt;&lt;wsp:rsid wsp:val=&quot;00A7324A&quot;/&gt;&lt;wsp:rsid wsp:val=&quot;00A73470&quot;/&gt;&lt;wsp:rsid wsp:val=&quot;00A736D6&quot;/&gt;&lt;wsp:rsid wsp:val=&quot;00A744DC&quot;/&gt;&lt;wsp:rsid wsp:val=&quot;00A7525C&quot;/&gt;&lt;wsp:rsid wsp:val=&quot;00A75A7F&quot;/&gt;&lt;wsp:rsid wsp:val=&quot;00A75F1B&quot;/&gt;&lt;wsp:rsid wsp:val=&quot;00A76617&quot;/&gt;&lt;wsp:rsid wsp:val=&quot;00A77314&quot;/&gt;&lt;wsp:rsid wsp:val=&quot;00A77E57&quot;/&gt;&lt;wsp:rsid wsp:val=&quot;00A80337&quot;/&gt;&lt;wsp:rsid wsp:val=&quot;00A81208&quot;/&gt;&lt;wsp:rsid wsp:val=&quot;00A814D6&quot;/&gt;&lt;wsp:rsid wsp:val=&quot;00A8152A&quot;/&gt;&lt;wsp:rsid wsp:val=&quot;00A820E1&quot;/&gt;&lt;wsp:rsid wsp:val=&quot;00A831DD&quot;/&gt;&lt;wsp:rsid wsp:val=&quot;00A83B69&quot;/&gt;&lt;wsp:rsid wsp:val=&quot;00A83D4A&quot;/&gt;&lt;wsp:rsid wsp:val=&quot;00A847CC&quot;/&gt;&lt;wsp:rsid wsp:val=&quot;00A85409&quot;/&gt;&lt;wsp:rsid wsp:val=&quot;00A85891&quot;/&gt;&lt;wsp:rsid wsp:val=&quot;00A85ADE&quot;/&gt;&lt;wsp:rsid wsp:val=&quot;00A869C1&quot;/&gt;&lt;wsp:rsid wsp:val=&quot;00A8739B&quot;/&gt;&lt;wsp:rsid wsp:val=&quot;00A87E79&quot;/&gt;&lt;wsp:rsid wsp:val=&quot;00A90245&quot;/&gt;&lt;wsp:rsid wsp:val=&quot;00A90347&quot;/&gt;&lt;wsp:rsid wsp:val=&quot;00A9073E&quot;/&gt;&lt;wsp:rsid wsp:val=&quot;00A90905&quot;/&gt;&lt;wsp:rsid wsp:val=&quot;00A90E44&quot;/&gt;&lt;wsp:rsid wsp:val=&quot;00A90F1C&quot;/&gt;&lt;wsp:rsid wsp:val=&quot;00A91155&quot;/&gt;&lt;wsp:rsid wsp:val=&quot;00A91905&quot;/&gt;&lt;wsp:rsid wsp:val=&quot;00A9482F&quot;/&gt;&lt;wsp:rsid wsp:val=&quot;00A95040&quot;/&gt;&lt;wsp:rsid wsp:val=&quot;00A95B14&quot;/&gt;&lt;wsp:rsid wsp:val=&quot;00A95B92&quot;/&gt;&lt;wsp:rsid wsp:val=&quot;00A96EDF&quot;/&gt;&lt;wsp:rsid wsp:val=&quot;00A96F9F&quot;/&gt;&lt;wsp:rsid wsp:val=&quot;00A9703C&quot;/&gt;&lt;wsp:rsid wsp:val=&quot;00A974D0&quot;/&gt;&lt;wsp:rsid wsp:val=&quot;00A974F0&quot;/&gt;&lt;wsp:rsid wsp:val=&quot;00A9752F&quot;/&gt;&lt;wsp:rsid wsp:val=&quot;00A976CA&quot;/&gt;&lt;wsp:rsid wsp:val=&quot;00A976D7&quot;/&gt;&lt;wsp:rsid wsp:val=&quot;00A978CB&quot;/&gt;&lt;wsp:rsid wsp:val=&quot;00A97F0F&quot;/&gt;&lt;wsp:rsid wsp:val=&quot;00A97F41&quot;/&gt;&lt;wsp:rsid wsp:val=&quot;00AA077C&quot;/&gt;&lt;wsp:rsid wsp:val=&quot;00AA1047&quot;/&gt;&lt;wsp:rsid wsp:val=&quot;00AA1B92&quot;/&gt;&lt;wsp:rsid wsp:val=&quot;00AA1F9B&quot;/&gt;&lt;wsp:rsid wsp:val=&quot;00AA237A&quot;/&gt;&lt;wsp:rsid wsp:val=&quot;00AA28A5&quot;/&gt;&lt;wsp:rsid wsp:val=&quot;00AA2939&quot;/&gt;&lt;wsp:rsid wsp:val=&quot;00AA2D21&quot;/&gt;&lt;wsp:rsid wsp:val=&quot;00AA3488&quot;/&gt;&lt;wsp:rsid wsp:val=&quot;00AA482C&quot;/&gt;&lt;wsp:rsid wsp:val=&quot;00AA5283&quot;/&gt;&lt;wsp:rsid wsp:val=&quot;00AA5B88&quot;/&gt;&lt;wsp:rsid wsp:val=&quot;00AA6256&quot;/&gt;&lt;wsp:rsid wsp:val=&quot;00AA6E3E&quot;/&gt;&lt;wsp:rsid wsp:val=&quot;00AA786A&quot;/&gt;&lt;wsp:rsid wsp:val=&quot;00AB18FF&quot;/&gt;&lt;wsp:rsid wsp:val=&quot;00AB196F&quot;/&gt;&lt;wsp:rsid wsp:val=&quot;00AB1E6A&quot;/&gt;&lt;wsp:rsid wsp:val=&quot;00AB2434&quot;/&gt;&lt;wsp:rsid wsp:val=&quot;00AB24E1&quot;/&gt;&lt;wsp:rsid wsp:val=&quot;00AB2986&quot;/&gt;&lt;wsp:rsid wsp:val=&quot;00AB3659&quot;/&gt;&lt;wsp:rsid wsp:val=&quot;00AB377D&quot;/&gt;&lt;wsp:rsid wsp:val=&quot;00AB5711&quot;/&gt;&lt;wsp:rsid wsp:val=&quot;00AB6273&quot;/&gt;&lt;wsp:rsid wsp:val=&quot;00AB63F5&quot;/&gt;&lt;wsp:rsid wsp:val=&quot;00AB73F4&quot;/&gt;&lt;wsp:rsid wsp:val=&quot;00AB7CE9&quot;/&gt;&lt;wsp:rsid wsp:val=&quot;00AC0377&quot;/&gt;&lt;wsp:rsid wsp:val=&quot;00AC0682&quot;/&gt;&lt;wsp:rsid wsp:val=&quot;00AC0D5E&quot;/&gt;&lt;wsp:rsid wsp:val=&quot;00AC1249&quot;/&gt;&lt;wsp:rsid wsp:val=&quot;00AC1635&quot;/&gt;&lt;wsp:rsid wsp:val=&quot;00AC1851&quot;/&gt;&lt;wsp:rsid wsp:val=&quot;00AC1D2C&quot;/&gt;&lt;wsp:rsid wsp:val=&quot;00AC1E37&quot;/&gt;&lt;wsp:rsid wsp:val=&quot;00AC277D&quot;/&gt;&lt;wsp:rsid wsp:val=&quot;00AC2926&quot;/&gt;&lt;wsp:rsid wsp:val=&quot;00AC3356&quot;/&gt;&lt;wsp:rsid wsp:val=&quot;00AC39D3&quot;/&gt;&lt;wsp:rsid wsp:val=&quot;00AC47FB&quot;/&gt;&lt;wsp:rsid wsp:val=&quot;00AC5790&quot;/&gt;&lt;wsp:rsid wsp:val=&quot;00AC678B&quot;/&gt;&lt;wsp:rsid wsp:val=&quot;00AD01CD&quot;/&gt;&lt;wsp:rsid wsp:val=&quot;00AD0DA5&quot;/&gt;&lt;wsp:rsid wsp:val=&quot;00AD19BA&quot;/&gt;&lt;wsp:rsid wsp:val=&quot;00AD2CED&quot;/&gt;&lt;wsp:rsid wsp:val=&quot;00AD2DF2&quot;/&gt;&lt;wsp:rsid wsp:val=&quot;00AD2F65&quot;/&gt;&lt;wsp:rsid wsp:val=&quot;00AD2FE1&quot;/&gt;&lt;wsp:rsid wsp:val=&quot;00AD3444&quot;/&gt;&lt;wsp:rsid wsp:val=&quot;00AD4017&quot;/&gt;&lt;wsp:rsid wsp:val=&quot;00AD41FA&quot;/&gt;&lt;wsp:rsid wsp:val=&quot;00AD439B&quot;/&gt;&lt;wsp:rsid wsp:val=&quot;00AD4C93&quot;/&gt;&lt;wsp:rsid wsp:val=&quot;00AD5ADE&quot;/&gt;&lt;wsp:rsid wsp:val=&quot;00AD5EC1&quot;/&gt;&lt;wsp:rsid wsp:val=&quot;00AD6938&quot;/&gt;&lt;wsp:rsid wsp:val=&quot;00AD6ED9&quot;/&gt;&lt;wsp:rsid wsp:val=&quot;00AE049E&quot;/&gt;&lt;wsp:rsid wsp:val=&quot;00AE1030&quot;/&gt;&lt;wsp:rsid wsp:val=&quot;00AE1C3F&quot;/&gt;&lt;wsp:rsid wsp:val=&quot;00AE2541&quot;/&gt;&lt;wsp:rsid wsp:val=&quot;00AE29D7&quot;/&gt;&lt;wsp:rsid wsp:val=&quot;00AE2B44&quot;/&gt;&lt;wsp:rsid wsp:val=&quot;00AE2DFF&quot;/&gt;&lt;wsp:rsid wsp:val=&quot;00AE3042&quot;/&gt;&lt;wsp:rsid wsp:val=&quot;00AE3A5A&quot;/&gt;&lt;wsp:rsid wsp:val=&quot;00AE4E87&quot;/&gt;&lt;wsp:rsid wsp:val=&quot;00AE5B6B&quot;/&gt;&lt;wsp:rsid wsp:val=&quot;00AE614B&quot;/&gt;&lt;wsp:rsid wsp:val=&quot;00AE6C15&quot;/&gt;&lt;wsp:rsid wsp:val=&quot;00AE6CAC&quot;/&gt;&lt;wsp:rsid wsp:val=&quot;00AE70F3&quot;/&gt;&lt;wsp:rsid wsp:val=&quot;00AE711C&quot;/&gt;&lt;wsp:rsid wsp:val=&quot;00AE71CD&quot;/&gt;&lt;wsp:rsid wsp:val=&quot;00AE766D&quot;/&gt;&lt;wsp:rsid wsp:val=&quot;00AE76BA&quot;/&gt;&lt;wsp:rsid wsp:val=&quot;00AE7C96&quot;/&gt;&lt;wsp:rsid wsp:val=&quot;00AF194E&quot;/&gt;&lt;wsp:rsid wsp:val=&quot;00AF30AF&quot;/&gt;&lt;wsp:rsid wsp:val=&quot;00AF3BC4&quot;/&gt;&lt;wsp:rsid wsp:val=&quot;00AF418F&quot;/&gt;&lt;wsp:rsid wsp:val=&quot;00AF4917&quot;/&gt;&lt;wsp:rsid wsp:val=&quot;00AF52F3&quot;/&gt;&lt;wsp:rsid wsp:val=&quot;00AF6807&quot;/&gt;&lt;wsp:rsid wsp:val=&quot;00AF68CB&quot;/&gt;&lt;wsp:rsid wsp:val=&quot;00AF7A0C&quot;/&gt;&lt;wsp:rsid wsp:val=&quot;00AF7C83&quot;/&gt;&lt;wsp:rsid wsp:val=&quot;00B00159&quot;/&gt;&lt;wsp:rsid wsp:val=&quot;00B0050B&quot;/&gt;&lt;wsp:rsid wsp:val=&quot;00B00B07&quot;/&gt;&lt;wsp:rsid wsp:val=&quot;00B00DDF&quot;/&gt;&lt;wsp:rsid wsp:val=&quot;00B0200B&quot;/&gt;&lt;wsp:rsid wsp:val=&quot;00B02068&quot;/&gt;&lt;wsp:rsid wsp:val=&quot;00B02262&quot;/&gt;&lt;wsp:rsid wsp:val=&quot;00B02A6C&quot;/&gt;&lt;wsp:rsid wsp:val=&quot;00B0391A&quot;/&gt;&lt;wsp:rsid wsp:val=&quot;00B0443A&quot;/&gt;&lt;wsp:rsid wsp:val=&quot;00B045AD&quot;/&gt;&lt;wsp:rsid wsp:val=&quot;00B04738&quot;/&gt;&lt;wsp:rsid wsp:val=&quot;00B048FB&quot;/&gt;&lt;wsp:rsid wsp:val=&quot;00B059E6&quot;/&gt;&lt;wsp:rsid wsp:val=&quot;00B0643E&quot;/&gt;&lt;wsp:rsid wsp:val=&quot;00B07564&quot;/&gt;&lt;wsp:rsid wsp:val=&quot;00B07A9D&quot;/&gt;&lt;wsp:rsid wsp:val=&quot;00B07D5F&quot;/&gt;&lt;wsp:rsid wsp:val=&quot;00B1002B&quot;/&gt;&lt;wsp:rsid wsp:val=&quot;00B10A5B&quot;/&gt;&lt;wsp:rsid wsp:val=&quot;00B10BC9&quot;/&gt;&lt;wsp:rsid wsp:val=&quot;00B113EE&quot;/&gt;&lt;wsp:rsid wsp:val=&quot;00B118E1&quot;/&gt;&lt;wsp:rsid wsp:val=&quot;00B119AE&quot;/&gt;&lt;wsp:rsid wsp:val=&quot;00B12138&quot;/&gt;&lt;wsp:rsid wsp:val=&quot;00B121AA&quot;/&gt;&lt;wsp:rsid wsp:val=&quot;00B127A5&quot;/&gt;&lt;wsp:rsid wsp:val=&quot;00B12B8A&quot;/&gt;&lt;wsp:rsid wsp:val=&quot;00B149DD&quot;/&gt;&lt;wsp:rsid wsp:val=&quot;00B14B28&quot;/&gt;&lt;wsp:rsid wsp:val=&quot;00B1575B&quot;/&gt;&lt;wsp:rsid wsp:val=&quot;00B157B8&quot;/&gt;&lt;wsp:rsid wsp:val=&quot;00B15888&quot;/&gt;&lt;wsp:rsid wsp:val=&quot;00B1603B&quot;/&gt;&lt;wsp:rsid wsp:val=&quot;00B16349&quot;/&gt;&lt;wsp:rsid wsp:val=&quot;00B16A1C&quot;/&gt;&lt;wsp:rsid wsp:val=&quot;00B17049&quot;/&gt;&lt;wsp:rsid wsp:val=&quot;00B1771A&quot;/&gt;&lt;wsp:rsid wsp:val=&quot;00B179ED&quot;/&gt;&lt;wsp:rsid wsp:val=&quot;00B17F83&quot;/&gt;&lt;wsp:rsid wsp:val=&quot;00B20992&quot;/&gt;&lt;wsp:rsid wsp:val=&quot;00B20D04&quot;/&gt;&lt;wsp:rsid wsp:val=&quot;00B216AF&quot;/&gt;&lt;wsp:rsid wsp:val=&quot;00B21D06&quot;/&gt;&lt;wsp:rsid wsp:val=&quot;00B21FDB&quot;/&gt;&lt;wsp:rsid wsp:val=&quot;00B2212F&quot;/&gt;&lt;wsp:rsid wsp:val=&quot;00B2249F&quot;/&gt;&lt;wsp:rsid wsp:val=&quot;00B2278B&quot;/&gt;&lt;wsp:rsid wsp:val=&quot;00B2320F&quot;/&gt;&lt;wsp:rsid wsp:val=&quot;00B232D3&quot;/&gt;&lt;wsp:rsid wsp:val=&quot;00B24095&quot;/&gt;&lt;wsp:rsid wsp:val=&quot;00B2425D&quot;/&gt;&lt;wsp:rsid wsp:val=&quot;00B24797&quot;/&gt;&lt;wsp:rsid wsp:val=&quot;00B24C98&quot;/&gt;&lt;wsp:rsid wsp:val=&quot;00B2526A&quot;/&gt;&lt;wsp:rsid wsp:val=&quot;00B2615D&quot;/&gt;&lt;wsp:rsid wsp:val=&quot;00B26C80&quot;/&gt;&lt;wsp:rsid wsp:val=&quot;00B2702D&quot;/&gt;&lt;wsp:rsid wsp:val=&quot;00B27D70&quot;/&gt;&lt;wsp:rsid wsp:val=&quot;00B30BD8&quot;/&gt;&lt;wsp:rsid wsp:val=&quot;00B3185C&quot;/&gt;&lt;wsp:rsid wsp:val=&quot;00B320FE&quot;/&gt;&lt;wsp:rsid wsp:val=&quot;00B323CC&quot;/&gt;&lt;wsp:rsid wsp:val=&quot;00B33944&quot;/&gt;&lt;wsp:rsid wsp:val=&quot;00B34704&quot;/&gt;&lt;wsp:rsid wsp:val=&quot;00B34914&quot;/&gt;&lt;wsp:rsid wsp:val=&quot;00B34AAF&quot;/&gt;&lt;wsp:rsid wsp:val=&quot;00B34C67&quot;/&gt;&lt;wsp:rsid wsp:val=&quot;00B35A41&quot;/&gt;&lt;wsp:rsid wsp:val=&quot;00B368D8&quot;/&gt;&lt;wsp:rsid wsp:val=&quot;00B3751A&quot;/&gt;&lt;wsp:rsid wsp:val=&quot;00B37879&quot;/&gt;&lt;wsp:rsid wsp:val=&quot;00B37D60&quot;/&gt;&lt;wsp:rsid wsp:val=&quot;00B40F98&quot;/&gt;&lt;wsp:rsid wsp:val=&quot;00B417C7&quot;/&gt;&lt;wsp:rsid wsp:val=&quot;00B41BB5&quot;/&gt;&lt;wsp:rsid wsp:val=&quot;00B41CD1&quot;/&gt;&lt;wsp:rsid wsp:val=&quot;00B41FB6&quot;/&gt;&lt;wsp:rsid wsp:val=&quot;00B4223A&quot;/&gt;&lt;wsp:rsid wsp:val=&quot;00B42322&quot;/&gt;&lt;wsp:rsid wsp:val=&quot;00B426BA&quot;/&gt;&lt;wsp:rsid wsp:val=&quot;00B42742&quot;/&gt;&lt;wsp:rsid wsp:val=&quot;00B42D95&quot;/&gt;&lt;wsp:rsid wsp:val=&quot;00B436B0&quot;/&gt;&lt;wsp:rsid wsp:val=&quot;00B43808&quot;/&gt;&lt;wsp:rsid wsp:val=&quot;00B43C80&quot;/&gt;&lt;wsp:rsid wsp:val=&quot;00B43E67&quot;/&gt;&lt;wsp:rsid wsp:val=&quot;00B4431D&quot;/&gt;&lt;wsp:rsid wsp:val=&quot;00B4480B&quot;/&gt;&lt;wsp:rsid wsp:val=&quot;00B45E71&quot;/&gt;&lt;wsp:rsid wsp:val=&quot;00B46545&quot;/&gt;&lt;wsp:rsid wsp:val=&quot;00B465A3&quot;/&gt;&lt;wsp:rsid wsp:val=&quot;00B46630&quot;/&gt;&lt;wsp:rsid wsp:val=&quot;00B46F6E&quot;/&gt;&lt;wsp:rsid wsp:val=&quot;00B47222&quot;/&gt;&lt;wsp:rsid wsp:val=&quot;00B47552&quot;/&gt;&lt;wsp:rsid wsp:val=&quot;00B4766E&quot;/&gt;&lt;wsp:rsid wsp:val=&quot;00B47C23&quot;/&gt;&lt;wsp:rsid wsp:val=&quot;00B500B5&quot;/&gt;&lt;wsp:rsid wsp:val=&quot;00B515D4&quot;/&gt;&lt;wsp:rsid wsp:val=&quot;00B51DB8&quot;/&gt;&lt;wsp:rsid wsp:val=&quot;00B52021&quot;/&gt;&lt;wsp:rsid wsp:val=&quot;00B52B55&quot;/&gt;&lt;wsp:rsid wsp:val=&quot;00B52E23&quot;/&gt;&lt;wsp:rsid wsp:val=&quot;00B53420&quot;/&gt;&lt;wsp:rsid wsp:val=&quot;00B54153&quot;/&gt;&lt;wsp:rsid wsp:val=&quot;00B547B0&quot;/&gt;&lt;wsp:rsid wsp:val=&quot;00B54BB8&quot;/&gt;&lt;wsp:rsid wsp:val=&quot;00B5599E&quot;/&gt;&lt;wsp:rsid wsp:val=&quot;00B55D18&quot;/&gt;&lt;wsp:rsid wsp:val=&quot;00B5602A&quot;/&gt;&lt;wsp:rsid wsp:val=&quot;00B563F0&quot;/&gt;&lt;wsp:rsid wsp:val=&quot;00B577E6&quot;/&gt;&lt;wsp:rsid wsp:val=&quot;00B60B4F&quot;/&gt;&lt;wsp:rsid wsp:val=&quot;00B60FB5&quot;/&gt;&lt;wsp:rsid wsp:val=&quot;00B61131&quot;/&gt;&lt;wsp:rsid wsp:val=&quot;00B6135A&quot;/&gt;&lt;wsp:rsid wsp:val=&quot;00B6155A&quot;/&gt;&lt;wsp:rsid wsp:val=&quot;00B615ED&quot;/&gt;&lt;wsp:rsid wsp:val=&quot;00B61B77&quot;/&gt;&lt;wsp:rsid wsp:val=&quot;00B61BF0&quot;/&gt;&lt;wsp:rsid wsp:val=&quot;00B624C2&quot;/&gt;&lt;wsp:rsid wsp:val=&quot;00B625C7&quot;/&gt;&lt;wsp:rsid wsp:val=&quot;00B62B1D&quot;/&gt;&lt;wsp:rsid wsp:val=&quot;00B62F11&quot;/&gt;&lt;wsp:rsid wsp:val=&quot;00B6338E&quot;/&gt;&lt;wsp:rsid wsp:val=&quot;00B641A8&quot;/&gt;&lt;wsp:rsid wsp:val=&quot;00B642B1&quot;/&gt;&lt;wsp:rsid wsp:val=&quot;00B64D4E&quot;/&gt;&lt;wsp:rsid wsp:val=&quot;00B6575D&quot;/&gt;&lt;wsp:rsid wsp:val=&quot;00B65815&quot;/&gt;&lt;wsp:rsid wsp:val=&quot;00B65C52&quot;/&gt;&lt;wsp:rsid wsp:val=&quot;00B663F5&quot;/&gt;&lt;wsp:rsid wsp:val=&quot;00B6648F&quot;/&gt;&lt;wsp:rsid wsp:val=&quot;00B67AF1&quot;/&gt;&lt;wsp:rsid wsp:val=&quot;00B67C10&quot;/&gt;&lt;wsp:rsid wsp:val=&quot;00B70A76&quot;/&gt;&lt;wsp:rsid wsp:val=&quot;00B7136C&quot;/&gt;&lt;wsp:rsid wsp:val=&quot;00B71F9F&quot;/&gt;&lt;wsp:rsid wsp:val=&quot;00B72106&quot;/&gt;&lt;wsp:rsid wsp:val=&quot;00B72352&quot;/&gt;&lt;wsp:rsid wsp:val=&quot;00B72453&quot;/&gt;&lt;wsp:rsid wsp:val=&quot;00B728D3&quot;/&gt;&lt;wsp:rsid wsp:val=&quot;00B72920&quot;/&gt;&lt;wsp:rsid wsp:val=&quot;00B73966&quot;/&gt;&lt;wsp:rsid wsp:val=&quot;00B73A42&quot;/&gt;&lt;wsp:rsid wsp:val=&quot;00B74D0C&quot;/&gt;&lt;wsp:rsid wsp:val=&quot;00B75400&quot;/&gt;&lt;wsp:rsid wsp:val=&quot;00B754B2&quot;/&gt;&lt;wsp:rsid wsp:val=&quot;00B758FC&quot;/&gt;&lt;wsp:rsid wsp:val=&quot;00B76056&quot;/&gt;&lt;wsp:rsid wsp:val=&quot;00B76B67&quot;/&gt;&lt;wsp:rsid wsp:val=&quot;00B774F9&quot;/&gt;&lt;wsp:rsid wsp:val=&quot;00B77F22&quot;/&gt;&lt;wsp:rsid wsp:val=&quot;00B80861&quot;/&gt;&lt;wsp:rsid wsp:val=&quot;00B80A0C&quot;/&gt;&lt;wsp:rsid wsp:val=&quot;00B80BDB&quot;/&gt;&lt;wsp:rsid wsp:val=&quot;00B80C09&quot;/&gt;&lt;wsp:rsid wsp:val=&quot;00B80DCE&quot;/&gt;&lt;wsp:rsid wsp:val=&quot;00B81A8E&quot;/&gt;&lt;wsp:rsid wsp:val=&quot;00B81B49&quot;/&gt;&lt;wsp:rsid wsp:val=&quot;00B81E07&quot;/&gt;&lt;wsp:rsid wsp:val=&quot;00B81E4E&quot;/&gt;&lt;wsp:rsid wsp:val=&quot;00B81F53&quot;/&gt;&lt;wsp:rsid wsp:val=&quot;00B82D7E&quot;/&gt;&lt;wsp:rsid wsp:val=&quot;00B83083&quot;/&gt;&lt;wsp:rsid wsp:val=&quot;00B830FA&quot;/&gt;&lt;wsp:rsid wsp:val=&quot;00B83682&quot;/&gt;&lt;wsp:rsid wsp:val=&quot;00B83820&quot;/&gt;&lt;wsp:rsid wsp:val=&quot;00B83B03&quot;/&gt;&lt;wsp:rsid wsp:val=&quot;00B83CE8&quot;/&gt;&lt;wsp:rsid wsp:val=&quot;00B83D48&quot;/&gt;&lt;wsp:rsid wsp:val=&quot;00B841C8&quot;/&gt;&lt;wsp:rsid wsp:val=&quot;00B86AB1&quot;/&gt;&lt;wsp:rsid wsp:val=&quot;00B86B5B&quot;/&gt;&lt;wsp:rsid wsp:val=&quot;00B874D3&quot;/&gt;&lt;wsp:rsid wsp:val=&quot;00B90516&quot;/&gt;&lt;wsp:rsid wsp:val=&quot;00B906E0&quot;/&gt;&lt;wsp:rsid wsp:val=&quot;00B90D69&quot;/&gt;&lt;wsp:rsid wsp:val=&quot;00B941B7&quot;/&gt;&lt;wsp:rsid wsp:val=&quot;00B9473F&quot;/&gt;&lt;wsp:rsid wsp:val=&quot;00B947F1&quot;/&gt;&lt;wsp:rsid wsp:val=&quot;00B94A0B&quot;/&gt;&lt;wsp:rsid wsp:val=&quot;00B95352&quot;/&gt;&lt;wsp:rsid wsp:val=&quot;00B954EC&quot;/&gt;&lt;wsp:rsid wsp:val=&quot;00B95812&quot;/&gt;&lt;wsp:rsid wsp:val=&quot;00B958CD&quot;/&gt;&lt;wsp:rsid wsp:val=&quot;00B961BD&quot;/&gt;&lt;wsp:rsid wsp:val=&quot;00BA00C8&quot;/&gt;&lt;wsp:rsid wsp:val=&quot;00BA0898&quot;/&gt;&lt;wsp:rsid wsp:val=&quot;00BA096B&quot;/&gt;&lt;wsp:rsid wsp:val=&quot;00BA290B&quot;/&gt;&lt;wsp:rsid wsp:val=&quot;00BA2C30&quot;/&gt;&lt;wsp:rsid wsp:val=&quot;00BA3A8C&quot;/&gt;&lt;wsp:rsid wsp:val=&quot;00BA3BEA&quot;/&gt;&lt;wsp:rsid wsp:val=&quot;00BA4311&quot;/&gt;&lt;wsp:rsid wsp:val=&quot;00BA4B55&quot;/&gt;&lt;wsp:rsid wsp:val=&quot;00BA53E1&quot;/&gt;&lt;wsp:rsid wsp:val=&quot;00BA59A5&quot;/&gt;&lt;wsp:rsid wsp:val=&quot;00BA5D5F&quot;/&gt;&lt;wsp:rsid wsp:val=&quot;00BA5D9D&quot;/&gt;&lt;wsp:rsid wsp:val=&quot;00BA7055&quot;/&gt;&lt;wsp:rsid wsp:val=&quot;00BA73DA&quot;/&gt;&lt;wsp:rsid wsp:val=&quot;00BA7638&quot;/&gt;&lt;wsp:rsid wsp:val=&quot;00BA7BBC&quot;/&gt;&lt;wsp:rsid wsp:val=&quot;00BB0792&quot;/&gt;&lt;wsp:rsid wsp:val=&quot;00BB1789&quot;/&gt;&lt;wsp:rsid wsp:val=&quot;00BB18FA&quot;/&gt;&lt;wsp:rsid wsp:val=&quot;00BB28D5&quot;/&gt;&lt;wsp:rsid wsp:val=&quot;00BB2FF8&quot;/&gt;&lt;wsp:rsid wsp:val=&quot;00BB3B7C&quot;/&gt;&lt;wsp:rsid wsp:val=&quot;00BB5686&quot;/&gt;&lt;wsp:rsid wsp:val=&quot;00BB5CFC&quot;/&gt;&lt;wsp:rsid wsp:val=&quot;00BB5FE5&quot;/&gt;&lt;wsp:rsid wsp:val=&quot;00BB650F&quot;/&gt;&lt;wsp:rsid wsp:val=&quot;00BB730C&quot;/&gt;&lt;wsp:rsid wsp:val=&quot;00BB7314&quot;/&gt;&lt;wsp:rsid wsp:val=&quot;00BB7911&quot;/&gt;&lt;wsp:rsid wsp:val=&quot;00BB7AA8&quot;/&gt;&lt;wsp:rsid wsp:val=&quot;00BC0A8B&quot;/&gt;&lt;wsp:rsid wsp:val=&quot;00BC1036&quot;/&gt;&lt;wsp:rsid wsp:val=&quot;00BC21FE&quot;/&gt;&lt;wsp:rsid wsp:val=&quot;00BC2398&quot;/&gt;&lt;wsp:rsid wsp:val=&quot;00BC2579&quot;/&gt;&lt;wsp:rsid wsp:val=&quot;00BC2CBF&quot;/&gt;&lt;wsp:rsid wsp:val=&quot;00BC3020&quot;/&gt;&lt;wsp:rsid wsp:val=&quot;00BC3809&quot;/&gt;&lt;wsp:rsid wsp:val=&quot;00BC3E79&quot;/&gt;&lt;wsp:rsid wsp:val=&quot;00BC46F7&quot;/&gt;&lt;wsp:rsid wsp:val=&quot;00BC4886&quot;/&gt;&lt;wsp:rsid wsp:val=&quot;00BC4B36&quot;/&gt;&lt;wsp:rsid wsp:val=&quot;00BC60AE&quot;/&gt;&lt;wsp:rsid wsp:val=&quot;00BC6106&quot;/&gt;&lt;wsp:rsid wsp:val=&quot;00BC64EB&quot;/&gt;&lt;wsp:rsid wsp:val=&quot;00BC6712&quot;/&gt;&lt;wsp:rsid wsp:val=&quot;00BC6E07&quot;/&gt;&lt;wsp:rsid wsp:val=&quot;00BC7267&quot;/&gt;&lt;wsp:rsid wsp:val=&quot;00BD18C4&quot;/&gt;&lt;wsp:rsid wsp:val=&quot;00BD1AE3&quot;/&gt;&lt;wsp:rsid wsp:val=&quot;00BD1CAC&quot;/&gt;&lt;wsp:rsid wsp:val=&quot;00BD20FE&quot;/&gt;&lt;wsp:rsid wsp:val=&quot;00BD275C&quot;/&gt;&lt;wsp:rsid wsp:val=&quot;00BD3301&quot;/&gt;&lt;wsp:rsid wsp:val=&quot;00BD3F0B&quot;/&gt;&lt;wsp:rsid wsp:val=&quot;00BD42AA&quot;/&gt;&lt;wsp:rsid wsp:val=&quot;00BD448B&quot;/&gt;&lt;wsp:rsid wsp:val=&quot;00BD4815&quot;/&gt;&lt;wsp:rsid wsp:val=&quot;00BD4B96&quot;/&gt;&lt;wsp:rsid wsp:val=&quot;00BD51E0&quot;/&gt;&lt;wsp:rsid wsp:val=&quot;00BD55E7&quot;/&gt;&lt;wsp:rsid wsp:val=&quot;00BD568D&quot;/&gt;&lt;wsp:rsid wsp:val=&quot;00BD5D1B&quot;/&gt;&lt;wsp:rsid wsp:val=&quot;00BD5E0D&quot;/&gt;&lt;wsp:rsid wsp:val=&quot;00BD5F25&quot;/&gt;&lt;wsp:rsid wsp:val=&quot;00BD6ABC&quot;/&gt;&lt;wsp:rsid wsp:val=&quot;00BD6C59&quot;/&gt;&lt;wsp:rsid wsp:val=&quot;00BD765F&quot;/&gt;&lt;wsp:rsid wsp:val=&quot;00BD7D92&quot;/&gt;&lt;wsp:rsid wsp:val=&quot;00BE076C&quot;/&gt;&lt;wsp:rsid wsp:val=&quot;00BE08F3&quot;/&gt;&lt;wsp:rsid wsp:val=&quot;00BE0EF2&quot;/&gt;&lt;wsp:rsid wsp:val=&quot;00BE1245&quot;/&gt;&lt;wsp:rsid wsp:val=&quot;00BE14D4&quot;/&gt;&lt;wsp:rsid wsp:val=&quot;00BE17EC&quot;/&gt;&lt;wsp:rsid wsp:val=&quot;00BE31DD&quot;/&gt;&lt;wsp:rsid wsp:val=&quot;00BE3A08&quot;/&gt;&lt;wsp:rsid wsp:val=&quot;00BE4F42&quot;/&gt;&lt;wsp:rsid wsp:val=&quot;00BE50FE&quot;/&gt;&lt;wsp:rsid wsp:val=&quot;00BE545D&quot;/&gt;&lt;wsp:rsid wsp:val=&quot;00BE5A48&quot;/&gt;&lt;wsp:rsid wsp:val=&quot;00BE5FFC&quot;/&gt;&lt;wsp:rsid wsp:val=&quot;00BE668D&quot;/&gt;&lt;wsp:rsid wsp:val=&quot;00BE6CF3&quot;/&gt;&lt;wsp:rsid wsp:val=&quot;00BE6F56&quot;/&gt;&lt;wsp:rsid wsp:val=&quot;00BE7CBF&quot;/&gt;&lt;wsp:rsid wsp:val=&quot;00BF0D1A&quot;/&gt;&lt;wsp:rsid wsp:val=&quot;00BF0D62&quot;/&gt;&lt;wsp:rsid wsp:val=&quot;00BF1EBF&quot;/&gt;&lt;wsp:rsid wsp:val=&quot;00BF20FF&quot;/&gt;&lt;wsp:rsid wsp:val=&quot;00BF22AF&quot;/&gt;&lt;wsp:rsid wsp:val=&quot;00BF2A56&quot;/&gt;&lt;wsp:rsid wsp:val=&quot;00BF2AA3&quot;/&gt;&lt;wsp:rsid wsp:val=&quot;00BF31DB&quot;/&gt;&lt;wsp:rsid wsp:val=&quot;00BF343A&quot;/&gt;&lt;wsp:rsid wsp:val=&quot;00BF43E5&quot;/&gt;&lt;wsp:rsid wsp:val=&quot;00BF4C02&quot;/&gt;&lt;wsp:rsid wsp:val=&quot;00BF5160&quot;/&gt;&lt;wsp:rsid wsp:val=&quot;00BF5241&quot;/&gt;&lt;wsp:rsid wsp:val=&quot;00BF592F&quot;/&gt;&lt;wsp:rsid wsp:val=&quot;00BF6115&quot;/&gt;&lt;wsp:rsid wsp:val=&quot;00BF651E&quot;/&gt;&lt;wsp:rsid wsp:val=&quot;00BF6EE5&quot;/&gt;&lt;wsp:rsid wsp:val=&quot;00BF71E2&quot;/&gt;&lt;wsp:rsid wsp:val=&quot;00BF735C&quot;/&gt;&lt;wsp:rsid wsp:val=&quot;00BF7D09&quot;/&gt;&lt;wsp:rsid wsp:val=&quot;00C0081C&quot;/&gt;&lt;wsp:rsid wsp:val=&quot;00C01539&quot;/&gt;&lt;wsp:rsid wsp:val=&quot;00C0159B&quot;/&gt;&lt;wsp:rsid wsp:val=&quot;00C0191E&quot;/&gt;&lt;wsp:rsid wsp:val=&quot;00C01F2C&quot;/&gt;&lt;wsp:rsid wsp:val=&quot;00C02A4A&quot;/&gt;&lt;wsp:rsid wsp:val=&quot;00C03452&quot;/&gt;&lt;wsp:rsid wsp:val=&quot;00C0364E&quot;/&gt;&lt;wsp:rsid wsp:val=&quot;00C04A5F&quot;/&gt;&lt;wsp:rsid wsp:val=&quot;00C05365&quot;/&gt;&lt;wsp:rsid wsp:val=&quot;00C06F4A&quot;/&gt;&lt;wsp:rsid wsp:val=&quot;00C06FC2&quot;/&gt;&lt;wsp:rsid wsp:val=&quot;00C071E9&quot;/&gt;&lt;wsp:rsid wsp:val=&quot;00C0722B&quot;/&gt;&lt;wsp:rsid wsp:val=&quot;00C074AE&quot;/&gt;&lt;wsp:rsid wsp:val=&quot;00C07566&quot;/&gt;&lt;wsp:rsid wsp:val=&quot;00C07628&quot;/&gt;&lt;wsp:rsid wsp:val=&quot;00C0781A&quot;/&gt;&lt;wsp:rsid wsp:val=&quot;00C07A90&quot;/&gt;&lt;wsp:rsid wsp:val=&quot;00C07BE6&quot;/&gt;&lt;wsp:rsid wsp:val=&quot;00C07F54&quot;/&gt;&lt;wsp:rsid wsp:val=&quot;00C101D4&quot;/&gt;&lt;wsp:rsid wsp:val=&quot;00C104FD&quot;/&gt;&lt;wsp:rsid wsp:val=&quot;00C107A3&quot;/&gt;&lt;wsp:rsid wsp:val=&quot;00C10C07&quot;/&gt;&lt;wsp:rsid wsp:val=&quot;00C111DE&quot;/&gt;&lt;wsp:rsid wsp:val=&quot;00C11512&quot;/&gt;&lt;wsp:rsid wsp:val=&quot;00C121C5&quot;/&gt;&lt;wsp:rsid wsp:val=&quot;00C12BB1&quot;/&gt;&lt;wsp:rsid wsp:val=&quot;00C13292&quot;/&gt;&lt;wsp:rsid wsp:val=&quot;00C1396A&quot;/&gt;&lt;wsp:rsid wsp:val=&quot;00C142AE&quot;/&gt;&lt;wsp:rsid wsp:val=&quot;00C14421&quot;/&gt;&lt;wsp:rsid wsp:val=&quot;00C15108&quot;/&gt;&lt;wsp:rsid wsp:val=&quot;00C1523B&quot;/&gt;&lt;wsp:rsid wsp:val=&quot;00C154E0&quot;/&gt;&lt;wsp:rsid wsp:val=&quot;00C168C0&quot;/&gt;&lt;wsp:rsid wsp:val=&quot;00C1729F&quot;/&gt;&lt;wsp:rsid wsp:val=&quot;00C173EE&quot;/&gt;&lt;wsp:rsid wsp:val=&quot;00C207D1&quot;/&gt;&lt;wsp:rsid wsp:val=&quot;00C20EB8&quot;/&gt;&lt;wsp:rsid wsp:val=&quot;00C2106B&quot;/&gt;&lt;wsp:rsid wsp:val=&quot;00C21340&quot;/&gt;&lt;wsp:rsid wsp:val=&quot;00C21AC0&quot;/&gt;&lt;wsp:rsid wsp:val=&quot;00C226BD&quot;/&gt;&lt;wsp:rsid wsp:val=&quot;00C2296A&quot;/&gt;&lt;wsp:rsid wsp:val=&quot;00C22ADB&quot;/&gt;&lt;wsp:rsid wsp:val=&quot;00C22CE6&quot;/&gt;&lt;wsp:rsid wsp:val=&quot;00C23987&quot;/&gt;&lt;wsp:rsid wsp:val=&quot;00C23D95&quot;/&gt;&lt;wsp:rsid wsp:val=&quot;00C24BD6&quot;/&gt;&lt;wsp:rsid wsp:val=&quot;00C25408&quot;/&gt;&lt;wsp:rsid wsp:val=&quot;00C26CE0&quot;/&gt;&lt;wsp:rsid wsp:val=&quot;00C273BE&quot;/&gt;&lt;wsp:rsid wsp:val=&quot;00C274A7&quot;/&gt;&lt;wsp:rsid wsp:val=&quot;00C27644&quot;/&gt;&lt;wsp:rsid wsp:val=&quot;00C277F7&quot;/&gt;&lt;wsp:rsid wsp:val=&quot;00C30895&quot;/&gt;&lt;wsp:rsid wsp:val=&quot;00C30996&quot;/&gt;&lt;wsp:rsid wsp:val=&quot;00C31B7A&quot;/&gt;&lt;wsp:rsid wsp:val=&quot;00C31D6D&quot;/&gt;&lt;wsp:rsid wsp:val=&quot;00C322FC&quot;/&gt;&lt;wsp:rsid wsp:val=&quot;00C3253B&quot;/&gt;&lt;wsp:rsid wsp:val=&quot;00C326DF&quot;/&gt;&lt;wsp:rsid wsp:val=&quot;00C3281B&quot;/&gt;&lt;wsp:rsid wsp:val=&quot;00C328CC&quot;/&gt;&lt;wsp:rsid wsp:val=&quot;00C32E5C&quot;/&gt;&lt;wsp:rsid wsp:val=&quot;00C333A4&quot;/&gt;&lt;wsp:rsid wsp:val=&quot;00C336AC&quot;/&gt;&lt;wsp:rsid wsp:val=&quot;00C347A9&quot;/&gt;&lt;wsp:rsid wsp:val=&quot;00C34A1D&quot;/&gt;&lt;wsp:rsid wsp:val=&quot;00C34F4E&quot;/&gt;&lt;wsp:rsid wsp:val=&quot;00C3543D&quot;/&gt;&lt;wsp:rsid wsp:val=&quot;00C35509&quot;/&gt;&lt;wsp:rsid wsp:val=&quot;00C35B08&quot;/&gt;&lt;wsp:rsid wsp:val=&quot;00C36554&quot;/&gt;&lt;wsp:rsid wsp:val=&quot;00C3664E&quot;/&gt;&lt;wsp:rsid wsp:val=&quot;00C3756F&quot;/&gt;&lt;wsp:rsid wsp:val=&quot;00C37668&quot;/&gt;&lt;wsp:rsid wsp:val=&quot;00C37B38&quot;/&gt;&lt;wsp:rsid wsp:val=&quot;00C402C3&quot;/&gt;&lt;wsp:rsid wsp:val=&quot;00C40F6B&quot;/&gt;&lt;wsp:rsid wsp:val=&quot;00C40F8C&quot;/&gt;&lt;wsp:rsid wsp:val=&quot;00C4155C&quot;/&gt;&lt;wsp:rsid wsp:val=&quot;00C41BA1&quot;/&gt;&lt;wsp:rsid wsp:val=&quot;00C42371&quot;/&gt;&lt;wsp:rsid wsp:val=&quot;00C43D1A&quot;/&gt;&lt;wsp:rsid wsp:val=&quot;00C43E58&quot;/&gt;&lt;wsp:rsid wsp:val=&quot;00C43EFE&quot;/&gt;&lt;wsp:rsid wsp:val=&quot;00C44089&quot;/&gt;&lt;wsp:rsid wsp:val=&quot;00C45D0A&quot;/&gt;&lt;wsp:rsid wsp:val=&quot;00C45F62&quot;/&gt;&lt;wsp:rsid wsp:val=&quot;00C46281&quot;/&gt;&lt;wsp:rsid wsp:val=&quot;00C46D87&quot;/&gt;&lt;wsp:rsid wsp:val=&quot;00C46E20&quot;/&gt;&lt;wsp:rsid wsp:val=&quot;00C473A9&quot;/&gt;&lt;wsp:rsid wsp:val=&quot;00C473CE&quot;/&gt;&lt;wsp:rsid wsp:val=&quot;00C47A98&quot;/&gt;&lt;wsp:rsid wsp:val=&quot;00C47AA1&quot;/&gt;&lt;wsp:rsid wsp:val=&quot;00C50367&quot;/&gt;&lt;wsp:rsid wsp:val=&quot;00C50BBB&quot;/&gt;&lt;wsp:rsid wsp:val=&quot;00C51CFC&quot;/&gt;&lt;wsp:rsid wsp:val=&quot;00C51F60&quot;/&gt;&lt;wsp:rsid wsp:val=&quot;00C521D2&quot;/&gt;&lt;wsp:rsid wsp:val=&quot;00C5264C&quot;/&gt;&lt;wsp:rsid wsp:val=&quot;00C52A27&quot;/&gt;&lt;wsp:rsid wsp:val=&quot;00C53283&quot;/&gt;&lt;wsp:rsid wsp:val=&quot;00C548A4&quot;/&gt;&lt;wsp:rsid wsp:val=&quot;00C548AA&quot;/&gt;&lt;wsp:rsid wsp:val=&quot;00C5497D&quot;/&gt;&lt;wsp:rsid wsp:val=&quot;00C54F10&quot;/&gt;&lt;wsp:rsid wsp:val=&quot;00C556EA&quot;/&gt;&lt;wsp:rsid wsp:val=&quot;00C56080&quot;/&gt;&lt;wsp:rsid wsp:val=&quot;00C568AD&quot;/&gt;&lt;wsp:rsid wsp:val=&quot;00C57574&quot;/&gt;&lt;wsp:rsid wsp:val=&quot;00C60A2B&quot;/&gt;&lt;wsp:rsid wsp:val=&quot;00C60CA5&quot;/&gt;&lt;wsp:rsid wsp:val=&quot;00C618B1&quot;/&gt;&lt;wsp:rsid wsp:val=&quot;00C619F2&quot;/&gt;&lt;wsp:rsid wsp:val=&quot;00C61C14&quot;/&gt;&lt;wsp:rsid wsp:val=&quot;00C61D31&quot;/&gt;&lt;wsp:rsid wsp:val=&quot;00C62029&quot;/&gt;&lt;wsp:rsid wsp:val=&quot;00C62090&quot;/&gt;&lt;wsp:rsid wsp:val=&quot;00C62652&quot;/&gt;&lt;wsp:rsid wsp:val=&quot;00C62E29&quot;/&gt;&lt;wsp:rsid wsp:val=&quot;00C631EB&quot;/&gt;&lt;wsp:rsid wsp:val=&quot;00C635F6&quot;/&gt;&lt;wsp:rsid wsp:val=&quot;00C63CF7&quot;/&gt;&lt;wsp:rsid wsp:val=&quot;00C640D3&quot;/&gt;&lt;wsp:rsid wsp:val=&quot;00C648A7&quot;/&gt;&lt;wsp:rsid wsp:val=&quot;00C64B28&quot;/&gt;&lt;wsp:rsid wsp:val=&quot;00C653D9&quot;/&gt;&lt;wsp:rsid wsp:val=&quot;00C65511&quot;/&gt;&lt;wsp:rsid wsp:val=&quot;00C664D4&quot;/&gt;&lt;wsp:rsid wsp:val=&quot;00C66B86&quot;/&gt;&lt;wsp:rsid wsp:val=&quot;00C671B9&quot;/&gt;&lt;wsp:rsid wsp:val=&quot;00C679E2&quot;/&gt;&lt;wsp:rsid wsp:val=&quot;00C70415&quot;/&gt;&lt;wsp:rsid wsp:val=&quot;00C7085C&quot;/&gt;&lt;wsp:rsid wsp:val=&quot;00C716D3&quot;/&gt;&lt;wsp:rsid wsp:val=&quot;00C71C2C&quot;/&gt;&lt;wsp:rsid wsp:val=&quot;00C7244F&quot;/&gt;&lt;wsp:rsid wsp:val=&quot;00C72BEA&quot;/&gt;&lt;wsp:rsid wsp:val=&quot;00C73249&quot;/&gt;&lt;wsp:rsid wsp:val=&quot;00C7358C&quot;/&gt;&lt;wsp:rsid wsp:val=&quot;00C73DA0&quot;/&gt;&lt;wsp:rsid wsp:val=&quot;00C74554&quot;/&gt;&lt;wsp:rsid wsp:val=&quot;00C7455B&quot;/&gt;&lt;wsp:rsid wsp:val=&quot;00C74AD9&quot;/&gt;&lt;wsp:rsid wsp:val=&quot;00C74FA2&quot;/&gt;&lt;wsp:rsid wsp:val=&quot;00C75717&quot;/&gt;&lt;wsp:rsid wsp:val=&quot;00C7590A&quot;/&gt;&lt;wsp:rsid wsp:val=&quot;00C76316&quot;/&gt;&lt;wsp:rsid wsp:val=&quot;00C80203&quot;/&gt;&lt;wsp:rsid wsp:val=&quot;00C80376&quot;/&gt;&lt;wsp:rsid wsp:val=&quot;00C8071A&quot;/&gt;&lt;wsp:rsid wsp:val=&quot;00C80ADC&quot;/&gt;&lt;wsp:rsid wsp:val=&quot;00C80D48&quot;/&gt;&lt;wsp:rsid wsp:val=&quot;00C810C3&quot;/&gt;&lt;wsp:rsid wsp:val=&quot;00C81560&quot;/&gt;&lt;wsp:rsid wsp:val=&quot;00C8257D&quot;/&gt;&lt;wsp:rsid wsp:val=&quot;00C82AB2&quot;/&gt;&lt;wsp:rsid wsp:val=&quot;00C8350D&quot;/&gt;&lt;wsp:rsid wsp:val=&quot;00C8434E&quot;/&gt;&lt;wsp:rsid wsp:val=&quot;00C8484D&quot;/&gt;&lt;wsp:rsid wsp:val=&quot;00C85446&quot;/&gt;&lt;wsp:rsid wsp:val=&quot;00C855E2&quot;/&gt;&lt;wsp:rsid wsp:val=&quot;00C85C11&quot;/&gt;&lt;wsp:rsid wsp:val=&quot;00C8617E&quot;/&gt;&lt;wsp:rsid wsp:val=&quot;00C86827&quot;/&gt;&lt;wsp:rsid wsp:val=&quot;00C86868&quot;/&gt;&lt;wsp:rsid wsp:val=&quot;00C87CF0&quot;/&gt;&lt;wsp:rsid wsp:val=&quot;00C87D97&quot;/&gt;&lt;wsp:rsid wsp:val=&quot;00C900EB&quot;/&gt;&lt;wsp:rsid wsp:val=&quot;00C904FB&quot;/&gt;&lt;wsp:rsid wsp:val=&quot;00C90562&quot;/&gt;&lt;wsp:rsid wsp:val=&quot;00C90A7A&quot;/&gt;&lt;wsp:rsid wsp:val=&quot;00C91001&quot;/&gt;&lt;wsp:rsid wsp:val=&quot;00C910AD&quot;/&gt;&lt;wsp:rsid wsp:val=&quot;00C9258E&quot;/&gt;&lt;wsp:rsid wsp:val=&quot;00C926AA&quot;/&gt;&lt;wsp:rsid wsp:val=&quot;00C93008&quot;/&gt;&lt;wsp:rsid wsp:val=&quot;00C93731&quot;/&gt;&lt;wsp:rsid wsp:val=&quot;00C94DF5&quot;/&gt;&lt;wsp:rsid wsp:val=&quot;00C9565A&quot;/&gt;&lt;wsp:rsid wsp:val=&quot;00C956E6&quot;/&gt;&lt;wsp:rsid wsp:val=&quot;00C957D5&quot;/&gt;&lt;wsp:rsid wsp:val=&quot;00C95BF2&quot;/&gt;&lt;wsp:rsid wsp:val=&quot;00C96029&quot;/&gt;&lt;wsp:rsid wsp:val=&quot;00C964BE&quot;/&gt;&lt;wsp:rsid wsp:val=&quot;00C9689F&quot;/&gt;&lt;wsp:rsid wsp:val=&quot;00C96DA3&quot;/&gt;&lt;wsp:rsid wsp:val=&quot;00C97A18&quot;/&gt;&lt;wsp:rsid wsp:val=&quot;00CA0238&quot;/&gt;&lt;wsp:rsid wsp:val=&quot;00CA023D&quot;/&gt;&lt;wsp:rsid wsp:val=&quot;00CA153D&quot;/&gt;&lt;wsp:rsid wsp:val=&quot;00CA1C8C&quot;/&gt;&lt;wsp:rsid wsp:val=&quot;00CA211B&quot;/&gt;&lt;wsp:rsid wsp:val=&quot;00CA31C0&quot;/&gt;&lt;wsp:rsid wsp:val=&quot;00CA3B1D&quot;/&gt;&lt;wsp:rsid wsp:val=&quot;00CA4332&quot;/&gt;&lt;wsp:rsid wsp:val=&quot;00CA46B6&quot;/&gt;&lt;wsp:rsid wsp:val=&quot;00CA51AA&quot;/&gt;&lt;wsp:rsid wsp:val=&quot;00CA607E&quot;/&gt;&lt;wsp:rsid wsp:val=&quot;00CA6A29&quot;/&gt;&lt;wsp:rsid wsp:val=&quot;00CA6D2C&quot;/&gt;&lt;wsp:rsid wsp:val=&quot;00CA6FB3&quot;/&gt;&lt;wsp:rsid wsp:val=&quot;00CA724B&quot;/&gt;&lt;wsp:rsid wsp:val=&quot;00CA7312&quot;/&gt;&lt;wsp:rsid wsp:val=&quot;00CA7408&quot;/&gt;&lt;wsp:rsid wsp:val=&quot;00CB003A&quot;/&gt;&lt;wsp:rsid wsp:val=&quot;00CB08C5&quot;/&gt;&lt;wsp:rsid wsp:val=&quot;00CB1003&quot;/&gt;&lt;wsp:rsid wsp:val=&quot;00CB1A90&quot;/&gt;&lt;wsp:rsid wsp:val=&quot;00CB2551&quot;/&gt;&lt;wsp:rsid wsp:val=&quot;00CB2687&quot;/&gt;&lt;wsp:rsid wsp:val=&quot;00CB2A58&quot;/&gt;&lt;wsp:rsid wsp:val=&quot;00CB3093&quot;/&gt;&lt;wsp:rsid wsp:val=&quot;00CB3203&quot;/&gt;&lt;wsp:rsid wsp:val=&quot;00CB353C&quot;/&gt;&lt;wsp:rsid wsp:val=&quot;00CB379B&quot;/&gt;&lt;wsp:rsid wsp:val=&quot;00CB42CB&quot;/&gt;&lt;wsp:rsid wsp:val=&quot;00CB43F8&quot;/&gt;&lt;wsp:rsid wsp:val=&quot;00CB4726&quot;/&gt;&lt;wsp:rsid wsp:val=&quot;00CB4779&quot;/&gt;&lt;wsp:rsid wsp:val=&quot;00CB4894&quot;/&gt;&lt;wsp:rsid wsp:val=&quot;00CB4CBE&quot;/&gt;&lt;wsp:rsid wsp:val=&quot;00CB4CCF&quot;/&gt;&lt;wsp:rsid wsp:val=&quot;00CB521E&quot;/&gt;&lt;wsp:rsid wsp:val=&quot;00CB542D&quot;/&gt;&lt;wsp:rsid wsp:val=&quot;00CB5430&quot;/&gt;&lt;wsp:rsid wsp:val=&quot;00CB5844&quot;/&gt;&lt;wsp:rsid wsp:val=&quot;00CB5A94&quot;/&gt;&lt;wsp:rsid wsp:val=&quot;00CB5AB9&quot;/&gt;&lt;wsp:rsid wsp:val=&quot;00CB61CC&quot;/&gt;&lt;wsp:rsid wsp:val=&quot;00CB61D4&quot;/&gt;&lt;wsp:rsid wsp:val=&quot;00CB69BB&quot;/&gt;&lt;wsp:rsid wsp:val=&quot;00CB6DC0&quot;/&gt;&lt;wsp:rsid wsp:val=&quot;00CB718B&quot;/&gt;&lt;wsp:rsid wsp:val=&quot;00CB79EE&quot;/&gt;&lt;wsp:rsid wsp:val=&quot;00CC0596&quot;/&gt;&lt;wsp:rsid wsp:val=&quot;00CC1B92&quot;/&gt;&lt;wsp:rsid wsp:val=&quot;00CC35D1&quot;/&gt;&lt;wsp:rsid wsp:val=&quot;00CC3F18&quot;/&gt;&lt;wsp:rsid wsp:val=&quot;00CC4376&quot;/&gt;&lt;wsp:rsid wsp:val=&quot;00CC52C7&quot;/&gt;&lt;wsp:rsid wsp:val=&quot;00CC57AE&quot;/&gt;&lt;wsp:rsid wsp:val=&quot;00CC5EFC&quot;/&gt;&lt;wsp:rsid wsp:val=&quot;00CC60F5&quot;/&gt;&lt;wsp:rsid wsp:val=&quot;00CC6643&quot;/&gt;&lt;wsp:rsid wsp:val=&quot;00CC6873&quot;/&gt;&lt;wsp:rsid wsp:val=&quot;00CC69BE&quot;/&gt;&lt;wsp:rsid wsp:val=&quot;00CD000C&quot;/&gt;&lt;wsp:rsid wsp:val=&quot;00CD03BA&quot;/&gt;&lt;wsp:rsid wsp:val=&quot;00CD046E&quot;/&gt;&lt;wsp:rsid wsp:val=&quot;00CD07CE&quot;/&gt;&lt;wsp:rsid wsp:val=&quot;00CD0B00&quot;/&gt;&lt;wsp:rsid wsp:val=&quot;00CD0ED3&quot;/&gt;&lt;wsp:rsid wsp:val=&quot;00CD109D&quot;/&gt;&lt;wsp:rsid wsp:val=&quot;00CD110C&quot;/&gt;&lt;wsp:rsid wsp:val=&quot;00CD13B5&quot;/&gt;&lt;wsp:rsid wsp:val=&quot;00CD1691&quot;/&gt;&lt;wsp:rsid wsp:val=&quot;00CD1824&quot;/&gt;&lt;wsp:rsid wsp:val=&quot;00CD2620&quot;/&gt;&lt;wsp:rsid wsp:val=&quot;00CD2BC0&quot;/&gt;&lt;wsp:rsid wsp:val=&quot;00CD33CE&quot;/&gt;&lt;wsp:rsid wsp:val=&quot;00CD37D2&quot;/&gt;&lt;wsp:rsid wsp:val=&quot;00CD395D&quot;/&gt;&lt;wsp:rsid wsp:val=&quot;00CD3C44&quot;/&gt;&lt;wsp:rsid wsp:val=&quot;00CD3CAF&quot;/&gt;&lt;wsp:rsid wsp:val=&quot;00CD3D80&quot;/&gt;&lt;wsp:rsid wsp:val=&quot;00CD4772&quot;/&gt;&lt;wsp:rsid wsp:val=&quot;00CD49A6&quot;/&gt;&lt;wsp:rsid wsp:val=&quot;00CD5513&quot;/&gt;&lt;wsp:rsid wsp:val=&quot;00CD59A2&quot;/&gt;&lt;wsp:rsid wsp:val=&quot;00CD6034&quot;/&gt;&lt;wsp:rsid wsp:val=&quot;00CD6E62&quot;/&gt;&lt;wsp:rsid wsp:val=&quot;00CD7345&quot;/&gt;&lt;wsp:rsid wsp:val=&quot;00CD7852&quot;/&gt;&lt;wsp:rsid wsp:val=&quot;00CD7F61&quot;/&gt;&lt;wsp:rsid wsp:val=&quot;00CE0128&quot;/&gt;&lt;wsp:rsid wsp:val=&quot;00CE0139&quot;/&gt;&lt;wsp:rsid wsp:val=&quot;00CE04DE&quot;/&gt;&lt;wsp:rsid wsp:val=&quot;00CE1686&quot;/&gt;&lt;wsp:rsid wsp:val=&quot;00CE2B51&quot;/&gt;&lt;wsp:rsid wsp:val=&quot;00CE319B&quot;/&gt;&lt;wsp:rsid wsp:val=&quot;00CE3486&quot;/&gt;&lt;wsp:rsid wsp:val=&quot;00CE3AD8&quot;/&gt;&lt;wsp:rsid wsp:val=&quot;00CE4380&quot;/&gt;&lt;wsp:rsid wsp:val=&quot;00CE4439&quot;/&gt;&lt;wsp:rsid wsp:val=&quot;00CE4953&quot;/&gt;&lt;wsp:rsid wsp:val=&quot;00CE4C32&quot;/&gt;&lt;wsp:rsid wsp:val=&quot;00CE4F84&quot;/&gt;&lt;wsp:rsid wsp:val=&quot;00CE5D99&quot;/&gt;&lt;wsp:rsid wsp:val=&quot;00CE6961&quot;/&gt;&lt;wsp:rsid wsp:val=&quot;00CE6FC8&quot;/&gt;&lt;wsp:rsid wsp:val=&quot;00CF1130&quot;/&gt;&lt;wsp:rsid wsp:val=&quot;00CF1EFC&quot;/&gt;&lt;wsp:rsid wsp:val=&quot;00CF2575&quot;/&gt;&lt;wsp:rsid wsp:val=&quot;00CF25CE&quot;/&gt;&lt;wsp:rsid wsp:val=&quot;00CF308D&quot;/&gt;&lt;wsp:rsid wsp:val=&quot;00CF32B9&quot;/&gt;&lt;wsp:rsid wsp:val=&quot;00CF3368&quot;/&gt;&lt;wsp:rsid wsp:val=&quot;00CF4390&quot;/&gt;&lt;wsp:rsid wsp:val=&quot;00CF46A8&quot;/&gt;&lt;wsp:rsid wsp:val=&quot;00CF46B2&quot;/&gt;&lt;wsp:rsid wsp:val=&quot;00CF46D3&quot;/&gt;&lt;wsp:rsid wsp:val=&quot;00CF4935&quot;/&gt;&lt;wsp:rsid wsp:val=&quot;00CF4ECC&quot;/&gt;&lt;wsp:rsid wsp:val=&quot;00CF5438&quot;/&gt;&lt;wsp:rsid wsp:val=&quot;00CF75B9&quot;/&gt;&lt;wsp:rsid wsp:val=&quot;00CF7B57&quot;/&gt;&lt;wsp:rsid wsp:val=&quot;00CF7D9A&quot;/&gt;&lt;wsp:rsid wsp:val=&quot;00D00C44&quot;/&gt;&lt;wsp:rsid wsp:val=&quot;00D00DED&quot;/&gt;&lt;wsp:rsid wsp:val=&quot;00D01426&quot;/&gt;&lt;wsp:rsid wsp:val=&quot;00D016A9&quot;/&gt;&lt;wsp:rsid wsp:val=&quot;00D02590&quot;/&gt;&lt;wsp:rsid wsp:val=&quot;00D032CA&quot;/&gt;&lt;wsp:rsid wsp:val=&quot;00D034F9&quot;/&gt;&lt;wsp:rsid wsp:val=&quot;00D03950&quot;/&gt;&lt;wsp:rsid wsp:val=&quot;00D05498&quot;/&gt;&lt;wsp:rsid wsp:val=&quot;00D056D2&quot;/&gt;&lt;wsp:rsid wsp:val=&quot;00D057CA&quot;/&gt;&lt;wsp:rsid wsp:val=&quot;00D06620&quot;/&gt;&lt;wsp:rsid wsp:val=&quot;00D07755&quot;/&gt;&lt;wsp:rsid wsp:val=&quot;00D07BE4&quot;/&gt;&lt;wsp:rsid wsp:val=&quot;00D07C42&quot;/&gt;&lt;wsp:rsid wsp:val=&quot;00D101F4&quot;/&gt;&lt;wsp:rsid wsp:val=&quot;00D1106B&quot;/&gt;&lt;wsp:rsid wsp:val=&quot;00D138DF&quot;/&gt;&lt;wsp:rsid wsp:val=&quot;00D13903&quot;/&gt;&lt;wsp:rsid wsp:val=&quot;00D13B98&quot;/&gt;&lt;wsp:rsid wsp:val=&quot;00D14125&quot;/&gt;&lt;wsp:rsid wsp:val=&quot;00D1424D&quot;/&gt;&lt;wsp:rsid wsp:val=&quot;00D1429B&quot;/&gt;&lt;wsp:rsid wsp:val=&quot;00D14EC2&quot;/&gt;&lt;wsp:rsid wsp:val=&quot;00D1543D&quot;/&gt;&lt;wsp:rsid wsp:val=&quot;00D1617E&quot;/&gt;&lt;wsp:rsid wsp:val=&quot;00D1672B&quot;/&gt;&lt;wsp:rsid wsp:val=&quot;00D167BA&quot;/&gt;&lt;wsp:rsid wsp:val=&quot;00D16958&quot;/&gt;&lt;wsp:rsid wsp:val=&quot;00D17A60&quot;/&gt;&lt;wsp:rsid wsp:val=&quot;00D17AAC&quot;/&gt;&lt;wsp:rsid wsp:val=&quot;00D20534&quot;/&gt;&lt;wsp:rsid wsp:val=&quot;00D20F1F&quot;/&gt;&lt;wsp:rsid wsp:val=&quot;00D2290E&quot;/&gt;&lt;wsp:rsid wsp:val=&quot;00D22D69&quot;/&gt;&lt;wsp:rsid wsp:val=&quot;00D23224&quot;/&gt;&lt;wsp:rsid wsp:val=&quot;00D235FB&quot;/&gt;&lt;wsp:rsid wsp:val=&quot;00D2367C&quot;/&gt;&lt;wsp:rsid wsp:val=&quot;00D24559&quot;/&gt;&lt;wsp:rsid wsp:val=&quot;00D25C22&quot;/&gt;&lt;wsp:rsid wsp:val=&quot;00D25CCB&quot;/&gt;&lt;wsp:rsid wsp:val=&quot;00D26030&quot;/&gt;&lt;wsp:rsid wsp:val=&quot;00D268B2&quot;/&gt;&lt;wsp:rsid wsp:val=&quot;00D26E53&quot;/&gt;&lt;wsp:rsid wsp:val=&quot;00D2714D&quot;/&gt;&lt;wsp:rsid wsp:val=&quot;00D27B6C&quot;/&gt;&lt;wsp:rsid wsp:val=&quot;00D3004E&quot;/&gt;&lt;wsp:rsid wsp:val=&quot;00D3043E&quot;/&gt;&lt;wsp:rsid wsp:val=&quot;00D31801&quot;/&gt;&lt;wsp:rsid wsp:val=&quot;00D32353&quot;/&gt;&lt;wsp:rsid wsp:val=&quot;00D32FC5&quot;/&gt;&lt;wsp:rsid wsp:val=&quot;00D3333D&quot;/&gt;&lt;wsp:rsid wsp:val=&quot;00D3382C&quot;/&gt;&lt;wsp:rsid wsp:val=&quot;00D348C8&quot;/&gt;&lt;wsp:rsid wsp:val=&quot;00D3518F&quot;/&gt;&lt;wsp:rsid wsp:val=&quot;00D35BFD&quot;/&gt;&lt;wsp:rsid wsp:val=&quot;00D360E4&quot;/&gt;&lt;wsp:rsid wsp:val=&quot;00D3685B&quot;/&gt;&lt;wsp:rsid wsp:val=&quot;00D36E28&quot;/&gt;&lt;wsp:rsid wsp:val=&quot;00D3711C&quot;/&gt;&lt;wsp:rsid wsp:val=&quot;00D37D8D&quot;/&gt;&lt;wsp:rsid wsp:val=&quot;00D41027&quot;/&gt;&lt;wsp:rsid wsp:val=&quot;00D420AC&quot;/&gt;&lt;wsp:rsid wsp:val=&quot;00D422F2&quot;/&gt;&lt;wsp:rsid wsp:val=&quot;00D42920&quot;/&gt;&lt;wsp:rsid wsp:val=&quot;00D42987&quot;/&gt;&lt;wsp:rsid wsp:val=&quot;00D42B45&quot;/&gt;&lt;wsp:rsid wsp:val=&quot;00D42B9E&quot;/&gt;&lt;wsp:rsid wsp:val=&quot;00D43229&quot;/&gt;&lt;wsp:rsid wsp:val=&quot;00D443AE&quot;/&gt;&lt;wsp:rsid wsp:val=&quot;00D46480&quot;/&gt;&lt;wsp:rsid wsp:val=&quot;00D46C14&quot;/&gt;&lt;wsp:rsid wsp:val=&quot;00D46D0E&quot;/&gt;&lt;wsp:rsid wsp:val=&quot;00D50E0C&quot;/&gt;&lt;wsp:rsid wsp:val=&quot;00D51171&quot;/&gt;&lt;wsp:rsid wsp:val=&quot;00D5190B&quot;/&gt;&lt;wsp:rsid wsp:val=&quot;00D51F19&quot;/&gt;&lt;wsp:rsid wsp:val=&quot;00D52333&quot;/&gt;&lt;wsp:rsid wsp:val=&quot;00D52694&quot;/&gt;&lt;wsp:rsid wsp:val=&quot;00D52942&quot;/&gt;&lt;wsp:rsid wsp:val=&quot;00D52A6C&quot;/&gt;&lt;wsp:rsid wsp:val=&quot;00D53B13&quot;/&gt;&lt;wsp:rsid wsp:val=&quot;00D545A9&quot;/&gt;&lt;wsp:rsid wsp:val=&quot;00D56782&quot;/&gt;&lt;wsp:rsid wsp:val=&quot;00D568B7&quot;/&gt;&lt;wsp:rsid wsp:val=&quot;00D56B8E&quot;/&gt;&lt;wsp:rsid wsp:val=&quot;00D56F26&quot;/&gt;&lt;wsp:rsid wsp:val=&quot;00D5704A&quot;/&gt;&lt;wsp:rsid wsp:val=&quot;00D5731A&quot;/&gt;&lt;wsp:rsid wsp:val=&quot;00D5769D&quot;/&gt;&lt;wsp:rsid wsp:val=&quot;00D57A94&quot;/&gt;&lt;wsp:rsid wsp:val=&quot;00D57E21&quot;/&gt;&lt;wsp:rsid wsp:val=&quot;00D6002E&quot;/&gt;&lt;wsp:rsid wsp:val=&quot;00D6018C&quot;/&gt;&lt;wsp:rsid wsp:val=&quot;00D60493&quot;/&gt;&lt;wsp:rsid wsp:val=&quot;00D61E36&quot;/&gt;&lt;wsp:rsid wsp:val=&quot;00D61E49&quot;/&gt;&lt;wsp:rsid wsp:val=&quot;00D62660&quot;/&gt;&lt;wsp:rsid wsp:val=&quot;00D62E8C&quot;/&gt;&lt;wsp:rsid wsp:val=&quot;00D63CA8&quot;/&gt;&lt;wsp:rsid wsp:val=&quot;00D64047&quot;/&gt;&lt;wsp:rsid wsp:val=&quot;00D64427&quot;/&gt;&lt;wsp:rsid wsp:val=&quot;00D64660&quot;/&gt;&lt;wsp:rsid wsp:val=&quot;00D64B10&quot;/&gt;&lt;wsp:rsid wsp:val=&quot;00D65199&quot;/&gt;&lt;wsp:rsid wsp:val=&quot;00D65683&quot;/&gt;&lt;wsp:rsid wsp:val=&quot;00D65A5B&quot;/&gt;&lt;wsp:rsid wsp:val=&quot;00D65AC1&quot;/&gt;&lt;wsp:rsid wsp:val=&quot;00D6617B&quot;/&gt;&lt;wsp:rsid wsp:val=&quot;00D6626E&quot;/&gt;&lt;wsp:rsid wsp:val=&quot;00D67211&quot;/&gt;&lt;wsp:rsid wsp:val=&quot;00D701A7&quot;/&gt;&lt;wsp:rsid wsp:val=&quot;00D706EC&quot;/&gt;&lt;wsp:rsid wsp:val=&quot;00D707D2&quot;/&gt;&lt;wsp:rsid wsp:val=&quot;00D70C45&quot;/&gt;&lt;wsp:rsid wsp:val=&quot;00D70CBC&quot;/&gt;&lt;wsp:rsid wsp:val=&quot;00D71BB0&quot;/&gt;&lt;wsp:rsid wsp:val=&quot;00D72547&quot;/&gt;&lt;wsp:rsid wsp:val=&quot;00D728C6&quot;/&gt;&lt;wsp:rsid wsp:val=&quot;00D72B8F&quot;/&gt;&lt;wsp:rsid wsp:val=&quot;00D7343F&quot;/&gt;&lt;wsp:rsid wsp:val=&quot;00D735F6&quot;/&gt;&lt;wsp:rsid wsp:val=&quot;00D7394D&quot;/&gt;&lt;wsp:rsid wsp:val=&quot;00D73FF8&quot;/&gt;&lt;wsp:rsid wsp:val=&quot;00D7416F&quot;/&gt;&lt;wsp:rsid wsp:val=&quot;00D752D7&quot;/&gt;&lt;wsp:rsid wsp:val=&quot;00D7577A&quot;/&gt;&lt;wsp:rsid wsp:val=&quot;00D75C85&quot;/&gt;&lt;wsp:rsid wsp:val=&quot;00D76A27&quot;/&gt;&lt;wsp:rsid wsp:val=&quot;00D7716C&quot;/&gt;&lt;wsp:rsid wsp:val=&quot;00D7717C&quot;/&gt;&lt;wsp:rsid wsp:val=&quot;00D77BBD&quot;/&gt;&lt;wsp:rsid wsp:val=&quot;00D80DE5&quot;/&gt;&lt;wsp:rsid wsp:val=&quot;00D81541&quot;/&gt;&lt;wsp:rsid wsp:val=&quot;00D81B5F&quot;/&gt;&lt;wsp:rsid wsp:val=&quot;00D829A2&quot;/&gt;&lt;wsp:rsid wsp:val=&quot;00D83A3A&quot;/&gt;&lt;wsp:rsid wsp:val=&quot;00D83D83&quot;/&gt;&lt;wsp:rsid wsp:val=&quot;00D842A2&quot;/&gt;&lt;wsp:rsid wsp:val=&quot;00D851D1&quot;/&gt;&lt;wsp:rsid wsp:val=&quot;00D862B3&quot;/&gt;&lt;wsp:rsid wsp:val=&quot;00D864B4&quot;/&gt;&lt;wsp:rsid wsp:val=&quot;00D8652F&quot;/&gt;&lt;wsp:rsid wsp:val=&quot;00D87978&quot;/&gt;&lt;wsp:rsid wsp:val=&quot;00D879C0&quot;/&gt;&lt;wsp:rsid wsp:val=&quot;00D87CD9&quot;/&gt;&lt;wsp:rsid wsp:val=&quot;00D90770&quot;/&gt;&lt;wsp:rsid wsp:val=&quot;00D90801&quot;/&gt;&lt;wsp:rsid wsp:val=&quot;00D909EA&quot;/&gt;&lt;wsp:rsid wsp:val=&quot;00D9175C&quot;/&gt;&lt;wsp:rsid wsp:val=&quot;00D92878&quot;/&gt;&lt;wsp:rsid wsp:val=&quot;00D92F4C&quot;/&gt;&lt;wsp:rsid wsp:val=&quot;00D935F8&quot;/&gt;&lt;wsp:rsid wsp:val=&quot;00D94B35&quot;/&gt;&lt;wsp:rsid wsp:val=&quot;00D94C7F&quot;/&gt;&lt;wsp:rsid wsp:val=&quot;00D95014&quot;/&gt;&lt;wsp:rsid wsp:val=&quot;00D950B3&quot;/&gt;&lt;wsp:rsid wsp:val=&quot;00D957BB&quot;/&gt;&lt;wsp:rsid wsp:val=&quot;00D971FE&quot;/&gt;&lt;wsp:rsid wsp:val=&quot;00D9742F&quot;/&gt;&lt;wsp:rsid wsp:val=&quot;00DA09C1&quot;/&gt;&lt;wsp:rsid wsp:val=&quot;00DA0C26&quot;/&gt;&lt;wsp:rsid wsp:val=&quot;00DA2310&quot;/&gt;&lt;wsp:rsid wsp:val=&quot;00DA305F&quot;/&gt;&lt;wsp:rsid wsp:val=&quot;00DA380F&quot;/&gt;&lt;wsp:rsid wsp:val=&quot;00DA4261&quot;/&gt;&lt;wsp:rsid wsp:val=&quot;00DA452D&quot;/&gt;&lt;wsp:rsid wsp:val=&quot;00DA46BB&quot;/&gt;&lt;wsp:rsid wsp:val=&quot;00DA55C9&quot;/&gt;&lt;wsp:rsid wsp:val=&quot;00DA5B6A&quot;/&gt;&lt;wsp:rsid wsp:val=&quot;00DA68AC&quot;/&gt;&lt;wsp:rsid wsp:val=&quot;00DA758E&quot;/&gt;&lt;wsp:rsid wsp:val=&quot;00DA7B5E&quot;/&gt;&lt;wsp:rsid wsp:val=&quot;00DA7E5B&quot;/&gt;&lt;wsp:rsid wsp:val=&quot;00DB03F0&quot;/&gt;&lt;wsp:rsid wsp:val=&quot;00DB08DB&quot;/&gt;&lt;wsp:rsid wsp:val=&quot;00DB0B68&quot;/&gt;&lt;wsp:rsid wsp:val=&quot;00DB0C62&quot;/&gt;&lt;wsp:rsid wsp:val=&quot;00DB0FAB&quot;/&gt;&lt;wsp:rsid wsp:val=&quot;00DB10E0&quot;/&gt;&lt;wsp:rsid wsp:val=&quot;00DB137C&quot;/&gt;&lt;wsp:rsid wsp:val=&quot;00DB192C&quot;/&gt;&lt;wsp:rsid wsp:val=&quot;00DB1DAB&quot;/&gt;&lt;wsp:rsid wsp:val=&quot;00DB1FDE&quot;/&gt;&lt;wsp:rsid wsp:val=&quot;00DB3636&quot;/&gt;&lt;wsp:rsid wsp:val=&quot;00DB39FE&quot;/&gt;&lt;wsp:rsid wsp:val=&quot;00DB42A7&quot;/&gt;&lt;wsp:rsid wsp:val=&quot;00DB47FD&quot;/&gt;&lt;wsp:rsid wsp:val=&quot;00DB5124&quot;/&gt;&lt;wsp:rsid wsp:val=&quot;00DB5308&quot;/&gt;&lt;wsp:rsid wsp:val=&quot;00DB5889&quot;/&gt;&lt;wsp:rsid wsp:val=&quot;00DB5A99&quot;/&gt;&lt;wsp:rsid wsp:val=&quot;00DB61F1&quot;/&gt;&lt;wsp:rsid wsp:val=&quot;00DB6A43&quot;/&gt;&lt;wsp:rsid wsp:val=&quot;00DB7316&quot;/&gt;&lt;wsp:rsid wsp:val=&quot;00DB7F8D&quot;/&gt;&lt;wsp:rsid wsp:val=&quot;00DC0287&quot;/&gt;&lt;wsp:rsid wsp:val=&quot;00DC0A50&quot;/&gt;&lt;wsp:rsid wsp:val=&quot;00DC1A61&quot;/&gt;&lt;wsp:rsid wsp:val=&quot;00DC292D&quot;/&gt;&lt;wsp:rsid wsp:val=&quot;00DC43DC&quot;/&gt;&lt;wsp:rsid wsp:val=&quot;00DC45B2&quot;/&gt;&lt;wsp:rsid wsp:val=&quot;00DC4BC3&quot;/&gt;&lt;wsp:rsid wsp:val=&quot;00DC7259&quot;/&gt;&lt;wsp:rsid wsp:val=&quot;00DC753D&quot;/&gt;&lt;wsp:rsid wsp:val=&quot;00DC7720&quot;/&gt;&lt;wsp:rsid wsp:val=&quot;00DD028F&quot;/&gt;&lt;wsp:rsid wsp:val=&quot;00DD1B2E&quot;/&gt;&lt;wsp:rsid wsp:val=&quot;00DD1C24&quot;/&gt;&lt;wsp:rsid wsp:val=&quot;00DD2236&quot;/&gt;&lt;wsp:rsid wsp:val=&quot;00DD2A03&quot;/&gt;&lt;wsp:rsid wsp:val=&quot;00DD2DAE&quot;/&gt;&lt;wsp:rsid wsp:val=&quot;00DD3419&quot;/&gt;&lt;wsp:rsid wsp:val=&quot;00DD346F&quot;/&gt;&lt;wsp:rsid wsp:val=&quot;00DD4AFA&quot;/&gt;&lt;wsp:rsid wsp:val=&quot;00DD601C&quot;/&gt;&lt;wsp:rsid wsp:val=&quot;00DD60B3&quot;/&gt;&lt;wsp:rsid wsp:val=&quot;00DD67A6&quot;/&gt;&lt;wsp:rsid wsp:val=&quot;00DD6894&quot;/&gt;&lt;wsp:rsid wsp:val=&quot;00DD703D&quot;/&gt;&lt;wsp:rsid wsp:val=&quot;00DD779B&quot;/&gt;&lt;wsp:rsid wsp:val=&quot;00DD7D2F&quot;/&gt;&lt;wsp:rsid wsp:val=&quot;00DD7FAE&quot;/&gt;&lt;wsp:rsid wsp:val=&quot;00DE011D&quot;/&gt;&lt;wsp:rsid wsp:val=&quot;00DE0376&quot;/&gt;&lt;wsp:rsid wsp:val=&quot;00DE1945&quot;/&gt;&lt;wsp:rsid wsp:val=&quot;00DE2C79&quot;/&gt;&lt;wsp:rsid wsp:val=&quot;00DE2F3A&quot;/&gt;&lt;wsp:rsid wsp:val=&quot;00DE3705&quot;/&gt;&lt;wsp:rsid wsp:val=&quot;00DE3CCE&quot;/&gt;&lt;wsp:rsid wsp:val=&quot;00DE48A6&quot;/&gt;&lt;wsp:rsid wsp:val=&quot;00DE5649&quot;/&gt;&lt;wsp:rsid wsp:val=&quot;00DE57A2&quot;/&gt;&lt;wsp:rsid wsp:val=&quot;00DE5982&quot;/&gt;&lt;wsp:rsid wsp:val=&quot;00DE59AC&quot;/&gt;&lt;wsp:rsid wsp:val=&quot;00DE5A97&quot;/&gt;&lt;wsp:rsid wsp:val=&quot;00DE5FA1&quot;/&gt;&lt;wsp:rsid wsp:val=&quot;00DE6A95&quot;/&gt;&lt;wsp:rsid wsp:val=&quot;00DE7057&quot;/&gt;&lt;wsp:rsid wsp:val=&quot;00DE7314&quot;/&gt;&lt;wsp:rsid wsp:val=&quot;00DE739A&quot;/&gt;&lt;wsp:rsid wsp:val=&quot;00DE74E8&quot;/&gt;&lt;wsp:rsid wsp:val=&quot;00DE7AEA&quot;/&gt;&lt;wsp:rsid wsp:val=&quot;00DE7D61&quot;/&gt;&lt;wsp:rsid wsp:val=&quot;00DE7D7B&quot;/&gt;&lt;wsp:rsid wsp:val=&quot;00DE7F22&quot;/&gt;&lt;wsp:rsid wsp:val=&quot;00DF0044&quot;/&gt;&lt;wsp:rsid wsp:val=&quot;00DF05B3&quot;/&gt;&lt;wsp:rsid wsp:val=&quot;00DF0696&quot;/&gt;&lt;wsp:rsid wsp:val=&quot;00DF06CA&quot;/&gt;&lt;wsp:rsid wsp:val=&quot;00DF11D5&quot;/&gt;&lt;wsp:rsid wsp:val=&quot;00DF1623&quot;/&gt;&lt;wsp:rsid wsp:val=&quot;00DF177A&quot;/&gt;&lt;wsp:rsid wsp:val=&quot;00DF1992&quot;/&gt;&lt;wsp:rsid wsp:val=&quot;00DF2136&quot;/&gt;&lt;wsp:rsid wsp:val=&quot;00DF2606&quot;/&gt;&lt;wsp:rsid wsp:val=&quot;00DF2A87&quot;/&gt;&lt;wsp:rsid wsp:val=&quot;00DF3751&quot;/&gt;&lt;wsp:rsid wsp:val=&quot;00DF3802&quot;/&gt;&lt;wsp:rsid wsp:val=&quot;00DF3E46&quot;/&gt;&lt;wsp:rsid wsp:val=&quot;00DF411E&quot;/&gt;&lt;wsp:rsid wsp:val=&quot;00DF492A&quot;/&gt;&lt;wsp:rsid wsp:val=&quot;00DF4A32&quot;/&gt;&lt;wsp:rsid wsp:val=&quot;00DF4BF6&quot;/&gt;&lt;wsp:rsid wsp:val=&quot;00DF4D61&quot;/&gt;&lt;wsp:rsid wsp:val=&quot;00DF5173&quot;/&gt;&lt;wsp:rsid wsp:val=&quot;00DF57A0&quot;/&gt;&lt;wsp:rsid wsp:val=&quot;00DF5CC8&quot;/&gt;&lt;wsp:rsid wsp:val=&quot;00DF63B0&quot;/&gt;&lt;wsp:rsid wsp:val=&quot;00DF6A8C&quot;/&gt;&lt;wsp:rsid wsp:val=&quot;00DF71C1&quot;/&gt;&lt;wsp:rsid wsp:val=&quot;00DF75A8&quot;/&gt;&lt;wsp:rsid wsp:val=&quot;00DF7AD8&quot;/&gt;&lt;wsp:rsid wsp:val=&quot;00DF7F98&quot;/&gt;&lt;wsp:rsid wsp:val=&quot;00E0022C&quot;/&gt;&lt;wsp:rsid wsp:val=&quot;00E00EB1&quot;/&gt;&lt;wsp:rsid wsp:val=&quot;00E015F5&quot;/&gt;&lt;wsp:rsid wsp:val=&quot;00E02229&quot;/&gt;&lt;wsp:rsid wsp:val=&quot;00E0286E&quot;/&gt;&lt;wsp:rsid wsp:val=&quot;00E02B3A&quot;/&gt;&lt;wsp:rsid wsp:val=&quot;00E044E3&quot;/&gt;&lt;wsp:rsid wsp:val=&quot;00E0484E&quot;/&gt;&lt;wsp:rsid wsp:val=&quot;00E04EF6&quot;/&gt;&lt;wsp:rsid wsp:val=&quot;00E065E3&quot;/&gt;&lt;wsp:rsid wsp:val=&quot;00E07AA6&quot;/&gt;&lt;wsp:rsid wsp:val=&quot;00E07D28&quot;/&gt;&lt;wsp:rsid wsp:val=&quot;00E1049C&quot;/&gt;&lt;wsp:rsid wsp:val=&quot;00E107D5&quot;/&gt;&lt;wsp:rsid wsp:val=&quot;00E10D49&quot;/&gt;&lt;wsp:rsid wsp:val=&quot;00E10F9C&quot;/&gt;&lt;wsp:rsid wsp:val=&quot;00E11009&quot;/&gt;&lt;wsp:rsid wsp:val=&quot;00E11219&quot;/&gt;&lt;wsp:rsid wsp:val=&quot;00E1139B&quot;/&gt;&lt;wsp:rsid wsp:val=&quot;00E117D9&quot;/&gt;&lt;wsp:rsid wsp:val=&quot;00E12045&quot;/&gt;&lt;wsp:rsid wsp:val=&quot;00E12283&quot;/&gt;&lt;wsp:rsid wsp:val=&quot;00E12647&quot;/&gt;&lt;wsp:rsid wsp:val=&quot;00E12892&quot;/&gt;&lt;wsp:rsid wsp:val=&quot;00E12990&quot;/&gt;&lt;wsp:rsid wsp:val=&quot;00E12C6A&quot;/&gt;&lt;wsp:rsid wsp:val=&quot;00E13B98&quot;/&gt;&lt;wsp:rsid wsp:val=&quot;00E144E2&quot;/&gt;&lt;wsp:rsid wsp:val=&quot;00E149E9&quot;/&gt;&lt;wsp:rsid wsp:val=&quot;00E15184&quot;/&gt;&lt;wsp:rsid wsp:val=&quot;00E159AD&quot;/&gt;&lt;wsp:rsid wsp:val=&quot;00E17280&quot;/&gt;&lt;wsp:rsid wsp:val=&quot;00E172C1&quot;/&gt;&lt;wsp:rsid wsp:val=&quot;00E17F51&quot;/&gt;&lt;wsp:rsid wsp:val=&quot;00E21608&quot;/&gt;&lt;wsp:rsid wsp:val=&quot;00E2228E&quot;/&gt;&lt;wsp:rsid wsp:val=&quot;00E224CF&quot;/&gt;&lt;wsp:rsid wsp:val=&quot;00E224E3&quot;/&gt;&lt;wsp:rsid wsp:val=&quot;00E227ED&quot;/&gt;&lt;wsp:rsid wsp:val=&quot;00E22D7D&quot;/&gt;&lt;wsp:rsid wsp:val=&quot;00E2392C&quot;/&gt;&lt;wsp:rsid wsp:val=&quot;00E241E6&quot;/&gt;&lt;wsp:rsid wsp:val=&quot;00E254B5&quot;/&gt;&lt;wsp:rsid wsp:val=&quot;00E25614&quot;/&gt;&lt;wsp:rsid wsp:val=&quot;00E260D6&quot;/&gt;&lt;wsp:rsid wsp:val=&quot;00E26275&quot;/&gt;&lt;wsp:rsid wsp:val=&quot;00E26D5A&quot;/&gt;&lt;wsp:rsid wsp:val=&quot;00E2705F&quot;/&gt;&lt;wsp:rsid wsp:val=&quot;00E276D8&quot;/&gt;&lt;wsp:rsid wsp:val=&quot;00E277CB&quot;/&gt;&lt;wsp:rsid wsp:val=&quot;00E278AB&quot;/&gt;&lt;wsp:rsid wsp:val=&quot;00E27BC2&quot;/&gt;&lt;wsp:rsid wsp:val=&quot;00E27E18&quot;/&gt;&lt;wsp:rsid wsp:val=&quot;00E27EA6&quot;/&gt;&lt;wsp:rsid wsp:val=&quot;00E31369&quot;/&gt;&lt;wsp:rsid wsp:val=&quot;00E3154E&quot;/&gt;&lt;wsp:rsid wsp:val=&quot;00E31824&quot;/&gt;&lt;wsp:rsid wsp:val=&quot;00E32EBA&quot;/&gt;&lt;wsp:rsid wsp:val=&quot;00E33212&quot;/&gt;&lt;wsp:rsid wsp:val=&quot;00E3326E&quot;/&gt;&lt;wsp:rsid wsp:val=&quot;00E3390F&quot;/&gt;&lt;wsp:rsid wsp:val=&quot;00E34945&quot;/&gt;&lt;wsp:rsid wsp:val=&quot;00E357D5&quot;/&gt;&lt;wsp:rsid wsp:val=&quot;00E3582F&quot;/&gt;&lt;wsp:rsid wsp:val=&quot;00E35E01&quot;/&gt;&lt;wsp:rsid wsp:val=&quot;00E36003&quot;/&gt;&lt;wsp:rsid wsp:val=&quot;00E362F9&quot;/&gt;&lt;wsp:rsid wsp:val=&quot;00E36316&quot;/&gt;&lt;wsp:rsid wsp:val=&quot;00E36570&quot;/&gt;&lt;wsp:rsid wsp:val=&quot;00E3746B&quot;/&gt;&lt;wsp:rsid wsp:val=&quot;00E37954&quot;/&gt;&lt;wsp:rsid wsp:val=&quot;00E37957&quot;/&gt;&lt;wsp:rsid wsp:val=&quot;00E4019A&quot;/&gt;&lt;wsp:rsid wsp:val=&quot;00E403BC&quot;/&gt;&lt;wsp:rsid wsp:val=&quot;00E40669&quot;/&gt;&lt;wsp:rsid wsp:val=&quot;00E40672&quot;/&gt;&lt;wsp:rsid wsp:val=&quot;00E40681&quot;/&gt;&lt;wsp:rsid wsp:val=&quot;00E414DE&quot;/&gt;&lt;wsp:rsid wsp:val=&quot;00E428BE&quot;/&gt;&lt;wsp:rsid wsp:val=&quot;00E43356&quot;/&gt;&lt;wsp:rsid wsp:val=&quot;00E43D4C&quot;/&gt;&lt;wsp:rsid wsp:val=&quot;00E43E5E&quot;/&gt;&lt;wsp:rsid wsp:val=&quot;00E448A1&quot;/&gt;&lt;wsp:rsid wsp:val=&quot;00E4506F&quot;/&gt;&lt;wsp:rsid wsp:val=&quot;00E453A9&quot;/&gt;&lt;wsp:rsid wsp:val=&quot;00E45B19&quot;/&gt;&lt;wsp:rsid wsp:val=&quot;00E45C3E&quot;/&gt;&lt;wsp:rsid wsp:val=&quot;00E46388&quot;/&gt;&lt;wsp:rsid wsp:val=&quot;00E476E1&quot;/&gt;&lt;wsp:rsid wsp:val=&quot;00E50A4E&quot;/&gt;&lt;wsp:rsid wsp:val=&quot;00E50C22&quot;/&gt;&lt;wsp:rsid wsp:val=&quot;00E523F5&quot;/&gt;&lt;wsp:rsid wsp:val=&quot;00E5359D&quot;/&gt;&lt;wsp:rsid wsp:val=&quot;00E536BA&quot;/&gt;&lt;wsp:rsid wsp:val=&quot;00E53B43&quot;/&gt;&lt;wsp:rsid wsp:val=&quot;00E540F1&quot;/&gt;&lt;wsp:rsid wsp:val=&quot;00E54AD5&quot;/&gt;&lt;wsp:rsid wsp:val=&quot;00E54EE4&quot;/&gt;&lt;wsp:rsid wsp:val=&quot;00E55811&quot;/&gt;&lt;wsp:rsid wsp:val=&quot;00E56A50&quot;/&gt;&lt;wsp:rsid wsp:val=&quot;00E56C02&quot;/&gt;&lt;wsp:rsid wsp:val=&quot;00E56CAD&quot;/&gt;&lt;wsp:rsid wsp:val=&quot;00E5725E&quot;/&gt;&lt;wsp:rsid wsp:val=&quot;00E572F7&quot;/&gt;&lt;wsp:rsid wsp:val=&quot;00E574D8&quot;/&gt;&lt;wsp:rsid wsp:val=&quot;00E57BED&quot;/&gt;&lt;wsp:rsid wsp:val=&quot;00E57E9F&quot;/&gt;&lt;wsp:rsid wsp:val=&quot;00E601AE&quot;/&gt;&lt;wsp:rsid wsp:val=&quot;00E605E7&quot;/&gt;&lt;wsp:rsid wsp:val=&quot;00E60D31&quot;/&gt;&lt;wsp:rsid wsp:val=&quot;00E61B88&quot;/&gt;&lt;wsp:rsid wsp:val=&quot;00E61C41&quot;/&gt;&lt;wsp:rsid wsp:val=&quot;00E6236D&quot;/&gt;&lt;wsp:rsid wsp:val=&quot;00E62790&quot;/&gt;&lt;wsp:rsid wsp:val=&quot;00E62BB0&quot;/&gt;&lt;wsp:rsid wsp:val=&quot;00E62F9C&quot;/&gt;&lt;wsp:rsid wsp:val=&quot;00E632BD&quot;/&gt;&lt;wsp:rsid wsp:val=&quot;00E63395&quot;/&gt;&lt;wsp:rsid wsp:val=&quot;00E63AA4&quot;/&gt;&lt;wsp:rsid wsp:val=&quot;00E63C72&quot;/&gt;&lt;wsp:rsid wsp:val=&quot;00E640A5&quot;/&gt;&lt;wsp:rsid wsp:val=&quot;00E640C8&quot;/&gt;&lt;wsp:rsid wsp:val=&quot;00E64256&quot;/&gt;&lt;wsp:rsid wsp:val=&quot;00E6434B&quot;/&gt;&lt;wsp:rsid wsp:val=&quot;00E64779&quot;/&gt;&lt;wsp:rsid wsp:val=&quot;00E64FBB&quot;/&gt;&lt;wsp:rsid wsp:val=&quot;00E67202&quot;/&gt;&lt;wsp:rsid wsp:val=&quot;00E674A8&quot;/&gt;&lt;wsp:rsid wsp:val=&quot;00E676D1&quot;/&gt;&lt;wsp:rsid wsp:val=&quot;00E67C55&quot;/&gt;&lt;wsp:rsid wsp:val=&quot;00E70236&quot;/&gt;&lt;wsp:rsid wsp:val=&quot;00E70292&quot;/&gt;&lt;wsp:rsid wsp:val=&quot;00E7168C&quot;/&gt;&lt;wsp:rsid wsp:val=&quot;00E71817&quot;/&gt;&lt;wsp:rsid wsp:val=&quot;00E71DFC&quot;/&gt;&lt;wsp:rsid wsp:val=&quot;00E723FB&quot;/&gt;&lt;wsp:rsid wsp:val=&quot;00E724EA&quot;/&gt;&lt;wsp:rsid wsp:val=&quot;00E72DC9&quot;/&gt;&lt;wsp:rsid wsp:val=&quot;00E72E98&quot;/&gt;&lt;wsp:rsid wsp:val=&quot;00E7334E&quot;/&gt;&lt;wsp:rsid wsp:val=&quot;00E73AEB&quot;/&gt;&lt;wsp:rsid wsp:val=&quot;00E740A1&quot;/&gt;&lt;wsp:rsid wsp:val=&quot;00E747F3&quot;/&gt;&lt;wsp:rsid wsp:val=&quot;00E762F4&quot;/&gt;&lt;wsp:rsid wsp:val=&quot;00E76C1B&quot;/&gt;&lt;wsp:rsid wsp:val=&quot;00E76F29&quot;/&gt;&lt;wsp:rsid wsp:val=&quot;00E77697&quot;/&gt;&lt;wsp:rsid wsp:val=&quot;00E7773B&quot;/&gt;&lt;wsp:rsid wsp:val=&quot;00E7775C&quot;/&gt;&lt;wsp:rsid wsp:val=&quot;00E802B3&quot;/&gt;&lt;wsp:rsid wsp:val=&quot;00E8034F&quot;/&gt;&lt;wsp:rsid wsp:val=&quot;00E806E4&quot;/&gt;&lt;wsp:rsid wsp:val=&quot;00E818AF&quot;/&gt;&lt;wsp:rsid wsp:val=&quot;00E81DB3&quot;/&gt;&lt;wsp:rsid wsp:val=&quot;00E82642&quot;/&gt;&lt;wsp:rsid wsp:val=&quot;00E827DB&quot;/&gt;&lt;wsp:rsid wsp:val=&quot;00E836B1&quot;/&gt;&lt;wsp:rsid wsp:val=&quot;00E837F1&quot;/&gt;&lt;wsp:rsid wsp:val=&quot;00E838FA&quot;/&gt;&lt;wsp:rsid wsp:val=&quot;00E840CE&quot;/&gt;&lt;wsp:rsid wsp:val=&quot;00E845BE&quot;/&gt;&lt;wsp:rsid wsp:val=&quot;00E84E99&quot;/&gt;&lt;wsp:rsid wsp:val=&quot;00E8509E&quot;/&gt;&lt;wsp:rsid wsp:val=&quot;00E8571D&quot;/&gt;&lt;wsp:rsid wsp:val=&quot;00E859FE&quot;/&gt;&lt;wsp:rsid wsp:val=&quot;00E85FD9&quot;/&gt;&lt;wsp:rsid wsp:val=&quot;00E86098&quot;/&gt;&lt;wsp:rsid wsp:val=&quot;00E8646B&quot;/&gt;&lt;wsp:rsid wsp:val=&quot;00E86A60&quot;/&gt;&lt;wsp:rsid wsp:val=&quot;00E86BAC&quot;/&gt;&lt;wsp:rsid wsp:val=&quot;00E872AF&quot;/&gt;&lt;wsp:rsid wsp:val=&quot;00E87642&quot;/&gt;&lt;wsp:rsid wsp:val=&quot;00E8796E&quot;/&gt;&lt;wsp:rsid wsp:val=&quot;00E9003C&quot;/&gt;&lt;wsp:rsid wsp:val=&quot;00E9010A&quot;/&gt;&lt;wsp:rsid wsp:val=&quot;00E90540&quot;/&gt;&lt;wsp:rsid wsp:val=&quot;00E9072B&quot;/&gt;&lt;wsp:rsid wsp:val=&quot;00E92A03&quot;/&gt;&lt;wsp:rsid wsp:val=&quot;00E934B6&quot;/&gt;&lt;wsp:rsid wsp:val=&quot;00E9390A&quot;/&gt;&lt;wsp:rsid wsp:val=&quot;00E93D45&quot;/&gt;&lt;wsp:rsid wsp:val=&quot;00E9415F&quot;/&gt;&lt;wsp:rsid wsp:val=&quot;00E94FC5&quot;/&gt;&lt;wsp:rsid wsp:val=&quot;00E958EC&quot;/&gt;&lt;wsp:rsid wsp:val=&quot;00E95B1A&quot;/&gt;&lt;wsp:rsid wsp:val=&quot;00E95F91&quot;/&gt;&lt;wsp:rsid wsp:val=&quot;00E96615&quot;/&gt;&lt;wsp:rsid wsp:val=&quot;00E97BC3&quot;/&gt;&lt;wsp:rsid wsp:val=&quot;00E97BE9&quot;/&gt;&lt;wsp:rsid wsp:val=&quot;00E97C50&quot;/&gt;&lt;wsp:rsid wsp:val=&quot;00E97D44&quot;/&gt;&lt;wsp:rsid wsp:val=&quot;00EA0392&quot;/&gt;&lt;wsp:rsid wsp:val=&quot;00EA06EA&quot;/&gt;&lt;wsp:rsid wsp:val=&quot;00EA088A&quot;/&gt;&lt;wsp:rsid wsp:val=&quot;00EA0A89&quot;/&gt;&lt;wsp:rsid wsp:val=&quot;00EA175E&quot;/&gt;&lt;wsp:rsid wsp:val=&quot;00EA20DC&quot;/&gt;&lt;wsp:rsid wsp:val=&quot;00EA2489&quot;/&gt;&lt;wsp:rsid wsp:val=&quot;00EA297E&quot;/&gt;&lt;wsp:rsid wsp:val=&quot;00EA2CD9&quot;/&gt;&lt;wsp:rsid wsp:val=&quot;00EA30D0&quot;/&gt;&lt;wsp:rsid wsp:val=&quot;00EA3205&quot;/&gt;&lt;wsp:rsid wsp:val=&quot;00EA44C3&quot;/&gt;&lt;wsp:rsid wsp:val=&quot;00EA4C74&quot;/&gt;&lt;wsp:rsid wsp:val=&quot;00EA5230&quot;/&gt;&lt;wsp:rsid wsp:val=&quot;00EA5D6B&quot;/&gt;&lt;wsp:rsid wsp:val=&quot;00EA6243&quot;/&gt;&lt;wsp:rsid wsp:val=&quot;00EA7764&quot;/&gt;&lt;wsp:rsid wsp:val=&quot;00EA7DED&quot;/&gt;&lt;wsp:rsid wsp:val=&quot;00EB0182&quot;/&gt;&lt;wsp:rsid wsp:val=&quot;00EB15A6&quot;/&gt;&lt;wsp:rsid wsp:val=&quot;00EB2004&quot;/&gt;&lt;wsp:rsid wsp:val=&quot;00EB348A&quot;/&gt;&lt;wsp:rsid wsp:val=&quot;00EB3FB3&quot;/&gt;&lt;wsp:rsid wsp:val=&quot;00EB4426&quot;/&gt;&lt;wsp:rsid wsp:val=&quot;00EB50E9&quot;/&gt;&lt;wsp:rsid wsp:val=&quot;00EB60A6&quot;/&gt;&lt;wsp:rsid wsp:val=&quot;00EB69EF&quot;/&gt;&lt;wsp:rsid wsp:val=&quot;00EB6C89&quot;/&gt;&lt;wsp:rsid wsp:val=&quot;00EB6E3C&quot;/&gt;&lt;wsp:rsid wsp:val=&quot;00EB7B03&quot;/&gt;&lt;wsp:rsid wsp:val=&quot;00EC02D4&quot;/&gt;&lt;wsp:rsid wsp:val=&quot;00EC04FF&quot;/&gt;&lt;wsp:rsid wsp:val=&quot;00EC0841&quot;/&gt;&lt;wsp:rsid wsp:val=&quot;00EC0DD0&quot;/&gt;&lt;wsp:rsid wsp:val=&quot;00EC1DB5&quot;/&gt;&lt;wsp:rsid wsp:val=&quot;00EC1F74&quot;/&gt;&lt;wsp:rsid wsp:val=&quot;00EC2395&quot;/&gt;&lt;wsp:rsid wsp:val=&quot;00EC27B1&quot;/&gt;&lt;wsp:rsid wsp:val=&quot;00EC2D25&quot;/&gt;&lt;wsp:rsid wsp:val=&quot;00EC2E74&quot;/&gt;&lt;wsp:rsid wsp:val=&quot;00EC4247&quot;/&gt;&lt;wsp:rsid wsp:val=&quot;00EC43E3&quot;/&gt;&lt;wsp:rsid wsp:val=&quot;00EC506C&quot;/&gt;&lt;wsp:rsid wsp:val=&quot;00EC54BA&quot;/&gt;&lt;wsp:rsid wsp:val=&quot;00EC77CB&quot;/&gt;&lt;wsp:rsid wsp:val=&quot;00EC79B8&quot;/&gt;&lt;wsp:rsid wsp:val=&quot;00EC7ADB&quot;/&gt;&lt;wsp:rsid wsp:val=&quot;00EC7C1E&quot;/&gt;&lt;wsp:rsid wsp:val=&quot;00ED038F&quot;/&gt;&lt;wsp:rsid wsp:val=&quot;00ED04B1&quot;/&gt;&lt;wsp:rsid wsp:val=&quot;00ED0CDE&quot;/&gt;&lt;wsp:rsid wsp:val=&quot;00ED2919&quot;/&gt;&lt;wsp:rsid wsp:val=&quot;00ED2E5C&quot;/&gt;&lt;wsp:rsid wsp:val=&quot;00ED2F36&quot;/&gt;&lt;wsp:rsid wsp:val=&quot;00ED3C67&quot;/&gt;&lt;wsp:rsid wsp:val=&quot;00ED5385&quot;/&gt;&lt;wsp:rsid wsp:val=&quot;00ED56AE&quot;/&gt;&lt;wsp:rsid wsp:val=&quot;00ED5CBC&quot;/&gt;&lt;wsp:rsid wsp:val=&quot;00ED7F91&quot;/&gt;&lt;wsp:rsid wsp:val=&quot;00EE031B&quot;/&gt;&lt;wsp:rsid wsp:val=&quot;00EE08EC&quot;/&gt;&lt;wsp:rsid wsp:val=&quot;00EE093C&quot;/&gt;&lt;wsp:rsid wsp:val=&quot;00EE1F9A&quot;/&gt;&lt;wsp:rsid wsp:val=&quot;00EE241F&quot;/&gt;&lt;wsp:rsid wsp:val=&quot;00EE247E&quot;/&gt;&lt;wsp:rsid wsp:val=&quot;00EE2BC0&quot;/&gt;&lt;wsp:rsid wsp:val=&quot;00EE2BF5&quot;/&gt;&lt;wsp:rsid wsp:val=&quot;00EE3263&quot;/&gt;&lt;wsp:rsid wsp:val=&quot;00EE40D5&quot;/&gt;&lt;wsp:rsid wsp:val=&quot;00EE425E&quot;/&gt;&lt;wsp:rsid wsp:val=&quot;00EE465E&quot;/&gt;&lt;wsp:rsid wsp:val=&quot;00EE52E9&quot;/&gt;&lt;wsp:rsid wsp:val=&quot;00EE577A&quot;/&gt;&lt;wsp:rsid wsp:val=&quot;00EE61FC&quot;/&gt;&lt;wsp:rsid wsp:val=&quot;00EE6947&quot;/&gt;&lt;wsp:rsid wsp:val=&quot;00EF0639&quot;/&gt;&lt;wsp:rsid wsp:val=&quot;00EF0843&quot;/&gt;&lt;wsp:rsid wsp:val=&quot;00EF0D17&quot;/&gt;&lt;wsp:rsid wsp:val=&quot;00EF0FF6&quot;/&gt;&lt;wsp:rsid wsp:val=&quot;00EF135E&quot;/&gt;&lt;wsp:rsid wsp:val=&quot;00EF17DB&quot;/&gt;&lt;wsp:rsid wsp:val=&quot;00EF1AB6&quot;/&gt;&lt;wsp:rsid wsp:val=&quot;00EF1CCD&quot;/&gt;&lt;wsp:rsid wsp:val=&quot;00EF2542&quot;/&gt;&lt;wsp:rsid wsp:val=&quot;00EF2787&quot;/&gt;&lt;wsp:rsid wsp:val=&quot;00EF2D0F&quot;/&gt;&lt;wsp:rsid wsp:val=&quot;00EF2E51&quot;/&gt;&lt;wsp:rsid wsp:val=&quot;00EF2F42&quot;/&gt;&lt;wsp:rsid wsp:val=&quot;00EF3A41&quot;/&gt;&lt;wsp:rsid wsp:val=&quot;00EF496A&quot;/&gt;&lt;wsp:rsid wsp:val=&quot;00EF64EB&quot;/&gt;&lt;wsp:rsid wsp:val=&quot;00EF6ADB&quot;/&gt;&lt;wsp:rsid wsp:val=&quot;00F005DF&quot;/&gt;&lt;wsp:rsid wsp:val=&quot;00F0188A&quot;/&gt;&lt;wsp:rsid wsp:val=&quot;00F01A73&quot;/&gt;&lt;wsp:rsid wsp:val=&quot;00F0309E&quot;/&gt;&lt;wsp:rsid wsp:val=&quot;00F03184&quot;/&gt;&lt;wsp:rsid wsp:val=&quot;00F0359F&quot;/&gt;&lt;wsp:rsid wsp:val=&quot;00F03F48&quot;/&gt;&lt;wsp:rsid wsp:val=&quot;00F03FEE&quot;/&gt;&lt;wsp:rsid wsp:val=&quot;00F05109&quot;/&gt;&lt;wsp:rsid wsp:val=&quot;00F0563C&quot;/&gt;&lt;wsp:rsid wsp:val=&quot;00F05EF3&quot;/&gt;&lt;wsp:rsid wsp:val=&quot;00F05FD8&quot;/&gt;&lt;wsp:rsid wsp:val=&quot;00F10479&quot;/&gt;&lt;wsp:rsid wsp:val=&quot;00F11786&quot;/&gt;&lt;wsp:rsid wsp:val=&quot;00F1281C&quot;/&gt;&lt;wsp:rsid wsp:val=&quot;00F1407E&quot;/&gt;&lt;wsp:rsid wsp:val=&quot;00F1409D&quot;/&gt;&lt;wsp:rsid wsp:val=&quot;00F14CFA&quot;/&gt;&lt;wsp:rsid wsp:val=&quot;00F15089&quot;/&gt;&lt;wsp:rsid wsp:val=&quot;00F16B97&quot;/&gt;&lt;wsp:rsid wsp:val=&quot;00F17633&quot;/&gt;&lt;wsp:rsid wsp:val=&quot;00F176E3&quot;/&gt;&lt;wsp:rsid wsp:val=&quot;00F20CE0&quot;/&gt;&lt;wsp:rsid wsp:val=&quot;00F22C8E&quot;/&gt;&lt;wsp:rsid wsp:val=&quot;00F235A5&quot;/&gt;&lt;wsp:rsid wsp:val=&quot;00F23B94&quot;/&gt;&lt;wsp:rsid wsp:val=&quot;00F23CBD&quot;/&gt;&lt;wsp:rsid wsp:val=&quot;00F2454C&quot;/&gt;&lt;wsp:rsid wsp:val=&quot;00F24A67&quot;/&gt;&lt;wsp:rsid wsp:val=&quot;00F24C48&quot;/&gt;&lt;wsp:rsid wsp:val=&quot;00F25023&quot;/&gt;&lt;wsp:rsid wsp:val=&quot;00F2518C&quot;/&gt;&lt;wsp:rsid wsp:val=&quot;00F25238&quot;/&gt;&lt;wsp:rsid wsp:val=&quot;00F253B3&quot;/&gt;&lt;wsp:rsid wsp:val=&quot;00F25996&quot;/&gt;&lt;wsp:rsid wsp:val=&quot;00F26692&quot;/&gt;&lt;wsp:rsid wsp:val=&quot;00F26B35&quot;/&gt;&lt;wsp:rsid wsp:val=&quot;00F30E22&quot;/&gt;&lt;wsp:rsid wsp:val=&quot;00F31664&quot;/&gt;&lt;wsp:rsid wsp:val=&quot;00F321E0&quot;/&gt;&lt;wsp:rsid wsp:val=&quot;00F325E3&quot;/&gt;&lt;wsp:rsid wsp:val=&quot;00F32954&quot;/&gt;&lt;wsp:rsid wsp:val=&quot;00F32EA0&quot;/&gt;&lt;wsp:rsid wsp:val=&quot;00F33365&quot;/&gt;&lt;wsp:rsid wsp:val=&quot;00F33A15&quot;/&gt;&lt;wsp:rsid wsp:val=&quot;00F3408A&quot;/&gt;&lt;wsp:rsid wsp:val=&quot;00F341D0&quot;/&gt;&lt;wsp:rsid wsp:val=&quot;00F348AF&quot;/&gt;&lt;wsp:rsid wsp:val=&quot;00F365A2&quot;/&gt;&lt;wsp:rsid wsp:val=&quot;00F36A97&quot;/&gt;&lt;wsp:rsid wsp:val=&quot;00F36B25&quot;/&gt;&lt;wsp:rsid wsp:val=&quot;00F36D6D&quot;/&gt;&lt;wsp:rsid wsp:val=&quot;00F37536&quot;/&gt;&lt;wsp:rsid wsp:val=&quot;00F37814&quot;/&gt;&lt;wsp:rsid wsp:val=&quot;00F402DC&quot;/&gt;&lt;wsp:rsid wsp:val=&quot;00F4045D&quot;/&gt;&lt;wsp:rsid wsp:val=&quot;00F4057B&quot;/&gt;&lt;wsp:rsid wsp:val=&quot;00F407E4&quot;/&gt;&lt;wsp:rsid wsp:val=&quot;00F408E8&quot;/&gt;&lt;wsp:rsid wsp:val=&quot;00F41015&quot;/&gt;&lt;wsp:rsid wsp:val=&quot;00F41132&quot;/&gt;&lt;wsp:rsid wsp:val=&quot;00F42A62&quot;/&gt;&lt;wsp:rsid wsp:val=&quot;00F42B9E&quot;/&gt;&lt;wsp:rsid wsp:val=&quot;00F42BD8&quot;/&gt;&lt;wsp:rsid wsp:val=&quot;00F42CFE&quot;/&gt;&lt;wsp:rsid wsp:val=&quot;00F43E43&quot;/&gt;&lt;wsp:rsid wsp:val=&quot;00F452D4&quot;/&gt;&lt;wsp:rsid wsp:val=&quot;00F45CBC&quot;/&gt;&lt;wsp:rsid wsp:val=&quot;00F45D68&quot;/&gt;&lt;wsp:rsid wsp:val=&quot;00F46DA3&quot;/&gt;&lt;wsp:rsid wsp:val=&quot;00F471B4&quot;/&gt;&lt;wsp:rsid wsp:val=&quot;00F47FB3&quot;/&gt;&lt;wsp:rsid wsp:val=&quot;00F504CE&quot;/&gt;&lt;wsp:rsid wsp:val=&quot;00F50594&quot;/&gt;&lt;wsp:rsid wsp:val=&quot;00F51ACA&quot;/&gt;&lt;wsp:rsid wsp:val=&quot;00F5269D&quot;/&gt;&lt;wsp:rsid wsp:val=&quot;00F52AD6&quot;/&gt;&lt;wsp:rsid wsp:val=&quot;00F53B1D&quot;/&gt;&lt;wsp:rsid wsp:val=&quot;00F543B1&quot;/&gt;&lt;wsp:rsid wsp:val=&quot;00F549E0&quot;/&gt;&lt;wsp:rsid wsp:val=&quot;00F5564D&quot;/&gt;&lt;wsp:rsid wsp:val=&quot;00F55D70&quot;/&gt;&lt;wsp:rsid wsp:val=&quot;00F55F15&quot;/&gt;&lt;wsp:rsid wsp:val=&quot;00F56220&quot;/&gt;&lt;wsp:rsid wsp:val=&quot;00F564A1&quot;/&gt;&lt;wsp:rsid wsp:val=&quot;00F56A78&quot;/&gt;&lt;wsp:rsid wsp:val=&quot;00F56AA4&quot;/&gt;&lt;wsp:rsid wsp:val=&quot;00F56B05&quot;/&gt;&lt;wsp:rsid wsp:val=&quot;00F5741C&quot;/&gt;&lt;wsp:rsid wsp:val=&quot;00F601EF&quot;/&gt;&lt;wsp:rsid wsp:val=&quot;00F603FD&quot;/&gt;&lt;wsp:rsid wsp:val=&quot;00F60897&quot;/&gt;&lt;wsp:rsid wsp:val=&quot;00F61F56&quot;/&gt;&lt;wsp:rsid wsp:val=&quot;00F637CD&quot;/&gt;&lt;wsp:rsid wsp:val=&quot;00F64ABE&quot;/&gt;&lt;wsp:rsid wsp:val=&quot;00F64BCE&quot;/&gt;&lt;wsp:rsid wsp:val=&quot;00F64CD1&quot;/&gt;&lt;wsp:rsid wsp:val=&quot;00F65B84&quot;/&gt;&lt;wsp:rsid wsp:val=&quot;00F65BF9&quot;/&gt;&lt;wsp:rsid wsp:val=&quot;00F668FF&quot;/&gt;&lt;wsp:rsid wsp:val=&quot;00F66901&quot;/&gt;&lt;wsp:rsid wsp:val=&quot;00F670FC&quot;/&gt;&lt;wsp:rsid wsp:val=&quot;00F671C5&quot;/&gt;&lt;wsp:rsid wsp:val=&quot;00F702AE&quot;/&gt;&lt;wsp:rsid wsp:val=&quot;00F704F4&quot;/&gt;&lt;wsp:rsid wsp:val=&quot;00F7089D&quot;/&gt;&lt;wsp:rsid wsp:val=&quot;00F70930&quot;/&gt;&lt;wsp:rsid wsp:val=&quot;00F710BF&quot;/&gt;&lt;wsp:rsid wsp:val=&quot;00F71250&quot;/&gt;&lt;wsp:rsid wsp:val=&quot;00F71B06&quot;/&gt;&lt;wsp:rsid wsp:val=&quot;00F724E3&quot;/&gt;&lt;wsp:rsid wsp:val=&quot;00F726A8&quot;/&gt;&lt;wsp:rsid wsp:val=&quot;00F726FC&quot;/&gt;&lt;wsp:rsid wsp:val=&quot;00F72B3A&quot;/&gt;&lt;wsp:rsid wsp:val=&quot;00F72CC3&quot;/&gt;&lt;wsp:rsid wsp:val=&quot;00F73162&quot;/&gt;&lt;wsp:rsid wsp:val=&quot;00F73D01&quot;/&gt;&lt;wsp:rsid wsp:val=&quot;00F74466&quot;/&gt;&lt;wsp:rsid wsp:val=&quot;00F74619&quot;/&gt;&lt;wsp:rsid wsp:val=&quot;00F74BB7&quot;/&gt;&lt;wsp:rsid wsp:val=&quot;00F74C7A&quot;/&gt;&lt;wsp:rsid wsp:val=&quot;00F757B5&quot;/&gt;&lt;wsp:rsid wsp:val=&quot;00F75A35&quot;/&gt;&lt;wsp:rsid wsp:val=&quot;00F75A5C&quot;/&gt;&lt;wsp:rsid wsp:val=&quot;00F75D35&quot;/&gt;&lt;wsp:rsid wsp:val=&quot;00F75D96&quot;/&gt;&lt;wsp:rsid wsp:val=&quot;00F7638F&quot;/&gt;&lt;wsp:rsid wsp:val=&quot;00F7661C&quot;/&gt;&lt;wsp:rsid wsp:val=&quot;00F7696D&quot;/&gt;&lt;wsp:rsid wsp:val=&quot;00F769FF&quot;/&gt;&lt;wsp:rsid wsp:val=&quot;00F7710E&quot;/&gt;&lt;wsp:rsid wsp:val=&quot;00F771A3&quot;/&gt;&lt;wsp:rsid wsp:val=&quot;00F7746E&quot;/&gt;&lt;wsp:rsid wsp:val=&quot;00F774A2&quot;/&gt;&lt;wsp:rsid wsp:val=&quot;00F8066C&quot;/&gt;&lt;wsp:rsid wsp:val=&quot;00F80F50&quot;/&gt;&lt;wsp:rsid wsp:val=&quot;00F8146F&quot;/&gt;&lt;wsp:rsid wsp:val=&quot;00F8194F&quot;/&gt;&lt;wsp:rsid wsp:val=&quot;00F81E49&quot;/&gt;&lt;wsp:rsid wsp:val=&quot;00F820AC&quot;/&gt;&lt;wsp:rsid wsp:val=&quot;00F82228&quot;/&gt;&lt;wsp:rsid wsp:val=&quot;00F824A7&quot;/&gt;&lt;wsp:rsid wsp:val=&quot;00F82C80&quot;/&gt;&lt;wsp:rsid wsp:val=&quot;00F83218&quot;/&gt;&lt;wsp:rsid wsp:val=&quot;00F840E3&quot;/&gt;&lt;wsp:rsid wsp:val=&quot;00F84359&quot;/&gt;&lt;wsp:rsid wsp:val=&quot;00F847DD&quot;/&gt;&lt;wsp:rsid wsp:val=&quot;00F84B75&quot;/&gt;&lt;wsp:rsid wsp:val=&quot;00F85382&quot;/&gt;&lt;wsp:rsid wsp:val=&quot;00F857C5&quot;/&gt;&lt;wsp:rsid wsp:val=&quot;00F85D5F&quot;/&gt;&lt;wsp:rsid wsp:val=&quot;00F85E61&quot;/&gt;&lt;wsp:rsid wsp:val=&quot;00F868A8&quot;/&gt;&lt;wsp:rsid wsp:val=&quot;00F868DC&quot;/&gt;&lt;wsp:rsid wsp:val=&quot;00F86B3E&quot;/&gt;&lt;wsp:rsid wsp:val=&quot;00F87A3F&quot;/&gt;&lt;wsp:rsid wsp:val=&quot;00F87A6A&quot;/&gt;&lt;wsp:rsid wsp:val=&quot;00F9007D&quot;/&gt;&lt;wsp:rsid wsp:val=&quot;00F90B7F&quot;/&gt;&lt;wsp:rsid wsp:val=&quot;00F91EB8&quot;/&gt;&lt;wsp:rsid wsp:val=&quot;00F93482&quot;/&gt;&lt;wsp:rsid wsp:val=&quot;00F939AE&quot;/&gt;&lt;wsp:rsid wsp:val=&quot;00F9563B&quot;/&gt;&lt;wsp:rsid wsp:val=&quot;00F958B8&quot;/&gt;&lt;wsp:rsid wsp:val=&quot;00F95E05&quot;/&gt;&lt;wsp:rsid wsp:val=&quot;00F969CE&quot;/&gt;&lt;wsp:rsid wsp:val=&quot;00F97064&quot;/&gt;&lt;wsp:rsid wsp:val=&quot;00F970A3&quot;/&gt;&lt;wsp:rsid wsp:val=&quot;00F973C6&quot;/&gt;&lt;wsp:rsid wsp:val=&quot;00F97A07&quot;/&gt;&lt;wsp:rsid wsp:val=&quot;00FA0681&quot;/&gt;&lt;wsp:rsid wsp:val=&quot;00FA0716&quot;/&gt;&lt;wsp:rsid wsp:val=&quot;00FA0CAC&quot;/&gt;&lt;wsp:rsid wsp:val=&quot;00FA1568&quot;/&gt;&lt;wsp:rsid wsp:val=&quot;00FA1816&quot;/&gt;&lt;wsp:rsid wsp:val=&quot;00FA18CA&quot;/&gt;&lt;wsp:rsid wsp:val=&quot;00FA18EF&quot;/&gt;&lt;wsp:rsid wsp:val=&quot;00FA2193&quot;/&gt;&lt;wsp:rsid wsp:val=&quot;00FA292C&quot;/&gt;&lt;wsp:rsid wsp:val=&quot;00FA33C5&quot;/&gt;&lt;wsp:rsid wsp:val=&quot;00FA3876&quot;/&gt;&lt;wsp:rsid wsp:val=&quot;00FA43D1&quot;/&gt;&lt;wsp:rsid wsp:val=&quot;00FA4748&quot;/&gt;&lt;wsp:rsid wsp:val=&quot;00FA57C4&quot;/&gt;&lt;wsp:rsid wsp:val=&quot;00FA594F&quot;/&gt;&lt;wsp:rsid wsp:val=&quot;00FA5C25&quot;/&gt;&lt;wsp:rsid wsp:val=&quot;00FA5D09&quot;/&gt;&lt;wsp:rsid wsp:val=&quot;00FA6119&quot;/&gt;&lt;wsp:rsid wsp:val=&quot;00FA70CB&quot;/&gt;&lt;wsp:rsid wsp:val=&quot;00FA71E0&quot;/&gt;&lt;wsp:rsid wsp:val=&quot;00FB0270&quot;/&gt;&lt;wsp:rsid wsp:val=&quot;00FB0476&quot;/&gt;&lt;wsp:rsid wsp:val=&quot;00FB04FD&quot;/&gt;&lt;wsp:rsid wsp:val=&quot;00FB146C&quot;/&gt;&lt;wsp:rsid wsp:val=&quot;00FB1946&quot;/&gt;&lt;wsp:rsid wsp:val=&quot;00FB1AB4&quot;/&gt;&lt;wsp:rsid wsp:val=&quot;00FB2563&quot;/&gt;&lt;wsp:rsid wsp:val=&quot;00FB26E8&quot;/&gt;&lt;wsp:rsid wsp:val=&quot;00FB2F48&quot;/&gt;&lt;wsp:rsid wsp:val=&quot;00FB3495&quot;/&gt;&lt;wsp:rsid wsp:val=&quot;00FB39E9&quot;/&gt;&lt;wsp:rsid wsp:val=&quot;00FB4CA7&quot;/&gt;&lt;wsp:rsid wsp:val=&quot;00FB4E44&quot;/&gt;&lt;wsp:rsid wsp:val=&quot;00FB537F&quot;/&gt;&lt;wsp:rsid wsp:val=&quot;00FB543D&quot;/&gt;&lt;wsp:rsid wsp:val=&quot;00FB550D&quot;/&gt;&lt;wsp:rsid wsp:val=&quot;00FB5A3C&quot;/&gt;&lt;wsp:rsid wsp:val=&quot;00FB6FB8&quot;/&gt;&lt;wsp:rsid wsp:val=&quot;00FC08BB&quot;/&gt;&lt;wsp:rsid wsp:val=&quot;00FC1DA8&quot;/&gt;&lt;wsp:rsid wsp:val=&quot;00FC2157&quot;/&gt;&lt;wsp:rsid wsp:val=&quot;00FC21A8&quot;/&gt;&lt;wsp:rsid wsp:val=&quot;00FC2463&quot;/&gt;&lt;wsp:rsid wsp:val=&quot;00FC29EC&quot;/&gt;&lt;wsp:rsid wsp:val=&quot;00FC358D&quot;/&gt;&lt;wsp:rsid wsp:val=&quot;00FC4026&quot;/&gt;&lt;wsp:rsid wsp:val=&quot;00FC4AAE&quot;/&gt;&lt;wsp:rsid wsp:val=&quot;00FC6AE1&quot;/&gt;&lt;wsp:rsid wsp:val=&quot;00FC6D39&quot;/&gt;&lt;wsp:rsid wsp:val=&quot;00FC7329&quot;/&gt;&lt;wsp:rsid wsp:val=&quot;00FC7678&quot;/&gt;&lt;wsp:rsid wsp:val=&quot;00FD0378&quot;/&gt;&lt;wsp:rsid wsp:val=&quot;00FD0397&quot;/&gt;&lt;wsp:rsid wsp:val=&quot;00FD04B0&quot;/&gt;&lt;wsp:rsid wsp:val=&quot;00FD1562&quot;/&gt;&lt;wsp:rsid wsp:val=&quot;00FD1BB7&quot;/&gt;&lt;wsp:rsid wsp:val=&quot;00FD1D25&quot;/&gt;&lt;wsp:rsid wsp:val=&quot;00FD2598&quot;/&gt;&lt;wsp:rsid wsp:val=&quot;00FD2835&quot;/&gt;&lt;wsp:rsid wsp:val=&quot;00FD2A9E&quot;/&gt;&lt;wsp:rsid wsp:val=&quot;00FD3775&quot;/&gt;&lt;wsp:rsid wsp:val=&quot;00FD39A4&quot;/&gt;&lt;wsp:rsid wsp:val=&quot;00FD484D&quot;/&gt;&lt;wsp:rsid wsp:val=&quot;00FD4DC9&quot;/&gt;&lt;wsp:rsid wsp:val=&quot;00FD4E2F&quot;/&gt;&lt;wsp:rsid wsp:val=&quot;00FD4EC4&quot;/&gt;&lt;wsp:rsid wsp:val=&quot;00FD53AC&quot;/&gt;&lt;wsp:rsid wsp:val=&quot;00FD54BB&quot;/&gt;&lt;wsp:rsid wsp:val=&quot;00FD5D21&quot;/&gt;&lt;wsp:rsid wsp:val=&quot;00FD5E08&quot;/&gt;&lt;wsp:rsid wsp:val=&quot;00FD5FF3&quot;/&gt;&lt;wsp:rsid wsp:val=&quot;00FD662E&quot;/&gt;&lt;wsp:rsid wsp:val=&quot;00FD670B&quot;/&gt;&lt;wsp:rsid wsp:val=&quot;00FD6852&quot;/&gt;&lt;wsp:rsid wsp:val=&quot;00FD7368&quot;/&gt;&lt;wsp:rsid wsp:val=&quot;00FE034C&quot;/&gt;&lt;wsp:rsid wsp:val=&quot;00FE1428&quot;/&gt;&lt;wsp:rsid wsp:val=&quot;00FE1A4A&quot;/&gt;&lt;wsp:rsid wsp:val=&quot;00FE1E2A&quot;/&gt;&lt;wsp:rsid wsp:val=&quot;00FE3D9A&quot;/&gt;&lt;wsp:rsid wsp:val=&quot;00FE4597&quot;/&gt;&lt;wsp:rsid wsp:val=&quot;00FE4C71&quot;/&gt;&lt;wsp:rsid wsp:val=&quot;00FE4DE2&quot;/&gt;&lt;wsp:rsid wsp:val=&quot;00FE50B0&quot;/&gt;&lt;wsp:rsid wsp:val=&quot;00FE5227&quot;/&gt;&lt;wsp:rsid wsp:val=&quot;00FE5704&quot;/&gt;&lt;wsp:rsid wsp:val=&quot;00FE5B97&quot;/&gt;&lt;wsp:rsid wsp:val=&quot;00FE5E77&quot;/&gt;&lt;wsp:rsid wsp:val=&quot;00FE717C&quot;/&gt;&lt;wsp:rsid wsp:val=&quot;00FE79D4&quot;/&gt;&lt;wsp:rsid wsp:val=&quot;00FE7C58&quot;/&gt;&lt;wsp:rsid wsp:val=&quot;00FF0201&quot;/&gt;&lt;wsp:rsid wsp:val=&quot;00FF0349&quot;/&gt;&lt;wsp:rsid wsp:val=&quot;00FF04F4&quot;/&gt;&lt;wsp:rsid wsp:val=&quot;00FF147E&quot;/&gt;&lt;wsp:rsid wsp:val=&quot;00FF1649&quot;/&gt;&lt;wsp:rsid wsp:val=&quot;00FF24C5&quot;/&gt;&lt;wsp:rsid wsp:val=&quot;00FF2661&quot;/&gt;&lt;wsp:rsid wsp:val=&quot;00FF304B&quot;/&gt;&lt;wsp:rsid wsp:val=&quot;00FF3560&quot;/&gt;&lt;wsp:rsid wsp:val=&quot;00FF399E&quot;/&gt;&lt;wsp:rsid wsp:val=&quot;00FF43BE&quot;/&gt;&lt;wsp:rsid wsp:val=&quot;00FF45B6&quot;/&gt;&lt;wsp:rsid wsp:val=&quot;00FF481B&quot;/&gt;&lt;wsp:rsid wsp:val=&quot;00FF4CD5&quot;/&gt;&lt;wsp:rsid wsp:val=&quot;00FF5FE9&quot;/&gt;&lt;wsp:rsid wsp:val=&quot;00FF5FF2&quot;/&gt;&lt;wsp:rsid wsp:val=&quot;00FF75C8&quot;/&gt;&lt;wsp:rsid wsp:val=&quot;00FF7EA4&quot;/&gt;&lt;wsp:rsid wsp:val=&quot;0125419F&quot;/&gt;&lt;wsp:rsid wsp:val=&quot;01427F14&quot;/&gt;&lt;wsp:rsid wsp:val=&quot;01466400&quot;/&gt;&lt;wsp:rsid wsp:val=&quot;0150369D&quot;/&gt;&lt;wsp:rsid wsp:val=&quot;015072EF&quot;/&gt;&lt;wsp:rsid wsp:val=&quot;016B17DD&quot;/&gt;&lt;wsp:rsid wsp:val=&quot;016F0A12&quot;/&gt;&lt;wsp:rsid wsp:val=&quot;01825C91&quot;/&gt;&lt;wsp:rsid wsp:val=&quot;01AE5B4F&quot;/&gt;&lt;wsp:rsid wsp:val=&quot;01D06598&quot;/&gt;&lt;wsp:rsid wsp:val=&quot;01DD22FF&quot;/&gt;&lt;wsp:rsid wsp:val=&quot;023C3B49&quot;/&gt;&lt;wsp:rsid wsp:val=&quot;024B551A&quot;/&gt;&lt;wsp:rsid wsp:val=&quot;025215E5&quot;/&gt;&lt;wsp:rsid wsp:val=&quot;025A6199&quot;/&gt;&lt;wsp:rsid wsp:val=&quot;0262765D&quot;/&gt;&lt;wsp:rsid wsp:val=&quot;032A29E6&quot;/&gt;&lt;wsp:rsid wsp:val=&quot;03605E83&quot;/&gt;&lt;wsp:rsid wsp:val=&quot;0370268D&quot;/&gt;&lt;wsp:rsid wsp:val=&quot;03AE5EE9&quot;/&gt;&lt;wsp:rsid wsp:val=&quot;03B745B3&quot;/&gt;&lt;wsp:rsid wsp:val=&quot;04285100&quot;/&gt;&lt;wsp:rsid wsp:val=&quot;04733AE7&quot;/&gt;&lt;wsp:rsid wsp:val=&quot;04990581&quot;/&gt;&lt;wsp:rsid wsp:val=&quot;04C60C8F&quot;/&gt;&lt;wsp:rsid wsp:val=&quot;04E37DD6&quot;/&gt;&lt;wsp:rsid wsp:val=&quot;04E443D7&quot;/&gt;&lt;wsp:rsid wsp:val=&quot;05B85D9E&quot;/&gt;&lt;wsp:rsid wsp:val=&quot;06111692&quot;/&gt;&lt;wsp:rsid wsp:val=&quot;0669212E&quot;/&gt;&lt;wsp:rsid wsp:val=&quot;067D11C0&quot;/&gt;&lt;wsp:rsid wsp:val=&quot;068A6CC7&quot;/&gt;&lt;wsp:rsid wsp:val=&quot;06B57C7D&quot;/&gt;&lt;wsp:rsid wsp:val=&quot;06BE6663&quot;/&gt;&lt;wsp:rsid wsp:val=&quot;0757644F&quot;/&gt;&lt;wsp:rsid wsp:val=&quot;07B733EC&quot;/&gt;&lt;wsp:rsid wsp:val=&quot;07C37FFE&quot;/&gt;&lt;wsp:rsid wsp:val=&quot;08874EDE&quot;/&gt;&lt;wsp:rsid wsp:val=&quot;08AE14EE&quot;/&gt;&lt;wsp:rsid wsp:val=&quot;09015895&quot;/&gt;&lt;wsp:rsid wsp:val=&quot;091B2B80&quot;/&gt;&lt;wsp:rsid wsp:val=&quot;09963E15&quot;/&gt;&lt;wsp:rsid wsp:val=&quot;099E6E49&quot;/&gt;&lt;wsp:rsid wsp:val=&quot;09C334AD&quot;/&gt;&lt;wsp:rsid wsp:val=&quot;09D54231&quot;/&gt;&lt;wsp:rsid wsp:val=&quot;09E3095C&quot;/&gt;&lt;wsp:rsid wsp:val=&quot;0A871AD6&quot;/&gt;&lt;wsp:rsid wsp:val=&quot;0A8D446E&quot;/&gt;&lt;wsp:rsid wsp:val=&quot;0AAB1084&quot;/&gt;&lt;wsp:rsid wsp:val=&quot;0AB235A6&quot;/&gt;&lt;wsp:rsid wsp:val=&quot;0ABF10F3&quot;/&gt;&lt;wsp:rsid wsp:val=&quot;0B2F576C&quot;/&gt;&lt;wsp:rsid wsp:val=&quot;0B6C2A36&quot;/&gt;&lt;wsp:rsid wsp:val=&quot;0BA84A17&quot;/&gt;&lt;wsp:rsid wsp:val=&quot;0BC731DA&quot;/&gt;&lt;wsp:rsid wsp:val=&quot;0BE95E9A&quot;/&gt;&lt;wsp:rsid wsp:val=&quot;0BF44263&quot;/&gt;&lt;wsp:rsid wsp:val=&quot;0C4A5FCF&quot;/&gt;&lt;wsp:rsid wsp:val=&quot;0CDF7C74&quot;/&gt;&lt;wsp:rsid wsp:val=&quot;0D32321E&quot;/&gt;&lt;wsp:rsid wsp:val=&quot;0DAC6DFF&quot;/&gt;&lt;wsp:rsid wsp:val=&quot;0DB95CC4&quot;/&gt;&lt;wsp:rsid wsp:val=&quot;0DBD6DA9&quot;/&gt;&lt;wsp:rsid wsp:val=&quot;0DC17B4D&quot;/&gt;&lt;wsp:rsid wsp:val=&quot;0DE01541&quot;/&gt;&lt;wsp:rsid wsp:val=&quot;0DE87527&quot;/&gt;&lt;wsp:rsid wsp:val=&quot;0DF85F69&quot;/&gt;&lt;wsp:rsid wsp:val=&quot;0E5031D6&quot;/&gt;&lt;wsp:rsid wsp:val=&quot;0E6B5309&quot;/&gt;&lt;wsp:rsid wsp:val=&quot;0E797F15&quot;/&gt;&lt;wsp:rsid wsp:val=&quot;0EE65A87&quot;/&gt;&lt;wsp:rsid wsp:val=&quot;0F100C16&quot;/&gt;&lt;wsp:rsid wsp:val=&quot;0F4B06D1&quot;/&gt;&lt;wsp:rsid wsp:val=&quot;0F614434&quot;/&gt;&lt;wsp:rsid wsp:val=&quot;0FD73141&quot;/&gt;&lt;wsp:rsid wsp:val=&quot;0FEC165F&quot;/&gt;&lt;wsp:rsid wsp:val=&quot;10052457&quot;/&gt;&lt;wsp:rsid wsp:val=&quot;10773BC9&quot;/&gt;&lt;wsp:rsid wsp:val=&quot;10774D14&quot;/&gt;&lt;wsp:rsid wsp:val=&quot;10851486&quot;/&gt;&lt;wsp:rsid wsp:val=&quot;10965ADB&quot;/&gt;&lt;wsp:rsid wsp:val=&quot;10A37B14&quot;/&gt;&lt;wsp:rsid wsp:val=&quot;10A73B37&quot;/&gt;&lt;wsp:rsid wsp:val=&quot;10C76094&quot;/&gt;&lt;wsp:rsid wsp:val=&quot;10F43BB8&quot;/&gt;&lt;wsp:rsid wsp:val=&quot;110942BD&quot;/&gt;&lt;wsp:rsid wsp:val=&quot;118023A1&quot;/&gt;&lt;wsp:rsid wsp:val=&quot;11E72D0B&quot;/&gt;&lt;wsp:rsid wsp:val=&quot;121E290C&quot;/&gt;&lt;wsp:rsid wsp:val=&quot;12346790&quot;/&gt;&lt;wsp:rsid wsp:val=&quot;12886EF9&quot;/&gt;&lt;wsp:rsid wsp:val=&quot;12BD714C&quot;/&gt;&lt;wsp:rsid wsp:val=&quot;130D3BC7&quot;/&gt;&lt;wsp:rsid wsp:val=&quot;130E1881&quot;/&gt;&lt;wsp:rsid wsp:val=&quot;137C4EF4&quot;/&gt;&lt;wsp:rsid wsp:val=&quot;138604E7&quot;/&gt;&lt;wsp:rsid wsp:val=&quot;13C96EE2&quot;/&gt;&lt;wsp:rsid wsp:val=&quot;14110BA3&quot;/&gt;&lt;wsp:rsid wsp:val=&quot;143916E5&quot;/&gt;&lt;wsp:rsid wsp:val=&quot;144D0C85&quot;/&gt;&lt;wsp:rsid wsp:val=&quot;1452686A&quot;/&gt;&lt;wsp:rsid wsp:val=&quot;147E09DC&quot;/&gt;&lt;wsp:rsid wsp:val=&quot;149200CF&quot;/&gt;&lt;wsp:rsid wsp:val=&quot;14A0169A&quot;/&gt;&lt;wsp:rsid wsp:val=&quot;14BB18F3&quot;/&gt;&lt;wsp:rsid wsp:val=&quot;14E51236&quot;/&gt;&lt;wsp:rsid wsp:val=&quot;154565B3&quot;/&gt;&lt;wsp:rsid wsp:val=&quot;1576197F&quot;/&gt;&lt;wsp:rsid wsp:val=&quot;15971627&quot;/&gt;&lt;wsp:rsid wsp:val=&quot;15A752E2&quot;/&gt;&lt;wsp:rsid wsp:val=&quot;15C42C08&quot;/&gt;&lt;wsp:rsid wsp:val=&quot;15F95EDE&quot;/&gt;&lt;wsp:rsid wsp:val=&quot;1601422C&quot;/&gt;&lt;wsp:rsid wsp:val=&quot;16481B33&quot;/&gt;&lt;wsp:rsid wsp:val=&quot;165D518B&quot;/&gt;&lt;wsp:rsid wsp:val=&quot;17EF54A0&quot;/&gt;&lt;wsp:rsid wsp:val=&quot;18511659&quot;/&gt;&lt;wsp:rsid wsp:val=&quot;185C49A0&quot;/&gt;&lt;wsp:rsid wsp:val=&quot;188F2A6B&quot;/&gt;&lt;wsp:rsid wsp:val=&quot;18BF48F8&quot;/&gt;&lt;wsp:rsid wsp:val=&quot;18DA370F&quot;/&gt;&lt;wsp:rsid wsp:val=&quot;18F04E93&quot;/&gt;&lt;wsp:rsid wsp:val=&quot;18F37BE6&quot;/&gt;&lt;wsp:rsid wsp:val=&quot;19055E63&quot;/&gt;&lt;wsp:rsid wsp:val=&quot;1921492B&quot;/&gt;&lt;wsp:rsid wsp:val=&quot;19511E25&quot;/&gt;&lt;wsp:rsid wsp:val=&quot;19526AB7&quot;/&gt;&lt;wsp:rsid wsp:val=&quot;19814F0B&quot;/&gt;&lt;wsp:rsid wsp:val=&quot;199750AF&quot;/&gt;&lt;wsp:rsid wsp:val=&quot;19A838A8&quot;/&gt;&lt;wsp:rsid wsp:val=&quot;19AD5498&quot;/&gt;&lt;wsp:rsid wsp:val=&quot;19B235EF&quot;/&gt;&lt;wsp:rsid wsp:val=&quot;1A174E23&quot;/&gt;&lt;wsp:rsid wsp:val=&quot;1A182D29&quot;/&gt;&lt;wsp:rsid wsp:val=&quot;1A4B3177&quot;/&gt;&lt;wsp:rsid wsp:val=&quot;1A910B6E&quot;/&gt;&lt;wsp:rsid wsp:val=&quot;1ADF02D5&quot;/&gt;&lt;wsp:rsid wsp:val=&quot;1AEB4ED1&quot;/&gt;&lt;wsp:rsid wsp:val=&quot;1B170FD2&quot;/&gt;&lt;wsp:rsid wsp:val=&quot;1BBB770A&quot;/&gt;&lt;wsp:rsid wsp:val=&quot;1BCD0CE2&quot;/&gt;&lt;wsp:rsid wsp:val=&quot;1BF34D8C&quot;/&gt;&lt;wsp:rsid wsp:val=&quot;1BF44C54&quot;/&gt;&lt;wsp:rsid wsp:val=&quot;1C1B7504&quot;/&gt;&lt;wsp:rsid wsp:val=&quot;1C343FCD&quot;/&gt;&lt;wsp:rsid wsp:val=&quot;1C3D6D64&quot;/&gt;&lt;wsp:rsid wsp:val=&quot;1C511232&quot;/&gt;&lt;wsp:rsid wsp:val=&quot;1CE06559&quot;/&gt;&lt;wsp:rsid wsp:val=&quot;1D8A5069&quot;/&gt;&lt;wsp:rsid wsp:val=&quot;1DAC05D1&quot;/&gt;&lt;wsp:rsid wsp:val=&quot;1E0F74FA&quot;/&gt;&lt;wsp:rsid wsp:val=&quot;1E4E7639&quot;/&gt;&lt;wsp:rsid wsp:val=&quot;1E702CA2&quot;/&gt;&lt;wsp:rsid wsp:val=&quot;1EA17D59&quot;/&gt;&lt;wsp:rsid wsp:val=&quot;1ECD0684&quot;/&gt;&lt;wsp:rsid wsp:val=&quot;1EF44F25&quot;/&gt;&lt;wsp:rsid wsp:val=&quot;1EFE7BC7&quot;/&gt;&lt;wsp:rsid wsp:val=&quot;1F1E11AC&quot;/&gt;&lt;wsp:rsid wsp:val=&quot;1F7538B6&quot;/&gt;&lt;wsp:rsid wsp:val=&quot;1F7F30F7&quot;/&gt;&lt;wsp:rsid wsp:val=&quot;1FB504B0&quot;/&gt;&lt;wsp:rsid wsp:val=&quot;1FF84C6C&quot;/&gt;&lt;wsp:rsid wsp:val=&quot;2036326B&quot;/&gt;&lt;wsp:rsid wsp:val=&quot;2039044D&quot;/&gt;&lt;wsp:rsid wsp:val=&quot;20A65D1A&quot;/&gt;&lt;wsp:rsid wsp:val=&quot;20B9403D&quot;/&gt;&lt;wsp:rsid wsp:val=&quot;20DB499F&quot;/&gt;&lt;wsp:rsid wsp:val=&quot;211D1CE3&quot;/&gt;&lt;wsp:rsid wsp:val=&quot;212059BB&quot;/&gt;&lt;wsp:rsid wsp:val=&quot;2137748C&quot;/&gt;&lt;wsp:rsid wsp:val=&quot;21662FB6&quot;/&gt;&lt;wsp:rsid wsp:val=&quot;21D3488F&quot;/&gt;&lt;wsp:rsid wsp:val=&quot;21E31B85&quot;/&gt;&lt;wsp:rsid wsp:val=&quot;222D628D&quot;/&gt;&lt;wsp:rsid wsp:val=&quot;22381B93&quot;/&gt;&lt;wsp:rsid wsp:val=&quot;224604D3&quot;/&gt;&lt;wsp:rsid wsp:val=&quot;225E3364&quot;/&gt;&lt;wsp:rsid wsp:val=&quot;22A25E42&quot;/&gt;&lt;wsp:rsid wsp:val=&quot;22D27CB0&quot;/&gt;&lt;wsp:rsid wsp:val=&quot;230952C7&quot;/&gt;&lt;wsp:rsid wsp:val=&quot;230D1610&quot;/&gt;&lt;wsp:rsid wsp:val=&quot;2337204E&quot;/&gt;&lt;wsp:rsid wsp:val=&quot;233D5432&quot;/&gt;&lt;wsp:rsid wsp:val=&quot;249E3BDB&quot;/&gt;&lt;wsp:rsid wsp:val=&quot;24CA0147&quot;/&gt;&lt;wsp:rsid wsp:val=&quot;24CA6B2E&quot;/&gt;&lt;wsp:rsid wsp:val=&quot;24FD2D6B&quot;/&gt;&lt;wsp:rsid wsp:val=&quot;25544D4D&quot;/&gt;&lt;wsp:rsid wsp:val=&quot;255F7B47&quot;/&gt;&lt;wsp:rsid wsp:val=&quot;25CD7D39&quot;/&gt;&lt;wsp:rsid wsp:val=&quot;25D36E5D&quot;/&gt;&lt;wsp:rsid wsp:val=&quot;25D80464&quot;/&gt;&lt;wsp:rsid wsp:val=&quot;25F36E89&quot;/&gt;&lt;wsp:rsid wsp:val=&quot;25F80CA9&quot;/&gt;&lt;wsp:rsid wsp:val=&quot;26543457&quot;/&gt;&lt;wsp:rsid wsp:val=&quot;26B37384&quot;/&gt;&lt;wsp:rsid wsp:val=&quot;26BC20D8&quot;/&gt;&lt;wsp:rsid wsp:val=&quot;26D20C8C&quot;/&gt;&lt;wsp:rsid wsp:val=&quot;272772FE&quot;/&gt;&lt;wsp:rsid wsp:val=&quot;273159A2&quot;/&gt;&lt;wsp:rsid wsp:val=&quot;2737002B&quot;/&gt;&lt;wsp:rsid wsp:val=&quot;27576692&quot;/&gt;&lt;wsp:rsid wsp:val=&quot;27777FEC&quot;/&gt;&lt;wsp:rsid wsp:val=&quot;27894B89&quot;/&gt;&lt;wsp:rsid wsp:val=&quot;278F43E7&quot;/&gt;&lt;wsp:rsid wsp:val=&quot;27904B0C&quot;/&gt;&lt;wsp:rsid wsp:val=&quot;27920B1E&quot;/&gt;&lt;wsp:rsid wsp:val=&quot;27E832C6&quot;/&gt;&lt;wsp:rsid wsp:val=&quot;28262F71&quot;/&gt;&lt;wsp:rsid wsp:val=&quot;283C5409&quot;/&gt;&lt;wsp:rsid wsp:val=&quot;286068F1&quot;/&gt;&lt;wsp:rsid wsp:val=&quot;28964E15&quot;/&gt;&lt;wsp:rsid wsp:val=&quot;28A537F8&quot;/&gt;&lt;wsp:rsid wsp:val=&quot;28C621AB&quot;/&gt;&lt;wsp:rsid wsp:val=&quot;28D03B6C&quot;/&gt;&lt;wsp:rsid wsp:val=&quot;29014572&quot;/&gt;&lt;wsp:rsid wsp:val=&quot;294B264B&quot;/&gt;&lt;wsp:rsid wsp:val=&quot;2970316A&quot;/&gt;&lt;wsp:rsid wsp:val=&quot;29F724E8&quot;/&gt;&lt;wsp:rsid wsp:val=&quot;2A3E3B3D&quot;/&gt;&lt;wsp:rsid wsp:val=&quot;2A3E50C7&quot;/&gt;&lt;wsp:rsid wsp:val=&quot;2A646EA3&quot;/&gt;&lt;wsp:rsid wsp:val=&quot;2B0F7DC5&quot;/&gt;&lt;wsp:rsid wsp:val=&quot;2B16775D&quot;/&gt;&lt;wsp:rsid wsp:val=&quot;2B2D6745&quot;/&gt;&lt;wsp:rsid wsp:val=&quot;2B6D46C7&quot;/&gt;&lt;wsp:rsid wsp:val=&quot;2B8A03F7&quot;/&gt;&lt;wsp:rsid wsp:val=&quot;2BB731D8&quot;/&gt;&lt;wsp:rsid wsp:val=&quot;2C3F28A4&quot;/&gt;&lt;wsp:rsid wsp:val=&quot;2C5C1EB0&quot;/&gt;&lt;wsp:rsid wsp:val=&quot;2C5D59FD&quot;/&gt;&lt;wsp:rsid wsp:val=&quot;2C793948&quot;/&gt;&lt;wsp:rsid wsp:val=&quot;2C9C5FBF&quot;/&gt;&lt;wsp:rsid wsp:val=&quot;2CA64D32&quot;/&gt;&lt;wsp:rsid wsp:val=&quot;2CCC23A6&quot;/&gt;&lt;wsp:rsid wsp:val=&quot;2D186C6A&quot;/&gt;&lt;wsp:rsid wsp:val=&quot;2D6A3620&quot;/&gt;&lt;wsp:rsid wsp:val=&quot;2D9373BD&quot;/&gt;&lt;wsp:rsid wsp:val=&quot;2DCD6330&quot;/&gt;&lt;wsp:rsid wsp:val=&quot;2DD72CF6&quot;/&gt;&lt;wsp:rsid wsp:val=&quot;2E01649E&quot;/&gt;&lt;wsp:rsid wsp:val=&quot;2E1921F6&quot;/&gt;&lt;wsp:rsid wsp:val=&quot;2E1E1844&quot;/&gt;&lt;wsp:rsid wsp:val=&quot;2E22039F&quot;/&gt;&lt;wsp:rsid wsp:val=&quot;2E3617A2&quot;/&gt;&lt;wsp:rsid wsp:val=&quot;2E521794&quot;/&gt;&lt;wsp:rsid wsp:val=&quot;2E5F1F01&quot;/&gt;&lt;wsp:rsid wsp:val=&quot;2E6E3DF8&quot;/&gt;&lt;wsp:rsid wsp:val=&quot;2EC92287&quot;/&gt;&lt;wsp:rsid wsp:val=&quot;2ED276B9&quot;/&gt;&lt;wsp:rsid wsp:val=&quot;2F1A62FD&quot;/&gt;&lt;wsp:rsid wsp:val=&quot;2F3F107F&quot;/&gt;&lt;wsp:rsid wsp:val=&quot;2F6649B0&quot;/&gt;&lt;wsp:rsid wsp:val=&quot;2F7A2FEF&quot;/&gt;&lt;wsp:rsid wsp:val=&quot;2F8053D0&quot;/&gt;&lt;wsp:rsid wsp:val=&quot;2F81748F&quot;/&gt;&lt;wsp:rsid wsp:val=&quot;2F897D69&quot;/&gt;&lt;wsp:rsid wsp:val=&quot;2FFD46F9&quot;/&gt;&lt;wsp:rsid wsp:val=&quot;300D4F66&quot;/&gt;&lt;wsp:rsid wsp:val=&quot;30166958&quot;/&gt;&lt;wsp:rsid wsp:val=&quot;303460E3&quot;/&gt;&lt;wsp:rsid wsp:val=&quot;30415955&quot;/&gt;&lt;wsp:rsid wsp:val=&quot;30526429&quot;/&gt;&lt;wsp:rsid wsp:val=&quot;30AA27AD&quot;/&gt;&lt;wsp:rsid wsp:val=&quot;30AC6289&quot;/&gt;&lt;wsp:rsid wsp:val=&quot;30F94360&quot;/&gt;&lt;wsp:rsid wsp:val=&quot;31447E95&quot;/&gt;&lt;wsp:rsid wsp:val=&quot;316313F0&quot;/&gt;&lt;wsp:rsid wsp:val=&quot;31945706&quot;/&gt;&lt;wsp:rsid wsp:val=&quot;319B20A3&quot;/&gt;&lt;wsp:rsid wsp:val=&quot;31B64C24&quot;/&gt;&lt;wsp:rsid wsp:val=&quot;31CA1ECB&quot;/&gt;&lt;wsp:rsid wsp:val=&quot;31F016B0&quot;/&gt;&lt;wsp:rsid wsp:val=&quot;32672019&quot;/&gt;&lt;wsp:rsid wsp:val=&quot;327636F8&quot;/&gt;&lt;wsp:rsid wsp:val=&quot;32823BE6&quot;/&gt;&lt;wsp:rsid wsp:val=&quot;32D67C21&quot;/&gt;&lt;wsp:rsid wsp:val=&quot;33B41E17&quot;/&gt;&lt;wsp:rsid wsp:val=&quot;33B43712&quot;/&gt;&lt;wsp:rsid wsp:val=&quot;33B83CEA&quot;/&gt;&lt;wsp:rsid wsp:val=&quot;33BA0B81&quot;/&gt;&lt;wsp:rsid wsp:val=&quot;33BD1B30&quot;/&gt;&lt;wsp:rsid wsp:val=&quot;33C3014B&quot;/&gt;&lt;wsp:rsid wsp:val=&quot;33D467AA&quot;/&gt;&lt;wsp:rsid wsp:val=&quot;33D67C56&quot;/&gt;&lt;wsp:rsid wsp:val=&quot;33F015EA&quot;/&gt;&lt;wsp:rsid wsp:val=&quot;342B5426&quot;/&gt;&lt;wsp:rsid wsp:val=&quot;34492F50&quot;/&gt;&lt;wsp:rsid wsp:val=&quot;34690FB6&quot;/&gt;&lt;wsp:rsid wsp:val=&quot;348A6482&quot;/&gt;&lt;wsp:rsid wsp:val=&quot;34C84BBA&quot;/&gt;&lt;wsp:rsid wsp:val=&quot;34E27153&quot;/&gt;&lt;wsp:rsid wsp:val=&quot;34F62570&quot;/&gt;&lt;wsp:rsid wsp:val=&quot;354F1D41&quot;/&gt;&lt;wsp:rsid wsp:val=&quot;35777926&quot;/&gt;&lt;wsp:rsid wsp:val=&quot;35795D38&quot;/&gt;&lt;wsp:rsid wsp:val=&quot;3588108B&quot;/&gt;&lt;wsp:rsid wsp:val=&quot;35AB5F25&quot;/&gt;&lt;wsp:rsid wsp:val=&quot;35CF31E7&quot;/&gt;&lt;wsp:rsid wsp:val=&quot;35F24EA5&quot;/&gt;&lt;wsp:rsid wsp:val=&quot;35F62234&quot;/&gt;&lt;wsp:rsid wsp:val=&quot;35F66CB3&quot;/&gt;&lt;wsp:rsid wsp:val=&quot;366A7B72&quot;/&gt;&lt;wsp:rsid wsp:val=&quot;36C63412&quot;/&gt;&lt;wsp:rsid wsp:val=&quot;36F71FDE&quot;/&gt;&lt;wsp:rsid wsp:val=&quot;371223BA&quot;/&gt;&lt;wsp:rsid wsp:val=&quot;372F4A3D&quot;/&gt;&lt;wsp:rsid wsp:val=&quot;37432774&quot;/&gt;&lt;wsp:rsid wsp:val=&quot;37A51486&quot;/&gt;&lt;wsp:rsid wsp:val=&quot;37A8224F&quot;/&gt;&lt;wsp:rsid wsp:val=&quot;37D54F27&quot;/&gt;&lt;wsp:rsid wsp:val=&quot;380E6256&quot;/&gt;&lt;wsp:rsid wsp:val=&quot;383D3652&quot;/&gt;&lt;wsp:rsid wsp:val=&quot;38517C62&quot;/&gt;&lt;wsp:rsid wsp:val=&quot;385623C8&quot;/&gt;&lt;wsp:rsid wsp:val=&quot;38611F48&quot;/&gt;&lt;wsp:rsid wsp:val=&quot;387455C5&quot;/&gt;&lt;wsp:rsid wsp:val=&quot;3945296D&quot;/&gt;&lt;wsp:rsid wsp:val=&quot;39453F6E&quot;/&gt;&lt;wsp:rsid wsp:val=&quot;39571DD8&quot;/&gt;&lt;wsp:rsid wsp:val=&quot;39827652&quot;/&gt;&lt;wsp:rsid wsp:val=&quot;39F77200&quot;/&gt;&lt;wsp:rsid wsp:val=&quot;39FE78E7&quot;/&gt;&lt;wsp:rsid wsp:val=&quot;3A2A3925&quot;/&gt;&lt;wsp:rsid wsp:val=&quot;3A632664&quot;/&gt;&lt;wsp:rsid wsp:val=&quot;3ADA4E92&quot;/&gt;&lt;wsp:rsid wsp:val=&quot;3AE16332&quot;/&gt;&lt;wsp:rsid wsp:val=&quot;3AEE1369&quot;/&gt;&lt;wsp:rsid wsp:val=&quot;3AF869B7&quot;/&gt;&lt;wsp:rsid wsp:val=&quot;3B191001&quot;/&gt;&lt;wsp:rsid wsp:val=&quot;3B7C7803&quot;/&gt;&lt;wsp:rsid wsp:val=&quot;3BA03C7E&quot;/&gt;&lt;wsp:rsid wsp:val=&quot;3BA7201F&quot;/&gt;&lt;wsp:rsid wsp:val=&quot;3C226EE6&quot;/&gt;&lt;wsp:rsid wsp:val=&quot;3CC16349&quot;/&gt;&lt;wsp:rsid wsp:val=&quot;3CFB72EA&quot;/&gt;&lt;wsp:rsid wsp:val=&quot;3D057D0B&quot;/&gt;&lt;wsp:rsid wsp:val=&quot;3D1D071B&quot;/&gt;&lt;wsp:rsid wsp:val=&quot;3D372D76&quot;/&gt;&lt;wsp:rsid wsp:val=&quot;3D373612&quot;/&gt;&lt;wsp:rsid wsp:val=&quot;3D531235&quot;/&gt;&lt;wsp:rsid wsp:val=&quot;3D6B67D2&quot;/&gt;&lt;wsp:rsid wsp:val=&quot;3DCC48E4&quot;/&gt;&lt;wsp:rsid wsp:val=&quot;3DDE65F3&quot;/&gt;&lt;wsp:rsid wsp:val=&quot;3E0B744B&quot;/&gt;&lt;wsp:rsid wsp:val=&quot;3E1E5B0C&quot;/&gt;&lt;wsp:rsid wsp:val=&quot;3EBC414D&quot;/&gt;&lt;wsp:rsid wsp:val=&quot;3EE7746B&quot;/&gt;&lt;wsp:rsid wsp:val=&quot;3EF62B64&quot;/&gt;&lt;wsp:rsid wsp:val=&quot;3F0376EB&quot;/&gt;&lt;wsp:rsid wsp:val=&quot;3F0B6978&quot;/&gt;&lt;wsp:rsid wsp:val=&quot;3F120476&quot;/&gt;&lt;wsp:rsid wsp:val=&quot;3F4F233C&quot;/&gt;&lt;wsp:rsid wsp:val=&quot;3F503230&quot;/&gt;&lt;wsp:rsid wsp:val=&quot;3F6E7C40&quot;/&gt;&lt;wsp:rsid wsp:val=&quot;3F8C74D9&quot;/&gt;&lt;wsp:rsid wsp:val=&quot;3F952FA3&quot;/&gt;&lt;wsp:rsid wsp:val=&quot;3FB761E4&quot;/&gt;&lt;wsp:rsid wsp:val=&quot;3FB775D5&quot;/&gt;&lt;wsp:rsid wsp:val=&quot;3FC6532D&quot;/&gt;&lt;wsp:rsid wsp:val=&quot;3FDE2CEC&quot;/&gt;&lt;wsp:rsid wsp:val=&quot;402B3393&quot;/&gt;&lt;wsp:rsid wsp:val=&quot;4030593C&quot;/&gt;&lt;wsp:rsid wsp:val=&quot;404119C0&quot;/&gt;&lt;wsp:rsid wsp:val=&quot;40491AF0&quot;/&gt;&lt;wsp:rsid wsp:val=&quot;405643A4&quot;/&gt;&lt;wsp:rsid wsp:val=&quot;40BB37CC&quot;/&gt;&lt;wsp:rsid wsp:val=&quot;40F41C7B&quot;/&gt;&lt;wsp:rsid wsp:val=&quot;41C133F5&quot;/&gt;&lt;wsp:rsid wsp:val=&quot;41CA4F10&quot;/&gt;&lt;wsp:rsid wsp:val=&quot;422B582E&quot;/&gt;&lt;wsp:rsid wsp:val=&quot;42401D25&quot;/&gt;&lt;wsp:rsid wsp:val=&quot;4294594C&quot;/&gt;&lt;wsp:rsid wsp:val=&quot;42EC478C&quot;/&gt;&lt;wsp:rsid wsp:val=&quot;42F24887&quot;/&gt;&lt;wsp:rsid wsp:val=&quot;433C1D66&quot;/&gt;&lt;wsp:rsid wsp:val=&quot;433F1EA8&quot;/&gt;&lt;wsp:rsid wsp:val=&quot;43433CEB&quot;/&gt;&lt;wsp:rsid wsp:val=&quot;441942B9&quot;/&gt;&lt;wsp:rsid wsp:val=&quot;4469356D&quot;/&gt;&lt;wsp:rsid wsp:val=&quot;4482387A&quot;/&gt;&lt;wsp:rsid wsp:val=&quot;44C92145&quot;/&gt;&lt;wsp:rsid wsp:val=&quot;44D438E5&quot;/&gt;&lt;wsp:rsid wsp:val=&quot;45135DCF&quot;/&gt;&lt;wsp:rsid wsp:val=&quot;45257A4A&quot;/&gt;&lt;wsp:rsid wsp:val=&quot;45500BC7&quot;/&gt;&lt;wsp:rsid wsp:val=&quot;45E22C25&quot;/&gt;&lt;wsp:rsid wsp:val=&quot;45F75706&quot;/&gt;&lt;wsp:rsid wsp:val=&quot;46030D04&quot;/&gt;&lt;wsp:rsid wsp:val=&quot;4603391C&quot;/&gt;&lt;wsp:rsid wsp:val=&quot;465429F3&quot;/&gt;&lt;wsp:rsid wsp:val=&quot;4678408E&quot;/&gt;&lt;wsp:rsid wsp:val=&quot;46E8646B&quot;/&gt;&lt;wsp:rsid wsp:val=&quot;47085279&quot;/&gt;&lt;wsp:rsid wsp:val=&quot;47291CB9&quot;/&gt;&lt;wsp:rsid wsp:val=&quot;473E30B5&quot;/&gt;&lt;wsp:rsid wsp:val=&quot;477404F4&quot;/&gt;&lt;wsp:rsid wsp:val=&quot;47803305&quot;/&gt;&lt;wsp:rsid wsp:val=&quot;479210FB&quot;/&gt;&lt;wsp:rsid wsp:val=&quot;47973FC9&quot;/&gt;&lt;wsp:rsid wsp:val=&quot;47A64C49&quot;/&gt;&lt;wsp:rsid wsp:val=&quot;47DA6460&quot;/&gt;&lt;wsp:rsid wsp:val=&quot;48147925&quot;/&gt;&lt;wsp:rsid wsp:val=&quot;4836355F&quot;/&gt;&lt;wsp:rsid wsp:val=&quot;484456AE&quot;/&gt;&lt;wsp:rsid wsp:val=&quot;48521BF7&quot;/&gt;&lt;wsp:rsid wsp:val=&quot;48551475&quot;/&gt;&lt;wsp:rsid wsp:val=&quot;48593E2A&quot;/&gt;&lt;wsp:rsid wsp:val=&quot;486B5B7C&quot;/&gt;&lt;wsp:rsid wsp:val=&quot;488130E9&quot;/&gt;&lt;wsp:rsid wsp:val=&quot;488D771F&quot;/&gt;&lt;wsp:rsid wsp:val=&quot;48AA0FEA&quot;/&gt;&lt;wsp:rsid wsp:val=&quot;48DF4CD9&quot;/&gt;&lt;wsp:rsid wsp:val=&quot;49043168&quot;/&gt;&lt;wsp:rsid wsp:val=&quot;490D026D&quot;/&gt;&lt;wsp:rsid wsp:val=&quot;49143465&quot;/&gt;&lt;wsp:rsid wsp:val=&quot;49165E19&quot;/&gt;&lt;wsp:rsid wsp:val=&quot;4920035A&quot;/&gt;&lt;wsp:rsid wsp:val=&quot;49516387&quot;/&gt;&lt;wsp:rsid wsp:val=&quot;499357B7&quot;/&gt;&lt;wsp:rsid wsp:val=&quot;49B54E16&quot;/&gt;&lt;wsp:rsid wsp:val=&quot;49CB11DA&quot;/&gt;&lt;wsp:rsid wsp:val=&quot;49F20359&quot;/&gt;&lt;wsp:rsid wsp:val=&quot;49F34B93&quot;/&gt;&lt;wsp:rsid wsp:val=&quot;4A0F6246&quot;/&gt;&lt;wsp:rsid wsp:val=&quot;4A2754C1&quot;/&gt;&lt;wsp:rsid wsp:val=&quot;4A4C6E76&quot;/&gt;&lt;wsp:rsid wsp:val=&quot;4A6E6E8C&quot;/&gt;&lt;wsp:rsid wsp:val=&quot;4A7137AC&quot;/&gt;&lt;wsp:rsid wsp:val=&quot;4A782580&quot;/&gt;&lt;wsp:rsid wsp:val=&quot;4A9D519D&quot;/&gt;&lt;wsp:rsid wsp:val=&quot;4ABB0BF9&quot;/&gt;&lt;wsp:rsid wsp:val=&quot;4AD8745B&quot;/&gt;&lt;wsp:rsid wsp:val=&quot;4AFA7E0D&quot;/&gt;&lt;wsp:rsid wsp:val=&quot;4B175007&quot;/&gt;&lt;wsp:rsid wsp:val=&quot;4B20631D&quot;/&gt;&lt;wsp:rsid wsp:val=&quot;4B212206&quot;/&gt;&lt;wsp:rsid wsp:val=&quot;4B8541D2&quot;/&gt;&lt;wsp:rsid wsp:val=&quot;4BA532BA&quot;/&gt;&lt;wsp:rsid wsp:val=&quot;4BBF68D2&quot;/&gt;&lt;wsp:rsid wsp:val=&quot;4BCA3773&quot;/&gt;&lt;wsp:rsid wsp:val=&quot;4BD30509&quot;/&gt;&lt;wsp:rsid wsp:val=&quot;4BD777FC&quot;/&gt;&lt;wsp:rsid wsp:val=&quot;4C2175F9&quot;/&gt;&lt;wsp:rsid wsp:val=&quot;4C462D33&quot;/&gt;&lt;wsp:rsid wsp:val=&quot;4CB01EBD&quot;/&gt;&lt;wsp:rsid wsp:val=&quot;4CB12C2A&quot;/&gt;&lt;wsp:rsid wsp:val=&quot;4CEA2103&quot;/&gt;&lt;wsp:rsid wsp:val=&quot;4CF950DB&quot;/&gt;&lt;wsp:rsid wsp:val=&quot;4D5A6673&quot;/&gt;&lt;wsp:rsid wsp:val=&quot;4DA14460&quot;/&gt;&lt;wsp:rsid wsp:val=&quot;4DBB7D36&quot;/&gt;&lt;wsp:rsid wsp:val=&quot;4E1273E0&quot;/&gt;&lt;wsp:rsid wsp:val=&quot;4E65472D&quot;/&gt;&lt;wsp:rsid wsp:val=&quot;4E6E0DC7&quot;/&gt;&lt;wsp:rsid wsp:val=&quot;4E8C28B4&quot;/&gt;&lt;wsp:rsid wsp:val=&quot;4EEB08B6&quot;/&gt;&lt;wsp:rsid wsp:val=&quot;4F06729A&quot;/&gt;&lt;wsp:rsid wsp:val=&quot;4F224ED5&quot;/&gt;&lt;wsp:rsid wsp:val=&quot;4F634111&quot;/&gt;&lt;wsp:rsid wsp:val=&quot;4F755113&quot;/&gt;&lt;wsp:rsid wsp:val=&quot;4FC711DE&quot;/&gt;&lt;wsp:rsid wsp:val=&quot;50050E97&quot;/&gt;&lt;wsp:rsid wsp:val=&quot;501320EF&quot;/&gt;&lt;wsp:rsid wsp:val=&quot;50182B39&quot;/&gt;&lt;wsp:rsid wsp:val=&quot;50716820&quot;/&gt;&lt;wsp:rsid wsp:val=&quot;507333F1&quot;/&gt;&lt;wsp:rsid wsp:val=&quot;509851EA&quot;/&gt;&lt;wsp:rsid wsp:val=&quot;50BC3A6A&quot;/&gt;&lt;wsp:rsid wsp:val=&quot;50C761A6&quot;/&gt;&lt;wsp:rsid wsp:val=&quot;511565C8&quot;/&gt;&lt;wsp:rsid wsp:val=&quot;511C661A&quot;/&gt;&lt;wsp:rsid wsp:val=&quot;511F1863&quot;/&gt;&lt;wsp:rsid wsp:val=&quot;51223108&quot;/&gt;&lt;wsp:rsid wsp:val=&quot;51503D40&quot;/&gt;&lt;wsp:rsid wsp:val=&quot;51713EEA&quot;/&gt;&lt;wsp:rsid wsp:val=&quot;51C8134C&quot;/&gt;&lt;wsp:rsid wsp:val=&quot;51DC6E34&quot;/&gt;&lt;wsp:rsid wsp:val=&quot;520D52E4&quot;/&gt;&lt;wsp:rsid wsp:val=&quot;528B1A18&quot;/&gt;&lt;wsp:rsid wsp:val=&quot;528D3E02&quot;/&gt;&lt;wsp:rsid wsp:val=&quot;52AA225E&quot;/&gt;&lt;wsp:rsid wsp:val=&quot;52BE76CF&quot;/&gt;&lt;wsp:rsid wsp:val=&quot;52EA600A&quot;/&gt;&lt;wsp:rsid wsp:val=&quot;534C38EF&quot;/&gt;&lt;wsp:rsid wsp:val=&quot;535F5256&quot;/&gt;&lt;wsp:rsid wsp:val=&quot;537062EC&quot;/&gt;&lt;wsp:rsid wsp:val=&quot;53EC3F93&quot;/&gt;&lt;wsp:rsid wsp:val=&quot;54212140&quot;/&gt;&lt;wsp:rsid wsp:val=&quot;54615D09&quot;/&gt;&lt;wsp:rsid wsp:val=&quot;5496238A&quot;/&gt;&lt;wsp:rsid wsp:val=&quot;5496286C&quot;/&gt;&lt;wsp:rsid wsp:val=&quot;549C5AFF&quot;/&gt;&lt;wsp:rsid wsp:val=&quot;55312D01&quot;/&gt;&lt;wsp:rsid wsp:val=&quot;5560446B&quot;/&gt;&lt;wsp:rsid wsp:val=&quot;558A7B76&quot;/&gt;&lt;wsp:rsid wsp:val=&quot;55D02414&quot;/&gt;&lt;wsp:rsid wsp:val=&quot;55DC0146&quot;/&gt;&lt;wsp:rsid wsp:val=&quot;55E7011D&quot;/&gt;&lt;wsp:rsid wsp:val=&quot;560C5413&quot;/&gt;&lt;wsp:rsid wsp:val=&quot;56101F72&quot;/&gt;&lt;wsp:rsid wsp:val=&quot;56623D74&quot;/&gt;&lt;wsp:rsid wsp:val=&quot;569015AE&quot;/&gt;&lt;wsp:rsid wsp:val=&quot;56E0559B&quot;/&gt;&lt;wsp:rsid wsp:val=&quot;572B415A&quot;/&gt;&lt;wsp:rsid wsp:val=&quot;575924BB&quot;/&gt;&lt;wsp:rsid wsp:val=&quot;57877B92&quot;/&gt;&lt;wsp:rsid wsp:val=&quot;579F72CD&quot;/&gt;&lt;wsp:rsid wsp:val=&quot;57EF0671&quot;/&gt;&lt;wsp:rsid wsp:val=&quot;58211D7D&quot;/&gt;&lt;wsp:rsid wsp:val=&quot;582B2386&quot;/&gt;&lt;wsp:rsid wsp:val=&quot;586D0EFB&quot;/&gt;&lt;wsp:rsid wsp:val=&quot;589C3931&quot;/&gt;&lt;wsp:rsid wsp:val=&quot;58DD5B07&quot;/&gt;&lt;wsp:rsid wsp:val=&quot;592B03C2&quot;/&gt;&lt;wsp:rsid wsp:val=&quot;595023EA&quot;/&gt;&lt;wsp:rsid wsp:val=&quot;59697311&quot;/&gt;&lt;wsp:rsid wsp:val=&quot;59BF7DDB&quot;/&gt;&lt;wsp:rsid wsp:val=&quot;59D93862&quot;/&gt;&lt;wsp:rsid wsp:val=&quot;59F4373C&quot;/&gt;&lt;wsp:rsid wsp:val=&quot;59F445C0&quot;/&gt;&lt;wsp:rsid wsp:val=&quot;5A2E02F4&quot;/&gt;&lt;wsp:rsid wsp:val=&quot;5A630644&quot;/&gt;&lt;wsp:rsid wsp:val=&quot;5A921E2E&quot;/&gt;&lt;wsp:rsid wsp:val=&quot;5ABB7D23&quot;/&gt;&lt;wsp:rsid wsp:val=&quot;5B346D01&quot;/&gt;&lt;wsp:rsid wsp:val=&quot;5B4C3489&quot;/&gt;&lt;wsp:rsid wsp:val=&quot;5B5A5871&quot;/&gt;&lt;wsp:rsid wsp:val=&quot;5B5D2DE1&quot;/&gt;&lt;wsp:rsid wsp:val=&quot;5B713E29&quot;/&gt;&lt;wsp:rsid wsp:val=&quot;5B980E92&quot;/&gt;&lt;wsp:rsid wsp:val=&quot;5BAB64C0&quot;/&gt;&lt;wsp:rsid wsp:val=&quot;5BAD1EB9&quot;/&gt;&lt;wsp:rsid wsp:val=&quot;5BAE3DE7&quot;/&gt;&lt;wsp:rsid wsp:val=&quot;5BD02DAF&quot;/&gt;&lt;wsp:rsid wsp:val=&quot;5BD41425&quot;/&gt;&lt;wsp:rsid wsp:val=&quot;5BF70CB8&quot;/&gt;&lt;wsp:rsid wsp:val=&quot;5C2958DC&quot;/&gt;&lt;wsp:rsid wsp:val=&quot;5C2B4E32&quot;/&gt;&lt;wsp:rsid wsp:val=&quot;5C362EDC&quot;/&gt;&lt;wsp:rsid wsp:val=&quot;5CD92026&quot;/&gt;&lt;wsp:rsid wsp:val=&quot;5CDB4FE6&quot;/&gt;&lt;wsp:rsid wsp:val=&quot;5D007FDF&quot;/&gt;&lt;wsp:rsid wsp:val=&quot;5D020285&quot;/&gt;&lt;wsp:rsid wsp:val=&quot;5D097A78&quot;/&gt;&lt;wsp:rsid wsp:val=&quot;5D231FB3&quot;/&gt;&lt;wsp:rsid wsp:val=&quot;5D3A6781&quot;/&gt;&lt;wsp:rsid wsp:val=&quot;5D3C63D0&quot;/&gt;&lt;wsp:rsid wsp:val=&quot;5D497818&quot;/&gt;&lt;wsp:rsid wsp:val=&quot;5D9E020B&quot;/&gt;&lt;wsp:rsid wsp:val=&quot;5DF71D93&quot;/&gt;&lt;wsp:rsid wsp:val=&quot;5E0355EC&quot;/&gt;&lt;wsp:rsid wsp:val=&quot;5E393E20&quot;/&gt;&lt;wsp:rsid wsp:val=&quot;5E67356D&quot;/&gt;&lt;wsp:rsid wsp:val=&quot;5E9B67B9&quot;/&gt;&lt;wsp:rsid wsp:val=&quot;5EB36E02&quot;/&gt;&lt;wsp:rsid wsp:val=&quot;5EF220A8&quot;/&gt;&lt;wsp:rsid wsp:val=&quot;5F7540A9&quot;/&gt;&lt;wsp:rsid wsp:val=&quot;5FB217B7&quot;/&gt;&lt;wsp:rsid wsp:val=&quot;601D6407&quot;/&gt;&lt;wsp:rsid wsp:val=&quot;60345A53&quot;/&gt;&lt;wsp:rsid wsp:val=&quot;60653620&quot;/&gt;&lt;wsp:rsid wsp:val=&quot;609D3D5B&quot;/&gt;&lt;wsp:rsid wsp:val=&quot;60E41F06&quot;/&gt;&lt;wsp:rsid wsp:val=&quot;613548EC&quot;/&gt;&lt;wsp:rsid wsp:val=&quot;615D2DD1&quot;/&gt;&lt;wsp:rsid wsp:val=&quot;619E63E4&quot;/&gt;&lt;wsp:rsid wsp:val=&quot;61B91233&quot;/&gt;&lt;wsp:rsid wsp:val=&quot;61E821B0&quot;/&gt;&lt;wsp:rsid wsp:val=&quot;6289039A&quot;/&gt;&lt;wsp:rsid wsp:val=&quot;629F5612&quot;/&gt;&lt;wsp:rsid wsp:val=&quot;62A24AB6&quot;/&gt;&lt;wsp:rsid wsp:val=&quot;62BA4393&quot;/&gt;&lt;wsp:rsid wsp:val=&quot;62BB56F8&quot;/&gt;&lt;wsp:rsid wsp:val=&quot;62D311F1&quot;/&gt;&lt;wsp:rsid wsp:val=&quot;62DF3642&quot;/&gt;&lt;wsp:rsid wsp:val=&quot;62E80C93&quot;/&gt;&lt;wsp:rsid wsp:val=&quot;62F078C2&quot;/&gt;&lt;wsp:rsid wsp:val=&quot;63260738&quot;/&gt;&lt;wsp:rsid wsp:val=&quot;634C6D88&quot;/&gt;&lt;wsp:rsid wsp:val=&quot;63A649B9&quot;/&gt;&lt;wsp:rsid wsp:val=&quot;63C9531F&quot;/&gt;&lt;wsp:rsid wsp:val=&quot;63ED70C2&quot;/&gt;&lt;wsp:rsid wsp:val=&quot;643F7E7F&quot;/&gt;&lt;wsp:rsid wsp:val=&quot;645F4166&quot;/&gt;&lt;wsp:rsid wsp:val=&quot;64637041&quot;/&gt;&lt;wsp:rsid wsp:val=&quot;64972395&quot;/&gt;&lt;wsp:rsid wsp:val=&quot;64987DC3&quot;/&gt;&lt;wsp:rsid wsp:val=&quot;64AD61BC&quot;/&gt;&lt;wsp:rsid wsp:val=&quot;64CB1F02&quot;/&gt;&lt;wsp:rsid wsp:val=&quot;64EF2FA9&quot;/&gt;&lt;wsp:rsid wsp:val=&quot;65154DE5&quot;/&gt;&lt;wsp:rsid wsp:val=&quot;651D38CF&quot;/&gt;&lt;wsp:rsid wsp:val=&quot;652803A8&quot;/&gt;&lt;wsp:rsid wsp:val=&quot;65F07DE2&quot;/&gt;&lt;wsp:rsid wsp:val=&quot;65F203A9&quot;/&gt;&lt;wsp:rsid wsp:val=&quot;660366C2&quot;/&gt;&lt;wsp:rsid wsp:val=&quot;66161375&quot;/&gt;&lt;wsp:rsid wsp:val=&quot;6662690F&quot;/&gt;&lt;wsp:rsid wsp:val=&quot;667612EB&quot;/&gt;&lt;wsp:rsid wsp:val=&quot;669200EB&quot;/&gt;&lt;wsp:rsid wsp:val=&quot;66A374B3&quot;/&gt;&lt;wsp:rsid wsp:val=&quot;66E86386&quot;/&gt;&lt;wsp:rsid wsp:val=&quot;670B3780&quot;/&gt;&lt;wsp:rsid wsp:val=&quot;67213668&quot;/&gt;&lt;wsp:rsid wsp:val=&quot;676E1BE2&quot;/&gt;&lt;wsp:rsid wsp:val=&quot;679F766C&quot;/&gt;&lt;wsp:rsid wsp:val=&quot;67A90641&quot;/&gt;&lt;wsp:rsid wsp:val=&quot;67F12AD8&quot;/&gt;&lt;wsp:rsid wsp:val=&quot;682F4A07&quot;/&gt;&lt;wsp:rsid wsp:val=&quot;68496D91&quot;/&gt;&lt;wsp:rsid wsp:val=&quot;684E2FBF&quot;/&gt;&lt;wsp:rsid wsp:val=&quot;684F34E5&quot;/&gt;&lt;wsp:rsid wsp:val=&quot;685046A4&quot;/&gt;&lt;wsp:rsid wsp:val=&quot;686B4DD1&quot;/&gt;&lt;wsp:rsid wsp:val=&quot;68976B06&quot;/&gt;&lt;wsp:rsid wsp:val=&quot;68E80B05&quot;/&gt;&lt;wsp:rsid wsp:val=&quot;68F34FC9&quot;/&gt;&lt;wsp:rsid wsp:val=&quot;690F69D3&quot;/&gt;&lt;wsp:rsid wsp:val=&quot;6914688F&quot;/&gt;&lt;wsp:rsid wsp:val=&quot;693778E8&quot;/&gt;&lt;wsp:rsid wsp:val=&quot;69754E2A&quot;/&gt;&lt;wsp:rsid wsp:val=&quot;69A301CB&quot;/&gt;&lt;wsp:rsid wsp:val=&quot;69CD42BB&quot;/&gt;&lt;wsp:rsid wsp:val=&quot;6A155AB6&quot;/&gt;&lt;wsp:rsid wsp:val=&quot;6A173D3A&quot;/&gt;&lt;wsp:rsid wsp:val=&quot;6A5852F3&quot;/&gt;&lt;wsp:rsid wsp:val=&quot;6A6E08AB&quot;/&gt;&lt;wsp:rsid wsp:val=&quot;6A906411&quot;/&gt;&lt;wsp:rsid wsp:val=&quot;6AE92ECD&quot;/&gt;&lt;wsp:rsid wsp:val=&quot;6B3C68E2&quot;/&gt;&lt;wsp:rsid wsp:val=&quot;6B547618&quot;/&gt;&lt;wsp:rsid wsp:val=&quot;6B774D71&quot;/&gt;&lt;wsp:rsid wsp:val=&quot;6B821711&quot;/&gt;&lt;wsp:rsid wsp:val=&quot;6B931D9F&quot;/&gt;&lt;wsp:rsid wsp:val=&quot;6BA8006A&quot;/&gt;&lt;wsp:rsid wsp:val=&quot;6BFE0CDA&quot;/&gt;&lt;wsp:rsid wsp:val=&quot;6C4A498F&quot;/&gt;&lt;wsp:rsid wsp:val=&quot;6CA717A0&quot;/&gt;&lt;wsp:rsid wsp:val=&quot;6CBD7761&quot;/&gt;&lt;wsp:rsid wsp:val=&quot;6CE80F21&quot;/&gt;&lt;wsp:rsid wsp:val=&quot;6D0D11DD&quot;/&gt;&lt;wsp:rsid wsp:val=&quot;6D5A6980&quot;/&gt;&lt;wsp:rsid wsp:val=&quot;6D6966CE&quot;/&gt;&lt;wsp:rsid wsp:val=&quot;6D6D7C1D&quot;/&gt;&lt;wsp:rsid wsp:val=&quot;6E08145B&quot;/&gt;&lt;wsp:rsid wsp:val=&quot;6E0870E0&quot;/&gt;&lt;wsp:rsid wsp:val=&quot;6E0C0F54&quot;/&gt;&lt;wsp:rsid wsp:val=&quot;6E0C7822&quot;/&gt;&lt;wsp:rsid wsp:val=&quot;6E1E035D&quot;/&gt;&lt;wsp:rsid wsp:val=&quot;6E471698&quot;/&gt;&lt;wsp:rsid wsp:val=&quot;6E6D545B&quot;/&gt;&lt;wsp:rsid wsp:val=&quot;6E8E7594&quot;/&gt;&lt;wsp:rsid wsp:val=&quot;6E992770&quot;/&gt;&lt;wsp:rsid wsp:val=&quot;6EBF3150&quot;/&gt;&lt;wsp:rsid wsp:val=&quot;6F1F5E10&quot;/&gt;&lt;wsp:rsid wsp:val=&quot;6F4A6DA6&quot;/&gt;&lt;wsp:rsid wsp:val=&quot;6F7B555E&quot;/&gt;&lt;wsp:rsid wsp:val=&quot;6FB640D7&quot;/&gt;&lt;wsp:rsid wsp:val=&quot;6FC45EAF&quot;/&gt;&lt;wsp:rsid wsp:val=&quot;6FD56E35&quot;/&gt;&lt;wsp:rsid wsp:val=&quot;6FE10C9C&quot;/&gt;&lt;wsp:rsid wsp:val=&quot;70215713&quot;/&gt;&lt;wsp:rsid wsp:val=&quot;709A6C60&quot;/&gt;&lt;wsp:rsid wsp:val=&quot;70A36CFC&quot;/&gt;&lt;wsp:rsid wsp:val=&quot;710524DB&quot;/&gt;&lt;wsp:rsid wsp:val=&quot;711C5D3D&quot;/&gt;&lt;wsp:rsid wsp:val=&quot;714A49EB&quot;/&gt;&lt;wsp:rsid wsp:val=&quot;71597885&quot;/&gt;&lt;wsp:rsid wsp:val=&quot;7173778D&quot;/&gt;&lt;wsp:rsid wsp:val=&quot;717379CB&quot;/&gt;&lt;wsp:rsid wsp:val=&quot;71826B3B&quot;/&gt;&lt;wsp:rsid wsp:val=&quot;71957418&quot;/&gt;&lt;wsp:rsid wsp:val=&quot;71A77508&quot;/&gt;&lt;wsp:rsid wsp:val=&quot;71AC042A&quot;/&gt;&lt;wsp:rsid wsp:val=&quot;71CF3733&quot;/&gt;&lt;wsp:rsid wsp:val=&quot;720350F6&quot;/&gt;&lt;wsp:rsid wsp:val=&quot;720F15BF&quot;/&gt;&lt;wsp:rsid wsp:val=&quot;726C68C0&quot;/&gt;&lt;wsp:rsid wsp:val=&quot;72795D53&quot;/&gt;&lt;wsp:rsid wsp:val=&quot;728A4E45&quot;/&gt;&lt;wsp:rsid wsp:val=&quot;728D115E&quot;/&gt;&lt;wsp:rsid wsp:val=&quot;72BA02B2&quot;/&gt;&lt;wsp:rsid wsp:val=&quot;72D95202&quot;/&gt;&lt;wsp:rsid wsp:val=&quot;72E00949&quot;/&gt;&lt;wsp:rsid wsp:val=&quot;72E32EB6&quot;/&gt;&lt;wsp:rsid wsp:val=&quot;73262C77&quot;/&gt;&lt;wsp:rsid wsp:val=&quot;732E2FCE&quot;/&gt;&lt;wsp:rsid wsp:val=&quot;736C2226&quot;/&gt;&lt;wsp:rsid wsp:val=&quot;737543F5&quot;/&gt;&lt;wsp:rsid wsp:val=&quot;73791E85&quot;/&gt;&lt;wsp:rsid wsp:val=&quot;73C74DA4&quot;/&gt;&lt;wsp:rsid wsp:val=&quot;74295774&quot;/&gt;&lt;wsp:rsid wsp:val=&quot;74351C42&quot;/&gt;&lt;wsp:rsid wsp:val=&quot;74593EC6&quot;/&gt;&lt;wsp:rsid wsp:val=&quot;748E45D0&quot;/&gt;&lt;wsp:rsid wsp:val=&quot;75284C68&quot;/&gt;&lt;wsp:rsid wsp:val=&quot;75850B48&quot;/&gt;&lt;wsp:rsid wsp:val=&quot;75D54059&quot;/&gt;&lt;wsp:rsid wsp:val=&quot;75DD7575&quot;/&gt;&lt;wsp:rsid wsp:val=&quot;762B5730&quot;/&gt;&lt;wsp:rsid wsp:val=&quot;76864A95&quot;/&gt;&lt;wsp:rsid wsp:val=&quot;76932327&quot;/&gt;&lt;wsp:rsid wsp:val=&quot;76E06296&quot;/&gt;&lt;wsp:rsid wsp:val=&quot;771F15FE&quot;/&gt;&lt;wsp:rsid wsp:val=&quot;77332613&quot;/&gt;&lt;wsp:rsid wsp:val=&quot;77663952&quot;/&gt;&lt;wsp:rsid wsp:val=&quot;776734D5&quot;/&gt;&lt;wsp:rsid wsp:val=&quot;776949AE&quot;/&gt;&lt;wsp:rsid wsp:val=&quot;77CB1B3C&quot;/&gt;&lt;wsp:rsid wsp:val=&quot;77DF508A&quot;/&gt;&lt;wsp:rsid wsp:val=&quot;77E654C8&quot;/&gt;&lt;wsp:rsid wsp:val=&quot;78166F05&quot;/&gt;&lt;wsp:rsid wsp:val=&quot;78453EB4&quot;/&gt;&lt;wsp:rsid wsp:val=&quot;78983920&quot;/&gt;&lt;wsp:rsid wsp:val=&quot;78E964B7&quot;/&gt;&lt;wsp:rsid wsp:val=&quot;791C005A&quot;/&gt;&lt;wsp:rsid wsp:val=&quot;7953612B&quot;/&gt;&lt;wsp:rsid wsp:val=&quot;795E5553&quot;/&gt;&lt;wsp:rsid wsp:val=&quot;79630D60&quot;/&gt;&lt;wsp:rsid wsp:val=&quot;796D51C5&quot;/&gt;&lt;wsp:rsid wsp:val=&quot;7978402E&quot;/&gt;&lt;wsp:rsid wsp:val=&quot;79933281&quot;/&gt;&lt;wsp:rsid wsp:val=&quot;7999374B&quot;/&gt;&lt;wsp:rsid wsp:val=&quot;79A600AF&quot;/&gt;&lt;wsp:rsid wsp:val=&quot;79D157F8&quot;/&gt;&lt;wsp:rsid wsp:val=&quot;79EF04B4&quot;/&gt;&lt;wsp:rsid wsp:val=&quot;7A154434&quot;/&gt;&lt;wsp:rsid wsp:val=&quot;7A1C7285&quot;/&gt;&lt;wsp:rsid wsp:val=&quot;7A335EA2&quot;/&gt;&lt;wsp:rsid wsp:val=&quot;7A912E76&quot;/&gt;&lt;wsp:rsid wsp:val=&quot;7AA11AF2&quot;/&gt;&lt;wsp:rsid wsp:val=&quot;7ACF6D2A&quot;/&gt;&lt;wsp:rsid wsp:val=&quot;7AEE3DD1&quot;/&gt;&lt;wsp:rsid wsp:val=&quot;7AF10B74&quot;/&gt;&lt;wsp:rsid wsp:val=&quot;7B3F1EF1&quot;/&gt;&lt;wsp:rsid wsp:val=&quot;7B406B10&quot;/&gt;&lt;wsp:rsid wsp:val=&quot;7B4917AA&quot;/&gt;&lt;wsp:rsid wsp:val=&quot;7C047D3F&quot;/&gt;&lt;wsp:rsid wsp:val=&quot;7C3731A6&quot;/&gt;&lt;wsp:rsid wsp:val=&quot;7C6C55A8&quot;/&gt;&lt;wsp:rsid wsp:val=&quot;7CD13DA3&quot;/&gt;&lt;wsp:rsid wsp:val=&quot;7CF47DD3&quot;/&gt;&lt;wsp:rsid wsp:val=&quot;7CF96E16&quot;/&gt;&lt;wsp:rsid wsp:val=&quot;7D0424ED&quot;/&gt;&lt;wsp:rsid wsp:val=&quot;7D38683D&quot;/&gt;&lt;wsp:rsid wsp:val=&quot;7D657E49&quot;/&gt;&lt;wsp:rsid wsp:val=&quot;7D7546B8&quot;/&gt;&lt;wsp:rsid wsp:val=&quot;7D892DD7&quot;/&gt;&lt;wsp:rsid wsp:val=&quot;7E421F0F&quot;/&gt;&lt;wsp:rsid wsp:val=&quot;7E5202FC&quot;/&gt;&lt;wsp:rsid wsp:val=&quot;7E55204B&quot;/&gt;&lt;wsp:rsid wsp:val=&quot;7E926097&quot;/&gt;&lt;wsp:rsid wsp:val=&quot;7E95155B&quot;/&gt;&lt;wsp:rsid wsp:val=&quot;7EBD57FD&quot;/&gt;&lt;wsp:rsid wsp:val=&quot;7ED8264F&quot;/&gt;&lt;wsp:rsid wsp:val=&quot;7EFF114F&quot;/&gt;&lt;wsp:rsid wsp:val=&quot;7F080C39&quot;/&gt;&lt;wsp:rsid wsp:val=&quot;7F7D1BE2&quot;/&gt;&lt;wsp:rsid wsp:val=&quot;7F7D3BB5&quot;/&gt;&lt;wsp:rsid wsp:val=&quot;7FAC739F&quot;/&gt;&lt;wsp:rsid wsp:val=&quot;7FBC16D5&quot;/&gt;&lt;wsp:rsid wsp:val=&quot;7FCD3DC3&quot;/&gt;&lt;wsp:rsid wsp:val=&quot;7FCF0EE3&quot;/&gt;&lt;wsp:rsid wsp:val=&quot;7FEB3AA0&quot;/&gt;&lt;wsp:rsid wsp:val=&quot;7FF90897&quot;/&gt;&lt;wsp:rsid wsp:val=&quot;7FFC1B43&quot;/&gt;&lt;wsp:rsid wsp:val=&quot;7FFC78F5&quot;/&gt;&lt;wsp:rsid wsp:val=&quot;7FFE728C&quot;/&gt;&lt;/wsp:rsids&gt;&lt;/w:docPr&gt;&lt;w:body&gt;&lt;wx:sect&gt;&lt;w:p wsp:rsidR=&quot;00000000&quot; wsp:rsidRDefault=&quot;008E49CF&quot; wsp:rsidP=&quot;008E49CF&quot;&gt;&lt;m:oMathPara&gt;&lt;m:oMath&gt;&lt;m:sSup&gt;&lt;m:sSupPr&gt;&lt;m:ctrlPr&gt;&lt;aml:annotation aml:id=&quot;0&quot; w:type=&quot;Word.Insertion&quot; aml:author=&quot;zcs&quot; aml:createdate=&quot;2024-12-20T10:49:00Z&quot;&gt;&lt;aml:content&gt;&lt;w:rPr&gt;&lt;w:rFonts w:ascii=&quot;Cambria Math&quot; w:fareast=&quot;宋体&quot; w:h-ansi=&quot;Cap:p:p:p:p:p:p:p:p:p:mbrsria Math&quot; w:cs=&quot;宋体&quot;/&gt;&lt;wx:font wx:val=&quot;Cambria Math&quot;/&gt;&lt;w:b/&gt;&lt;w:b-cs/&gt;&lt;w:i/&gt;&lt;w:sz-cs w:val=&quot;21&quot;/&gt;&lt;w:lang w:val=&quot;ZH-CN&quot;/&gt;&lt;/w:rPr&gt;&lt;/aml:content&gt;&lt;/aml:annotation&gt;&lt;/m:ctrlPr&gt;&lt;/m:sSupPr&gt;&lt;m:e&gt;&lt;aml:annotation aml:id=&quot;1&quot; w:type=&quot;Word.Insertip:onp:&quot; p:amp:l:p:aup:thp:orp:=&quot;p:zcp:s&quot; arsml:createdate=&quot;2024-12-20T10:49:00Z&quot;&gt;&lt;aml:content&gt;&lt;m:r&gt;&lt;m:rPr&gt;&lt;m:sty m:val=&quot;bi&quot;/&gt;&lt;/m:rPr&gt;&lt;w:rPr&gt;&lt;w:rFonts w:ascii=&quot;Cambria Math&quot; w:fareast=&quot;宋体&quot; w:h-ansi=&quot;Cambria Math&quot; w:cs=&quot;宋体&quot;/&gt;&lt;wx:font wx:val=&quot;Cambria Math&quot;tip:/&gt;&lt;wonp::b/&gt;&quot; p:&lt;w:iamp:/&gt;&lt;wl:p::sz-aup:cs wthp::valorp:=&quot;21=&quot;p:&quot;/&gt;&lt;zcp:w:lang ars w:val=&quot;ZH-CN&quot;/&gt;&lt;/w:rPr&gt;&lt;m:t&gt;C&lt;/m:t&gt;&lt;/m:r&gt;&lt;/aml:content&gt;&lt;/aml:annotation&gt;&lt;/m:e&gt;&lt;m:sup&gt;&lt;aml:annotation aml:id=&quot;2&quot; w:type=&quot;Word.Insertion&quot; aml:author=&quot;zcs&quot; aml:createdate=&quot;2024-12-20T10:49:00Z&quot;&gt;&lt;aml:content&gt;&lt;m:r&gt;&lt;m:rPr&gt;&lt;m:sty m:val=&quot;bi&quot;/&gt;&lt;/m:rPr&gt;&lt;w:rPr&gt;&lt;w:rFonts w:ascii=&quot;Cambria Math&quot; w:fareast=&quot;宋体&quot; w:h-ansi=&quot;Cambria Math&quot; w:cs=&quot;宋体&quot;/&gt;&lt;wx:font wx:val=&quot;Cambria Math&quot;/&gt;&lt;w:b/&gt;&lt;w:i/&gt;&lt;w:sz-cs w:val=&quot;21&quot;/&gt;&lt;w:lang w:val=&quot;ZH-CN&quot;/&gt;&lt;/&quot;202w:rPr&gt;&lt;m-20T:t&gt;'&lt;/m:9:00t&gt;&lt;/m:r&gt;aml:&lt;/aml:coent&gt;ntent&gt;&lt;/&gt;&lt;m:aml:anno&lt;m:station&gt;&lt;:val/m:sup&gt;&lt;&quot;/&gt;&lt;/m:sSup&gt;Pr&gt;&lt;&lt;aml:annot&lt;w:ration aml:id=&quot;3&quot; w:type=&quot;Word.Insertion&quot; aml:author=&quot;zcs&quot; aml:createdate=&quot;2024-12-20T10:49:00Z&quot;&gt;&lt;aml:content&gt;&lt;m:r&gt;&lt;m:rPr&gt;&lt;m:sty m:val=&quot;bi&quot;/&gt;&lt;/m:rPr&gt;&lt;w:rPr&gt;&lt;w:rFonts w:ascii=&quot;Cambria Math&quot; w:fareast=&quot;宋体&quot; :sw:h-ansi=&quot;Caalmbria Math&quot;/&gt;&lt;&gt;&lt;wx:font wx&gt;&lt;:val=&quot;Cambria :rMath&quot;/&gt;&lt;w:b/&gt;&lt;w:i/&gt;&lt;w:sz-cs w:val=&quot;21&quot;/&gt;&lt;w:lang w:val=&quot;ZH-CN&quot;/&gt;&lt;/w:rPr&gt;&lt;m:t&gt;= &lt;/m:t&gt;&lt;/m:r&gt;&lt;/aml:content&gt;&lt;/aml:annotation&gt;&lt;/alm:oMath&gt;&lt;/m::roMathPara&gt;&lt;/&lt;ww:p&gt;&lt;w:sectPasr wsp:rsidR=ia&quot;00000000&quot;&gt;&lt;ar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3" chromakey="#FFFFFF" o:title=""/>
            <o:lock v:ext="edit" aspectratio="t"/>
            <w10:wrap type="none"/>
            <w10:anchorlock/>
          </v:shape>
        </w:pict>
      </w:r>
      <w:r>
        <w:rPr>
          <w:rFonts w:ascii="宋体" w:hAnsi="宋体"/>
          <w:b/>
          <w:bCs/>
          <w:color w:val="auto"/>
          <w:szCs w:val="21"/>
          <w:highlight w:val="none"/>
        </w:rPr>
        <w:instrText xml:space="preserve"> </w:instrText>
      </w:r>
      <w:r>
        <w:rPr>
          <w:rFonts w:ascii="宋体" w:hAnsi="宋体"/>
          <w:b/>
          <w:bCs/>
          <w:color w:val="auto"/>
          <w:szCs w:val="21"/>
          <w:highlight w:val="none"/>
        </w:rPr>
        <w:fldChar w:fldCharType="end"/>
      </w:r>
      <w:r>
        <w:rPr>
          <w:rFonts w:hint="eastAsia" w:ascii="宋体" w:hAnsi="宋体"/>
          <w:b/>
          <w:bCs/>
          <w:color w:val="auto"/>
          <w:szCs w:val="21"/>
          <w:highlight w:val="none"/>
        </w:rPr>
        <w:t>上一个业绩报酬计提日的份额累计单位净值。首次计提时，如为认购，则为基金份额初始面值；如为申购，则为申购份额</w:t>
      </w:r>
      <w:r>
        <w:rPr>
          <w:rFonts w:hint="eastAsia" w:ascii="宋体" w:hAnsi="宋体"/>
          <w:b/>
          <w:color w:val="auto"/>
          <w:szCs w:val="21"/>
          <w:highlight w:val="none"/>
        </w:rPr>
        <w:t>参与对应的申请日</w:t>
      </w:r>
      <w:r>
        <w:rPr>
          <w:rFonts w:hint="eastAsia" w:ascii="宋体" w:hAnsi="宋体"/>
          <w:b/>
          <w:bCs/>
          <w:color w:val="auto"/>
          <w:szCs w:val="21"/>
          <w:highlight w:val="none"/>
        </w:rPr>
        <w:t>的份额累计净值。</w:t>
      </w:r>
    </w:p>
    <w:p w14:paraId="0D24F20F">
      <w:pPr>
        <w:widowControl/>
        <w:adjustRightInd w:val="0"/>
        <w:snapToGrid w:val="0"/>
        <w:spacing w:line="360" w:lineRule="auto"/>
        <w:ind w:firstLine="420" w:firstLineChars="200"/>
        <w:rPr>
          <w:rFonts w:ascii="宋体" w:hAnsi="宋体"/>
          <w:color w:val="auto"/>
          <w:szCs w:val="24"/>
          <w:highlight w:val="none"/>
        </w:rPr>
      </w:pPr>
      <w:r>
        <w:rPr>
          <w:rFonts w:hint="eastAsia" w:ascii="宋体" w:hAnsi="宋体"/>
          <w:color w:val="auto"/>
          <w:szCs w:val="24"/>
          <w:highlight w:val="none"/>
        </w:rPr>
        <w:t>当发生</w:t>
      </w:r>
      <w:r>
        <w:rPr>
          <w:rFonts w:hint="eastAsia" w:ascii="宋体" w:hAnsi="宋体"/>
          <w:color w:val="auto"/>
          <w:szCs w:val="24"/>
          <w:highlight w:val="none"/>
          <w:lang w:val="en-US" w:eastAsia="zh-CN"/>
        </w:rPr>
        <w:t>分红</w:t>
      </w:r>
      <w:r>
        <w:rPr>
          <w:rFonts w:hint="eastAsia" w:ascii="宋体" w:hAnsi="宋体"/>
          <w:color w:val="auto"/>
          <w:szCs w:val="24"/>
          <w:highlight w:val="none"/>
        </w:rPr>
        <w:t>时，管理人在</w:t>
      </w:r>
      <w:r>
        <w:rPr>
          <w:rFonts w:hint="eastAsia" w:ascii="宋体" w:hAnsi="宋体"/>
          <w:color w:val="auto"/>
          <w:szCs w:val="24"/>
          <w:highlight w:val="none"/>
          <w:lang w:val="en-US" w:eastAsia="zh-CN"/>
        </w:rPr>
        <w:t>分红</w:t>
      </w:r>
      <w:r>
        <w:rPr>
          <w:rFonts w:hint="eastAsia" w:ascii="宋体" w:hAnsi="宋体"/>
          <w:color w:val="auto"/>
          <w:szCs w:val="24"/>
          <w:highlight w:val="none"/>
        </w:rPr>
        <w:t>前先按照业绩报酬提取公式计算每个基金份额持有人的应计提业绩报酬金额，然后在派发</w:t>
      </w:r>
      <w:r>
        <w:rPr>
          <w:rFonts w:hint="eastAsia" w:ascii="宋体" w:hAnsi="宋体"/>
          <w:color w:val="auto"/>
          <w:szCs w:val="24"/>
          <w:highlight w:val="none"/>
          <w:lang w:val="en-US" w:eastAsia="zh-CN"/>
        </w:rPr>
        <w:t>分红</w:t>
      </w:r>
      <w:r>
        <w:rPr>
          <w:rFonts w:hint="eastAsia" w:ascii="宋体" w:hAnsi="宋体"/>
          <w:color w:val="auto"/>
          <w:szCs w:val="24"/>
          <w:highlight w:val="none"/>
        </w:rPr>
        <w:t>时从</w:t>
      </w:r>
      <w:r>
        <w:rPr>
          <w:rFonts w:hint="eastAsia" w:ascii="宋体" w:hAnsi="宋体"/>
          <w:color w:val="auto"/>
          <w:szCs w:val="24"/>
          <w:highlight w:val="none"/>
          <w:lang w:val="en-US" w:eastAsia="zh-CN"/>
        </w:rPr>
        <w:t>分红</w:t>
      </w:r>
      <w:r>
        <w:rPr>
          <w:rFonts w:hint="eastAsia" w:ascii="宋体" w:hAnsi="宋体"/>
          <w:color w:val="auto"/>
          <w:szCs w:val="24"/>
          <w:highlight w:val="none"/>
        </w:rPr>
        <w:t>金额中扣除业绩报酬；当</w:t>
      </w:r>
      <w:r>
        <w:rPr>
          <w:rFonts w:hint="eastAsia" w:ascii="宋体" w:hAnsi="宋体"/>
          <w:color w:val="auto"/>
          <w:szCs w:val="24"/>
          <w:highlight w:val="none"/>
          <w:lang w:val="en-US" w:eastAsia="zh-CN"/>
        </w:rPr>
        <w:t>分红</w:t>
      </w:r>
      <w:r>
        <w:rPr>
          <w:rFonts w:hint="eastAsia" w:ascii="宋体" w:hAnsi="宋体"/>
          <w:color w:val="auto"/>
          <w:szCs w:val="24"/>
          <w:highlight w:val="none"/>
        </w:rPr>
        <w:t>金额不足于扣除业绩报酬时，以</w:t>
      </w:r>
      <w:r>
        <w:rPr>
          <w:rFonts w:hint="eastAsia" w:ascii="宋体" w:hAnsi="宋体"/>
          <w:color w:val="auto"/>
          <w:szCs w:val="24"/>
          <w:highlight w:val="none"/>
          <w:lang w:val="en-US" w:eastAsia="zh-CN"/>
        </w:rPr>
        <w:t>分红</w:t>
      </w:r>
      <w:r>
        <w:rPr>
          <w:rFonts w:hint="eastAsia" w:ascii="宋体" w:hAnsi="宋体"/>
          <w:color w:val="auto"/>
          <w:szCs w:val="24"/>
          <w:highlight w:val="none"/>
        </w:rPr>
        <w:t>金额为限扣除业绩报酬，不足部分不再另行弥补。</w:t>
      </w:r>
    </w:p>
    <w:p w14:paraId="75ADC1F2">
      <w:pPr>
        <w:widowControl/>
        <w:adjustRightInd w:val="0"/>
        <w:snapToGrid w:val="0"/>
        <w:spacing w:line="360" w:lineRule="auto"/>
        <w:ind w:firstLine="420" w:firstLineChars="200"/>
        <w:rPr>
          <w:rFonts w:ascii="宋体" w:hAnsi="宋体"/>
          <w:color w:val="auto"/>
          <w:szCs w:val="24"/>
          <w:highlight w:val="none"/>
        </w:rPr>
      </w:pPr>
      <w:r>
        <w:rPr>
          <w:rFonts w:hint="eastAsia" w:ascii="宋体" w:hAnsi="宋体"/>
          <w:color w:val="auto"/>
          <w:szCs w:val="24"/>
          <w:highlight w:val="none"/>
        </w:rPr>
        <w:t>私募基金管理人应于业绩报酬计提基准日向私募基金托管人提供业绩报酬的总金额。</w:t>
      </w:r>
    </w:p>
    <w:p w14:paraId="7C7FED87">
      <w:pPr>
        <w:adjustRightInd w:val="0"/>
        <w:snapToGrid w:val="0"/>
        <w:spacing w:line="360" w:lineRule="auto"/>
        <w:ind w:firstLine="420" w:firstLineChars="200"/>
        <w:rPr>
          <w:rFonts w:ascii="宋体" w:hAnsi="宋体"/>
          <w:color w:val="auto"/>
          <w:szCs w:val="24"/>
          <w:highlight w:val="none"/>
        </w:rPr>
      </w:pPr>
      <w:r>
        <w:rPr>
          <w:rFonts w:hint="eastAsia" w:ascii="宋体" w:hAnsi="宋体"/>
          <w:color w:val="auto"/>
          <w:szCs w:val="24"/>
          <w:highlight w:val="none"/>
        </w:rPr>
        <w:t>业绩报酬采用按账户计提的方式，多次申赎的基金份额在确定份额参与日或最近报酬计提日时采用“先进先出”法。</w:t>
      </w:r>
    </w:p>
    <w:p w14:paraId="49537730">
      <w:pPr>
        <w:adjustRightInd w:val="0"/>
        <w:snapToGrid w:val="0"/>
        <w:spacing w:line="360" w:lineRule="auto"/>
        <w:ind w:firstLine="420" w:firstLineChars="200"/>
        <w:rPr>
          <w:rFonts w:ascii="宋体" w:hAnsi="宋体"/>
          <w:color w:val="auto"/>
          <w:kern w:val="0"/>
          <w:szCs w:val="24"/>
          <w:highlight w:val="none"/>
        </w:rPr>
      </w:pPr>
      <w:r>
        <w:rPr>
          <w:rFonts w:hint="eastAsia" w:ascii="宋体" w:hAnsi="宋体"/>
          <w:color w:val="auto"/>
          <w:szCs w:val="24"/>
          <w:highlight w:val="none"/>
        </w:rPr>
        <w:t>业绩报酬的计算保留到小数点后2位，小数点后第3位四舍五入，由此带来的收益和损失归入基金资产。</w:t>
      </w:r>
    </w:p>
    <w:p w14:paraId="2B119B25">
      <w:pPr>
        <w:numPr>
          <w:ilvl w:val="0"/>
          <w:numId w:val="4"/>
        </w:numPr>
        <w:adjustRightInd w:val="0"/>
        <w:snapToGrid w:val="0"/>
        <w:spacing w:line="360" w:lineRule="auto"/>
        <w:outlineLvl w:val="3"/>
        <w:rPr>
          <w:rFonts w:ascii="宋体" w:hAnsi="宋体"/>
          <w:color w:val="auto"/>
          <w:highlight w:val="none"/>
        </w:rPr>
      </w:pPr>
      <w:r>
        <w:rPr>
          <w:rFonts w:hint="eastAsia" w:ascii="宋体" w:hAnsi="宋体"/>
          <w:color w:val="auto"/>
          <w:highlight w:val="none"/>
        </w:rPr>
        <w:t>业绩报酬的支付</w:t>
      </w:r>
    </w:p>
    <w:p w14:paraId="2098F824">
      <w:pPr>
        <w:adjustRightInd w:val="0"/>
        <w:snapToGrid w:val="0"/>
        <w:spacing w:line="360" w:lineRule="auto"/>
        <w:ind w:firstLine="420" w:firstLineChars="200"/>
        <w:rPr>
          <w:rFonts w:ascii="宋体" w:hAnsi="宋体"/>
          <w:color w:val="auto"/>
          <w:szCs w:val="24"/>
          <w:highlight w:val="none"/>
        </w:rPr>
      </w:pPr>
      <w:r>
        <w:rPr>
          <w:rFonts w:hint="eastAsia" w:ascii="宋体" w:hAnsi="宋体"/>
          <w:color w:val="auto"/>
          <w:highlight w:val="none"/>
        </w:rPr>
        <w:t>私募基金管理人的业绩报酬的计算工作由私募基金管理人或者其委托的私募基金服务机构完成，私募基金管理人复核。复核无误后由私募基金管理人向私募基金托管人发送划付指令，私募基金托管人于收到指令后5个工作日内从基金资产中一次性支付给私募基金管理人。</w:t>
      </w:r>
    </w:p>
    <w:p w14:paraId="3877662D">
      <w:pPr>
        <w:adjustRightInd w:val="0"/>
        <w:snapToGrid w:val="0"/>
        <w:spacing w:before="93" w:beforeLines="30" w:after="93" w:afterLines="30" w:line="360" w:lineRule="auto"/>
        <w:ind w:firstLine="422" w:firstLineChars="200"/>
        <w:rPr>
          <w:rFonts w:hint="eastAsia"/>
          <w:b/>
          <w:bCs/>
          <w:color w:val="auto"/>
          <w:highlight w:val="none"/>
        </w:rPr>
      </w:pPr>
      <w:r>
        <w:rPr>
          <w:rFonts w:hint="eastAsia"/>
          <w:b/>
          <w:bCs/>
          <w:color w:val="auto"/>
          <w:highlight w:val="none"/>
        </w:rPr>
        <w:t>特别提示：私募基金托管人不承担复核业绩报酬的责任，因私募基金管理人业绩报酬计提错误给基金财产或基金份额持有人造成损失，私募基金托管人不承担任何责任。</w:t>
      </w:r>
      <w:bookmarkEnd w:id="83"/>
    </w:p>
    <w:p w14:paraId="33914B9C">
      <w:pPr>
        <w:adjustRightInd w:val="0"/>
        <w:snapToGrid w:val="0"/>
        <w:spacing w:before="93" w:beforeLines="30" w:after="93" w:afterLines="30" w:line="360" w:lineRule="auto"/>
        <w:ind w:firstLine="420" w:firstLineChars="200"/>
        <w:rPr>
          <w:rFonts w:hint="eastAsia" w:ascii="宋体" w:hAnsi="宋体" w:eastAsia="宋体" w:cs="宋体"/>
          <w:b/>
          <w:bCs/>
          <w:color w:val="auto"/>
          <w:sz w:val="21"/>
          <w:szCs w:val="21"/>
          <w:highlight w:val="none"/>
        </w:rPr>
      </w:pPr>
      <w:r>
        <w:rPr>
          <w:rFonts w:hint="eastAsia" w:ascii="宋体" w:hAnsi="宋体" w:eastAsia="宋体" w:cs="宋体"/>
          <w:color w:val="auto"/>
          <w:sz w:val="21"/>
          <w:szCs w:val="21"/>
          <w:highlight w:val="none"/>
        </w:rPr>
        <w:t>5、销售服务费</w:t>
      </w:r>
    </w:p>
    <w:p w14:paraId="60A257C5">
      <w:pPr>
        <w:adjustRightInd w:val="0"/>
        <w:snapToGrid w:val="0"/>
        <w:spacing w:before="93" w:beforeLines="30" w:after="93" w:afterLines="30" w:line="360" w:lineRule="auto"/>
        <w:ind w:firstLine="422" w:firstLineChars="200"/>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本基金对B、C、D类份额不收取销售服务费，仅对A类份额收取销售服务费。</w:t>
      </w:r>
    </w:p>
    <w:p w14:paraId="303140AE">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本基金的销售服务费率详见“基金的基本情况”章节之“基金的份额分类”。计算方法如下：</w:t>
      </w:r>
    </w:p>
    <w:p w14:paraId="01E545F4">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H＝E×各类份额销售服务费率÷N</w:t>
      </w:r>
    </w:p>
    <w:p w14:paraId="49C0FDAF">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H：每日应计提的各类份额销售服务费</w:t>
      </w:r>
    </w:p>
    <w:p w14:paraId="01BE841F">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E：前一自然日的各类份额基金资产净值</w:t>
      </w:r>
    </w:p>
    <w:p w14:paraId="676A1FEC">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N：当年天数</w:t>
      </w:r>
    </w:p>
    <w:p w14:paraId="2D6BE599">
      <w:pPr>
        <w:adjustRightInd w:val="0"/>
        <w:snapToGrid w:val="0"/>
        <w:spacing w:before="93" w:beforeLines="30" w:after="93" w:afterLines="30" w:line="360"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本基金的销售服务费自基金成立日起，每日计提，按季支付给</w:t>
      </w:r>
      <w:r>
        <w:rPr>
          <w:rFonts w:hint="eastAsia" w:ascii="宋体" w:hAnsi="宋体" w:eastAsia="宋体" w:cs="宋体"/>
          <w:color w:val="auto"/>
          <w:sz w:val="21"/>
          <w:szCs w:val="21"/>
          <w:highlight w:val="none"/>
          <w:lang w:val="en-US" w:eastAsia="zh-CN"/>
        </w:rPr>
        <w:t>代销机构</w:t>
      </w:r>
      <w:r>
        <w:rPr>
          <w:rFonts w:hint="eastAsia" w:ascii="宋体" w:hAnsi="宋体" w:eastAsia="宋体" w:cs="宋体"/>
          <w:color w:val="auto"/>
          <w:sz w:val="21"/>
          <w:szCs w:val="21"/>
          <w:highlight w:val="none"/>
        </w:rPr>
        <w:t>。由基金托管人根据与基金管理人核对一致的财务数据，自动在下个自然季度起按照指定的账户路径进行资金支付，直至支付完毕，基金管理人无需再出具资金划拨指令，但应对托管资金账户的现金头寸进行管理，并自行解决由于费用自动支付可能产生的其他头寸问题。费用自动扣划后，基金管理人应进行核对，如发现数据不符，及时联系基金托管人协商解决。</w:t>
      </w:r>
    </w:p>
    <w:p w14:paraId="09F05C5B">
      <w:pPr>
        <w:adjustRightInd w:val="0"/>
        <w:snapToGrid w:val="0"/>
        <w:spacing w:before="93" w:beforeLines="30" w:after="93" w:afterLines="30" w:line="379"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销售服务费收款账户：</w:t>
      </w:r>
    </w:p>
    <w:p w14:paraId="18DEF4D2">
      <w:pPr>
        <w:adjustRightInd w:val="0"/>
        <w:snapToGrid w:val="0"/>
        <w:spacing w:before="93" w:beforeLines="30" w:after="93" w:afterLines="30" w:line="379" w:lineRule="auto"/>
        <w:ind w:firstLine="420" w:firstLineChars="200"/>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账户名称：</w:t>
      </w:r>
      <w:r>
        <w:rPr>
          <w:rFonts w:hint="eastAsia" w:ascii="宋体" w:hAnsi="宋体" w:cs="宋体"/>
          <w:color w:val="auto"/>
          <w:sz w:val="21"/>
          <w:szCs w:val="21"/>
          <w:highlight w:val="none"/>
          <w:lang w:eastAsia="zh-CN"/>
        </w:rPr>
        <w:t>招商证券股份有限公司</w:t>
      </w:r>
    </w:p>
    <w:p w14:paraId="432EDE91">
      <w:pPr>
        <w:adjustRightInd w:val="0"/>
        <w:snapToGrid w:val="0"/>
        <w:spacing w:before="93" w:beforeLines="30" w:after="93" w:afterLines="30" w:line="379" w:lineRule="auto"/>
        <w:ind w:firstLine="420" w:firstLineChars="20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账号：35001610007050020645</w:t>
      </w:r>
    </w:p>
    <w:p w14:paraId="5C6DD50D">
      <w:pPr>
        <w:adjustRightInd w:val="0"/>
        <w:snapToGrid w:val="0"/>
        <w:spacing w:before="93" w:beforeLines="30" w:after="93" w:afterLines="30" w:line="360" w:lineRule="auto"/>
        <w:ind w:firstLine="420" w:firstLineChars="200"/>
        <w:rPr>
          <w:rFonts w:hint="eastAsia"/>
          <w:b/>
          <w:bCs/>
          <w:color w:val="auto"/>
          <w:highlight w:val="none"/>
        </w:rPr>
      </w:pPr>
      <w:r>
        <w:rPr>
          <w:rFonts w:hint="eastAsia" w:ascii="宋体" w:hAnsi="宋体" w:eastAsia="宋体" w:cs="宋体"/>
          <w:color w:val="auto"/>
          <w:sz w:val="21"/>
          <w:szCs w:val="21"/>
          <w:highlight w:val="none"/>
        </w:rPr>
        <w:t>开户银行全称：中国建设银行股份有限公司福州城东支行</w:t>
      </w:r>
    </w:p>
    <w:p w14:paraId="670323A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6</w:t>
      </w:r>
      <w:r>
        <w:rPr>
          <w:rFonts w:hint="eastAsia" w:asciiTheme="minorEastAsia" w:hAnsiTheme="minorEastAsia" w:eastAsiaTheme="minorEastAsia"/>
          <w:color w:val="auto"/>
          <w:szCs w:val="21"/>
          <w:highlight w:val="none"/>
        </w:rPr>
        <w:t>、上述（一）中所列其他费用根据有关法规及相关协议规定，按费用实际支出金额列入当期费用，由基金托管人从基金财产中支付。其中，证券账户开户费若由托管人在开户时先行垫付，托管人在本基金存续期间内自动从基金资产中扣划，基金管理人无需再出具资金划拨指令。费用自动扣划后，基金管理人应进行核对，如发现数据不符，及时联系基金托管人协商解决。</w:t>
      </w:r>
    </w:p>
    <w:p w14:paraId="0BA473F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其中，基金管理人费用和业绩报酬收入（如有）银行账户信息如下（账户信息如有变更，管理人可单独决定而无须变更本基金合同，但须在账户信息变更生效时通知基金托管人）：</w:t>
      </w:r>
    </w:p>
    <w:p w14:paraId="3A6065D2">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账户名称：</w:t>
      </w:r>
      <w:r>
        <w:rPr>
          <w:rFonts w:hint="eastAsia" w:asciiTheme="minorEastAsia" w:hAnsiTheme="minorEastAsia" w:eastAsiaTheme="minorEastAsia"/>
          <w:color w:val="auto"/>
          <w:szCs w:val="21"/>
          <w:highlight w:val="none"/>
          <w:lang w:eastAsia="zh-CN"/>
        </w:rPr>
        <w:t>石云科技股份有限公司</w:t>
      </w:r>
    </w:p>
    <w:p w14:paraId="047ECC5B">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账号：</w:t>
      </w:r>
      <w:r>
        <w:rPr>
          <w:rFonts w:hint="eastAsia" w:asciiTheme="minorEastAsia" w:hAnsiTheme="minorEastAsia" w:eastAsiaTheme="minorEastAsia"/>
          <w:color w:val="auto"/>
          <w:szCs w:val="21"/>
          <w:highlight w:val="none"/>
          <w:lang w:eastAsia="zh-CN"/>
        </w:rPr>
        <w:t>8150351235100000152000</w:t>
      </w:r>
    </w:p>
    <w:p w14:paraId="732CAE9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开户银行全称：浙江泰隆商业银行股份有限公司上海浦东支行</w:t>
      </w:r>
      <w:r>
        <w:rPr>
          <w:rFonts w:asciiTheme="minorEastAsia" w:hAnsiTheme="minorEastAsia" w:eastAsiaTheme="minorEastAsia"/>
          <w:color w:val="auto"/>
          <w:szCs w:val="21"/>
          <w:highlight w:val="none"/>
        </w:rPr>
        <w:t xml:space="preserve"> </w:t>
      </w:r>
    </w:p>
    <w:p w14:paraId="7FC7B2F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（三）不列入基金业务费用的项目</w:t>
      </w:r>
    </w:p>
    <w:p w14:paraId="47C7665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1、基金管理人和基金托管人因未履行或未完全履行义务导致的费用支出或基金财产的损失。</w:t>
      </w:r>
    </w:p>
    <w:p w14:paraId="5D63304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2、基金管理人和基金托管人处理与基金财产运作无关的事项发生的费用。</w:t>
      </w:r>
    </w:p>
    <w:p w14:paraId="2CA9B0D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3、其他根据相关法律法规及监管机构的有关规定不得列入基金费用的项目。</w:t>
      </w:r>
    </w:p>
    <w:p w14:paraId="009DF76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（四）费率调整</w:t>
      </w:r>
    </w:p>
    <w:p w14:paraId="32370F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基金管理人与基金托管人、私募基金服务机构协商一致，可下调托管费率和外包服务费率。</w:t>
      </w:r>
    </w:p>
    <w:p w14:paraId="6C1210A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对上述费率的调整生效后，基金管理人按照本合同的约定向基金份额持有人披露变更的具体内容。</w:t>
      </w:r>
    </w:p>
    <w:p w14:paraId="658D95E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（五）基金的税收</w:t>
      </w:r>
    </w:p>
    <w:p w14:paraId="743DC5B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本基金运作过程中涉及的各纳税主体及扣缴主体，其纳税义务及扣缴义务按国家税收法律、法规，由其各自承担、缴纳或扣缴。</w:t>
      </w:r>
    </w:p>
    <w:p w14:paraId="25E31C0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鉴于基金管理人为本基金的利益，投资、运用委托财产过程中，可能因法律法规、税收政策的要求而成为纳税义务人，就归属于基金的投资收益、投资回报和/或本金承担纳税义务。因此，本基金运营过程中由于上述原因发生的增值税及相关附加等税负，仍由本基金委托财产承担。基金管理人有权在本基金每次财产分配前或基金清算时从基金中先行提取一定金额作为税费备用资金，具体金额由基金管理人根据届时情况确定，提取总额不得超过本基金应缴税费金额。基金管理人可通过本基金托管账户直接缴付税费，或划付至基金管理人账户并由基金管理人依据税务部门要求完成税款申报缴纳。如果本基金托管账户受现金流动性限制无法足额现金缴纳上述税款，在征得基金份额持有人同意的前提下，基金管理人有权要求基金份额持有人向基金托管账户提供流动性支持，以按期足额缴付/划付相关税款。如果基金管理人以固有财产垫付本基金运营过程中产生的增值税或其他税费（如有）的，则基金管理人有权从委托财产中优先受偿。本基金清算后若基金管理人被税务机关要求补缴应由委托财产承担的上述税费的，则基金管理人有权向基金份额持有人就补缴金额进行追偿。</w:t>
      </w:r>
    </w:p>
    <w:p w14:paraId="7C4BE01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份额持有人从委托财产中获得的各项收益产生的税费，由基金份额持有人根据国家法律法规的规定自行承担。根据法律法规或主管税务机关规定，基金管理人应当就基金份额持有人获得收益所产生的税费履行代扣代缴义务的，则基金管理人有权根据届时有效的规定对基金份额持有人代扣代缴相关税费。基金管理人、基金托管人就其取得的基金管理费、托管费，依据法律法规规定履行各自的纳税义务。若届时国家税收相关法律法规发生调整变化，则依据其规定执行。</w:t>
      </w:r>
    </w:p>
    <w:p w14:paraId="3DFAFD3C">
      <w:pPr>
        <w:pStyle w:val="3"/>
        <w:keepNext w:val="0"/>
        <w:keepLines w:val="0"/>
        <w:adjustRightInd w:val="0"/>
        <w:snapToGrid w:val="0"/>
        <w:spacing w:before="312" w:beforeLines="100" w:after="312" w:afterLines="100" w:line="348" w:lineRule="auto"/>
        <w:jc w:val="center"/>
        <w:rPr>
          <w:rFonts w:asciiTheme="minorEastAsia" w:hAnsiTheme="minorEastAsia" w:eastAsiaTheme="minorEastAsia"/>
          <w:color w:val="auto"/>
          <w:sz w:val="28"/>
          <w:szCs w:val="28"/>
          <w:highlight w:val="none"/>
        </w:rPr>
      </w:pPr>
      <w:bookmarkStart w:id="84" w:name="_Toc825"/>
      <w:bookmarkStart w:id="85" w:name="_Toc194741919"/>
      <w:bookmarkStart w:id="86" w:name="_Toc459392420"/>
      <w:bookmarkStart w:id="87" w:name="_Toc110605419"/>
      <w:r>
        <w:rPr>
          <w:rFonts w:hint="eastAsia" w:asciiTheme="minorEastAsia" w:hAnsiTheme="minorEastAsia" w:eastAsiaTheme="minorEastAsia"/>
          <w:color w:val="auto"/>
          <w:sz w:val="28"/>
          <w:szCs w:val="28"/>
          <w:highlight w:val="none"/>
        </w:rPr>
        <w:t>十八、基金的收益分配</w:t>
      </w:r>
      <w:bookmarkEnd w:id="84"/>
    </w:p>
    <w:p w14:paraId="4B39E370">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（一）基金利润的构成</w:t>
      </w:r>
    </w:p>
    <w:p w14:paraId="6D40E6D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各类基金份额利润指各类基金份额的利息收入、投资收益、公允价值变动损益和其他收入扣除各类基金份额的相关费用后的余额，各类基金份额的已实现收益指各类基金份额利润减去公允价值变动损益后的余额。</w:t>
      </w:r>
    </w:p>
    <w:p w14:paraId="0D398524">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各类基金份额收益分配的基准为各类基金份额的累计未支付利润。各类基金份额的累计未支付利润是指各类基金份额的利息收入、投资收益、公允价值变动收益及其他收入等基金运作产生的各项收入扣除各类基金份额的管理费、托管费、基金服务费等基金运作产生的各项费用后的余额。</w:t>
      </w:r>
    </w:p>
    <w:p w14:paraId="15BC041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（二）基金收益分配原则</w:t>
      </w:r>
    </w:p>
    <w:p w14:paraId="12CD43BC">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1、在符合有关基金分红条件的前提下，基金管理人有权决定是否对基金进行收益分配，收益分配的基准、时间、比例亦由基金管理人决定；</w:t>
      </w:r>
    </w:p>
    <w:p w14:paraId="0A39EADF">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2、本基金的收益分配可以采取现金分红或红利再投资等方式，本基金默认的收益分配方式为红利再投资，基金份额持有人需要修改收益分配方式，需提前通知管理人提出申请；</w:t>
      </w:r>
    </w:p>
    <w:p w14:paraId="1DC6D316">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3、基金收益分配后各类基金份额净值不能低于面值；即基金收益分配基准日的各类基金份额净值减去每单位各类基金份额收益分配金额后不能低于面值；</w:t>
      </w:r>
    </w:p>
    <w:p w14:paraId="76CD9DA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4、每份同类基金份额享有同等分配权；</w:t>
      </w:r>
    </w:p>
    <w:p w14:paraId="24114698">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5、法律法规或监管机关另有规定的，从其规定。</w:t>
      </w:r>
    </w:p>
    <w:p w14:paraId="492E01F9">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（三）收益分配方案</w:t>
      </w:r>
    </w:p>
    <w:p w14:paraId="52B4FD8A">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基金收益分配方案中应载明截止收益分配基准日的可供分配利润、基金收益分配对象、分配时间、分配数额及比例、分配方式等内容。</w:t>
      </w:r>
    </w:p>
    <w:p w14:paraId="6E6E5EE3">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（四）收益分配方案的确定、通知与实施</w:t>
      </w:r>
    </w:p>
    <w:p w14:paraId="3A76FEF2">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1、本基金收益分配方案由基金管理人拟定，并由基金管理人在基金托管人复核后以约定的形式通知基金份额持有人。</w:t>
      </w:r>
    </w:p>
    <w:p w14:paraId="2E1D4E05">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在收益分配方案通知基金份额持有人后，如涉及现金分红的方式，基金管理人依据具体方案的规定就支付的现金红利向基金托管人发送划款指令，基金托管人按照基金管理人的指令及时进行分红资金的划付；如涉及红利再投资的方式，基金份额持有人所转换的基金份额将以分红除权日的基金份额净值为计算基准确定再投资份额，红利再投资所转换的基金份额将直接记入其基金账户。</w:t>
      </w:r>
      <w:bookmarkEnd w:id="85"/>
      <w:bookmarkEnd w:id="86"/>
      <w:bookmarkEnd w:id="87"/>
      <w:bookmarkStart w:id="88" w:name="_Toc396810200"/>
      <w:bookmarkStart w:id="89" w:name="_Toc194741920"/>
      <w:bookmarkStart w:id="90" w:name="_Toc459392421"/>
    </w:p>
    <w:bookmarkEnd w:id="88"/>
    <w:p w14:paraId="4F46C3E6">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91" w:name="_Toc32125"/>
      <w:bookmarkStart w:id="92" w:name="_Toc110605420"/>
      <w:r>
        <w:rPr>
          <w:rFonts w:hint="eastAsia" w:asciiTheme="minorEastAsia" w:hAnsiTheme="minorEastAsia" w:eastAsiaTheme="minorEastAsia"/>
          <w:b/>
          <w:color w:val="auto"/>
          <w:sz w:val="28"/>
          <w:szCs w:val="28"/>
          <w:highlight w:val="none"/>
        </w:rPr>
        <w:t>十九、</w:t>
      </w:r>
      <w:bookmarkEnd w:id="89"/>
      <w:r>
        <w:rPr>
          <w:rFonts w:hint="eastAsia" w:asciiTheme="minorEastAsia" w:hAnsiTheme="minorEastAsia" w:eastAsiaTheme="minorEastAsia"/>
          <w:b/>
          <w:color w:val="auto"/>
          <w:sz w:val="28"/>
          <w:szCs w:val="28"/>
          <w:highlight w:val="none"/>
        </w:rPr>
        <w:t>基金的信息披露与报告</w:t>
      </w:r>
      <w:bookmarkEnd w:id="90"/>
      <w:bookmarkEnd w:id="91"/>
      <w:bookmarkEnd w:id="92"/>
    </w:p>
    <w:p w14:paraId="3DD30AD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w:t>
      </w:r>
      <w:r>
        <w:rPr>
          <w:rFonts w:asciiTheme="minorEastAsia" w:hAnsiTheme="minorEastAsia" w:eastAsiaTheme="minorEastAsia"/>
          <w:color w:val="auto"/>
          <w:szCs w:val="21"/>
          <w:highlight w:val="none"/>
        </w:rPr>
        <w:t>本基金的信息披露应符合《基金法》《私募办法》《私募投资基金信息披露管理办法》《私募投资基金登记备案办法》及相关自律规则的规定。</w:t>
      </w:r>
      <w:r>
        <w:rPr>
          <w:rFonts w:hint="eastAsia" w:asciiTheme="minorEastAsia" w:hAnsiTheme="minorEastAsia" w:eastAsiaTheme="minorEastAsia"/>
          <w:color w:val="auto"/>
          <w:szCs w:val="21"/>
          <w:highlight w:val="none"/>
        </w:rPr>
        <w:t>如中国证监会、中国基金业协会更新了私募基金信息披露规则或制定了其他相关规则，则从其规则执行。</w:t>
      </w:r>
    </w:p>
    <w:p w14:paraId="2580D153">
      <w:pPr>
        <w:adjustRightInd w:val="0"/>
        <w:snapToGrid w:val="0"/>
        <w:spacing w:before="93" w:beforeLines="30" w:after="93" w:afterLines="30" w:line="372" w:lineRule="auto"/>
        <w:ind w:firstLine="420" w:firstLineChars="200"/>
        <w:rPr>
          <w:rFonts w:hint="default"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二</w:t>
      </w:r>
      <w:r>
        <w:rPr>
          <w:rFonts w:hint="eastAsia" w:asciiTheme="minorEastAsia" w:hAnsiTheme="minorEastAsia" w:eastAsiaTheme="minorEastAsia"/>
          <w:color w:val="auto"/>
          <w:szCs w:val="21"/>
          <w:highlight w:val="none"/>
          <w:lang w:eastAsia="zh-CN"/>
        </w:rPr>
        <w:t>）</w:t>
      </w:r>
      <w:r>
        <w:rPr>
          <w:rFonts w:hint="default" w:asciiTheme="minorEastAsia" w:hAnsiTheme="minorEastAsia" w:eastAsiaTheme="minorEastAsia"/>
          <w:color w:val="auto"/>
          <w:szCs w:val="21"/>
          <w:highlight w:val="none"/>
        </w:rPr>
        <w:t>基金管理人为本基金信息披露义务人。基金管理人委托第三方机构代为披露信息或者提供信息披露渠道的，基金管理人作为信息披露义务人依法应当承担的责任和信息披露义务不因委托而免除。基金管理人应当保证所披露信息（包括基金财务信息及非财务信息）的真实性、准确性和完整性，基金管理人披露基金信息不真实、不准确、不完整而产生的责任由基金管理人自行承担。</w:t>
      </w:r>
    </w:p>
    <w:p w14:paraId="2216CA96">
      <w:pPr>
        <w:adjustRightInd w:val="0"/>
        <w:snapToGrid w:val="0"/>
        <w:spacing w:before="93" w:beforeLines="30" w:after="93" w:afterLines="30" w:line="360" w:lineRule="auto"/>
        <w:ind w:firstLine="420" w:firstLineChars="200"/>
        <w:rPr>
          <w:rFonts w:hint="default" w:asciiTheme="minorEastAsia" w:hAnsiTheme="minorEastAsia" w:eastAsiaTheme="minorEastAsia"/>
          <w:b w:val="0"/>
          <w:color w:val="auto"/>
          <w:szCs w:val="21"/>
          <w:highlight w:val="none"/>
        </w:rPr>
      </w:pPr>
      <w:r>
        <w:rPr>
          <w:rFonts w:hint="eastAsia" w:asciiTheme="minorEastAsia" w:hAnsiTheme="minorEastAsia" w:eastAsiaTheme="minorEastAsia"/>
          <w:color w:val="auto"/>
          <w:szCs w:val="21"/>
          <w:highlight w:val="none"/>
          <w:lang w:val="en-US" w:eastAsia="zh-CN"/>
        </w:rPr>
        <w:t>基金</w:t>
      </w:r>
      <w:r>
        <w:rPr>
          <w:rFonts w:hint="default" w:asciiTheme="minorEastAsia" w:hAnsiTheme="minorEastAsia" w:eastAsiaTheme="minorEastAsia"/>
          <w:b w:val="0"/>
          <w:color w:val="auto"/>
          <w:szCs w:val="21"/>
          <w:highlight w:val="none"/>
        </w:rPr>
        <w:t>托管人不负有直接向</w:t>
      </w:r>
      <w:r>
        <w:rPr>
          <w:rFonts w:hint="eastAsia" w:asciiTheme="minorEastAsia" w:hAnsiTheme="minorEastAsia" w:eastAsiaTheme="minorEastAsia"/>
          <w:b w:val="0"/>
          <w:color w:val="auto"/>
          <w:szCs w:val="21"/>
          <w:highlight w:val="none"/>
          <w:lang w:val="en-US" w:eastAsia="zh-CN"/>
        </w:rPr>
        <w:t>基金</w:t>
      </w:r>
      <w:r>
        <w:rPr>
          <w:rFonts w:hint="default" w:asciiTheme="minorEastAsia" w:hAnsiTheme="minorEastAsia" w:eastAsiaTheme="minorEastAsia"/>
          <w:b w:val="0"/>
          <w:color w:val="auto"/>
          <w:szCs w:val="21"/>
          <w:highlight w:val="none"/>
        </w:rPr>
        <w:t>投资者披露基金信息的义务。因基金信息披露不真实、不准确、不完整或不及时等原因造成的任何争议或损失，由</w:t>
      </w:r>
      <w:r>
        <w:rPr>
          <w:rFonts w:hint="eastAsia" w:asciiTheme="minorEastAsia" w:hAnsiTheme="minorEastAsia" w:eastAsiaTheme="minorEastAsia"/>
          <w:b w:val="0"/>
          <w:color w:val="auto"/>
          <w:szCs w:val="21"/>
          <w:highlight w:val="none"/>
          <w:lang w:val="en-US" w:eastAsia="zh-CN"/>
        </w:rPr>
        <w:t>基金</w:t>
      </w:r>
      <w:r>
        <w:rPr>
          <w:rFonts w:hint="default" w:asciiTheme="minorEastAsia" w:hAnsiTheme="minorEastAsia" w:eastAsiaTheme="minorEastAsia"/>
          <w:b w:val="0"/>
          <w:color w:val="auto"/>
          <w:szCs w:val="21"/>
          <w:highlight w:val="none"/>
        </w:rPr>
        <w:t>管理人负责解决并承担相应的法律责任。</w:t>
      </w:r>
    </w:p>
    <w:p w14:paraId="05A2697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三</w:t>
      </w:r>
      <w:r>
        <w:rPr>
          <w:rFonts w:asciiTheme="minorEastAsia" w:hAnsiTheme="minorEastAsia" w:eastAsiaTheme="minorEastAsia"/>
          <w:color w:val="auto"/>
          <w:szCs w:val="21"/>
          <w:highlight w:val="none"/>
        </w:rPr>
        <w:t>）基金管理人定期信息披露</w:t>
      </w:r>
    </w:p>
    <w:p w14:paraId="28B81F9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1、净值报告披露</w:t>
      </w:r>
    </w:p>
    <w:p w14:paraId="354EE01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基金管理人每月将经基金托管人复核的上月最后一个</w:t>
      </w:r>
      <w:r>
        <w:rPr>
          <w:rFonts w:hint="eastAsia" w:asciiTheme="minorEastAsia" w:hAnsiTheme="minorEastAsia" w:eastAsiaTheme="minorEastAsia"/>
          <w:color w:val="auto"/>
          <w:szCs w:val="21"/>
          <w:highlight w:val="none"/>
        </w:rPr>
        <w:t>自然</w:t>
      </w:r>
      <w:r>
        <w:rPr>
          <w:rFonts w:asciiTheme="minorEastAsia" w:hAnsiTheme="minorEastAsia" w:eastAsiaTheme="minorEastAsia"/>
          <w:color w:val="auto"/>
          <w:szCs w:val="21"/>
          <w:highlight w:val="none"/>
        </w:rPr>
        <w:t>日的基金份额净值</w:t>
      </w:r>
      <w:r>
        <w:rPr>
          <w:rFonts w:hint="eastAsia" w:asciiTheme="minorEastAsia" w:hAnsiTheme="minorEastAsia" w:eastAsiaTheme="minorEastAsia"/>
          <w:color w:val="auto"/>
          <w:szCs w:val="21"/>
          <w:highlight w:val="none"/>
        </w:rPr>
        <w:t>、各类别基金份额净值</w:t>
      </w:r>
      <w:r>
        <w:rPr>
          <w:rFonts w:asciiTheme="minorEastAsia" w:hAnsiTheme="minorEastAsia" w:eastAsiaTheme="minorEastAsia"/>
          <w:color w:val="auto"/>
          <w:szCs w:val="21"/>
          <w:highlight w:val="none"/>
        </w:rPr>
        <w:t>以各方认可的形式提交基金份额持有人。</w:t>
      </w:r>
      <w:r>
        <w:rPr>
          <w:rFonts w:hint="eastAsia" w:ascii="宋体" w:hAnsi="宋体"/>
          <w:color w:val="auto"/>
          <w:szCs w:val="21"/>
          <w:highlight w:val="none"/>
        </w:rPr>
        <w:t>本基金存续期间内，基金规模达到</w:t>
      </w:r>
      <w:r>
        <w:rPr>
          <w:rFonts w:ascii="宋体" w:hAnsi="宋体"/>
          <w:color w:val="auto"/>
          <w:szCs w:val="21"/>
          <w:highlight w:val="none"/>
        </w:rPr>
        <w:t>5000万元以上的，私募基金管理人应当自基金规模达到5000万元之日起，持续在每月结束之日起5个工作日内向基金份额持有人披露基金净值信息。</w:t>
      </w:r>
    </w:p>
    <w:p w14:paraId="2D65340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2、季度报告披露</w:t>
      </w:r>
    </w:p>
    <w:p w14:paraId="5B2ED35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本基金存</w:t>
      </w:r>
      <w:r>
        <w:rPr>
          <w:rFonts w:hint="eastAsia" w:asciiTheme="minorEastAsia" w:hAnsiTheme="minorEastAsia" w:eastAsiaTheme="minorEastAsia"/>
          <w:color w:val="auto"/>
          <w:szCs w:val="21"/>
          <w:highlight w:val="none"/>
        </w:rPr>
        <w:t>续</w:t>
      </w:r>
      <w:r>
        <w:rPr>
          <w:rFonts w:asciiTheme="minorEastAsia" w:hAnsiTheme="minorEastAsia" w:eastAsiaTheme="minorEastAsia"/>
          <w:color w:val="auto"/>
          <w:szCs w:val="21"/>
          <w:highlight w:val="none"/>
        </w:rPr>
        <w:t>期间，基金管理人应当在每季度结束之日起10个工作日以内向投资者披露季度报告，季度报告应包括基金资产净值、基金份额净值、</w:t>
      </w:r>
      <w:r>
        <w:rPr>
          <w:rFonts w:hint="eastAsia" w:asciiTheme="minorEastAsia" w:hAnsiTheme="minorEastAsia" w:eastAsiaTheme="minorEastAsia"/>
          <w:color w:val="auto"/>
          <w:szCs w:val="21"/>
          <w:highlight w:val="none"/>
        </w:rPr>
        <w:t>所属类别基金份额净值</w:t>
      </w:r>
      <w:r>
        <w:rPr>
          <w:rFonts w:asciiTheme="minorEastAsia" w:hAnsiTheme="minorEastAsia" w:eastAsiaTheme="minorEastAsia"/>
          <w:color w:val="auto"/>
          <w:szCs w:val="21"/>
          <w:highlight w:val="none"/>
        </w:rPr>
        <w:t>、主要财务指标以及投资组合情况等信息。</w:t>
      </w:r>
    </w:p>
    <w:p w14:paraId="40903CF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3、年度报告披露</w:t>
      </w:r>
    </w:p>
    <w:p w14:paraId="418B585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本基金存</w:t>
      </w:r>
      <w:r>
        <w:rPr>
          <w:rFonts w:hint="eastAsia" w:asciiTheme="minorEastAsia" w:hAnsiTheme="minorEastAsia" w:eastAsiaTheme="minorEastAsia"/>
          <w:color w:val="auto"/>
          <w:szCs w:val="21"/>
          <w:highlight w:val="none"/>
        </w:rPr>
        <w:t>续</w:t>
      </w:r>
      <w:r>
        <w:rPr>
          <w:rFonts w:asciiTheme="minorEastAsia" w:hAnsiTheme="minorEastAsia" w:eastAsiaTheme="minorEastAsia"/>
          <w:color w:val="auto"/>
          <w:szCs w:val="21"/>
          <w:highlight w:val="none"/>
        </w:rPr>
        <w:t>期间，基金管理人应当在每年结束之日起4个月以内，向基金投资者披露年度报告，年度报告应包括以下信息：</w:t>
      </w:r>
    </w:p>
    <w:p w14:paraId="1608F10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（1）报告期末基金资产净值、基金份额净值</w:t>
      </w:r>
      <w:r>
        <w:rPr>
          <w:rFonts w:hint="eastAsia" w:asciiTheme="minorEastAsia" w:hAnsiTheme="minorEastAsia" w:eastAsiaTheme="minorEastAsia"/>
          <w:color w:val="auto"/>
          <w:szCs w:val="21"/>
          <w:highlight w:val="none"/>
        </w:rPr>
        <w:t>、所属类别基金份额净值</w:t>
      </w:r>
      <w:r>
        <w:rPr>
          <w:rFonts w:asciiTheme="minorEastAsia" w:hAnsiTheme="minorEastAsia" w:eastAsiaTheme="minorEastAsia"/>
          <w:color w:val="auto"/>
          <w:szCs w:val="21"/>
          <w:highlight w:val="none"/>
        </w:rPr>
        <w:t>和基金份额总额；</w:t>
      </w:r>
    </w:p>
    <w:p w14:paraId="625D354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（2）本基金的财务情况；</w:t>
      </w:r>
    </w:p>
    <w:p w14:paraId="7136E32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（3）本基金投资运作情况和运用杠杆情况；</w:t>
      </w:r>
    </w:p>
    <w:p w14:paraId="55BF9A0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（4）基金投资者账户信息，包括实缴出资额、未缴出资额以及报告期末所持有基金份额总额等；</w:t>
      </w:r>
    </w:p>
    <w:p w14:paraId="7017E13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（5）投资财产分配和损失承担情况；</w:t>
      </w:r>
    </w:p>
    <w:p w14:paraId="1BDBCF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（6）基金管理人取得的管理费和业绩报酬，包括计提基准、计提方式和支付方式；</w:t>
      </w:r>
    </w:p>
    <w:p w14:paraId="3268DAA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（7）</w:t>
      </w:r>
      <w:r>
        <w:rPr>
          <w:rFonts w:hint="eastAsia" w:asciiTheme="minorEastAsia" w:hAnsiTheme="minorEastAsia" w:eastAsiaTheme="minorEastAsia"/>
          <w:color w:val="auto"/>
          <w:szCs w:val="21"/>
          <w:highlight w:val="none"/>
        </w:rPr>
        <w:t>本</w:t>
      </w:r>
      <w:r>
        <w:rPr>
          <w:rFonts w:asciiTheme="minorEastAsia" w:hAnsiTheme="minorEastAsia" w:eastAsiaTheme="minorEastAsia"/>
          <w:color w:val="auto"/>
          <w:szCs w:val="21"/>
          <w:highlight w:val="none"/>
        </w:rPr>
        <w:t>合同约定的其他信息。</w:t>
      </w:r>
    </w:p>
    <w:p w14:paraId="55EA011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四</w:t>
      </w:r>
      <w:r>
        <w:rPr>
          <w:rFonts w:asciiTheme="minorEastAsia" w:hAnsiTheme="minorEastAsia" w:eastAsiaTheme="minorEastAsia"/>
          <w:color w:val="auto"/>
          <w:szCs w:val="21"/>
          <w:highlight w:val="none"/>
        </w:rPr>
        <w:t>）基金管理人重大事项信息披露</w:t>
      </w:r>
    </w:p>
    <w:p w14:paraId="69FF1F8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发生以下重大事项的，基金管理人应</w:t>
      </w:r>
      <w:r>
        <w:rPr>
          <w:rFonts w:hint="eastAsia" w:asciiTheme="minorEastAsia" w:hAnsiTheme="minorEastAsia" w:eastAsiaTheme="minorEastAsia"/>
          <w:color w:val="auto"/>
          <w:szCs w:val="21"/>
          <w:highlight w:val="none"/>
        </w:rPr>
        <w:t>在5个工作日内（本</w:t>
      </w:r>
      <w:r>
        <w:rPr>
          <w:rFonts w:asciiTheme="minorEastAsia" w:hAnsiTheme="minorEastAsia" w:eastAsiaTheme="minorEastAsia"/>
          <w:color w:val="auto"/>
          <w:szCs w:val="21"/>
          <w:highlight w:val="none"/>
        </w:rPr>
        <w:t>合同</w:t>
      </w:r>
      <w:r>
        <w:rPr>
          <w:rFonts w:hint="eastAsia" w:asciiTheme="minorEastAsia" w:hAnsiTheme="minorEastAsia" w:eastAsiaTheme="minorEastAsia"/>
          <w:color w:val="auto"/>
          <w:szCs w:val="21"/>
          <w:highlight w:val="none"/>
        </w:rPr>
        <w:t>另有约定的除外）</w:t>
      </w:r>
      <w:r>
        <w:rPr>
          <w:rFonts w:asciiTheme="minorEastAsia" w:hAnsiTheme="minorEastAsia" w:eastAsiaTheme="minorEastAsia"/>
          <w:color w:val="auto"/>
          <w:szCs w:val="21"/>
          <w:highlight w:val="none"/>
        </w:rPr>
        <w:t>及时向基金投资者披露：</w:t>
      </w:r>
    </w:p>
    <w:p w14:paraId="1E3D44D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1、本基金名称、</w:t>
      </w:r>
      <w:r>
        <w:rPr>
          <w:rFonts w:hint="eastAsia" w:asciiTheme="minorEastAsia" w:hAnsiTheme="minorEastAsia" w:eastAsiaTheme="minorEastAsia"/>
          <w:color w:val="auto"/>
          <w:szCs w:val="21"/>
          <w:highlight w:val="none"/>
          <w:lang w:val="en-US" w:eastAsia="zh-CN"/>
        </w:rPr>
        <w:t>基金类型、存续期限、</w:t>
      </w:r>
      <w:r>
        <w:rPr>
          <w:rFonts w:asciiTheme="minorEastAsia" w:hAnsiTheme="minorEastAsia" w:eastAsiaTheme="minorEastAsia"/>
          <w:color w:val="auto"/>
          <w:szCs w:val="21"/>
          <w:highlight w:val="none"/>
        </w:rPr>
        <w:t>注册地址、组织形式发生变更的；</w:t>
      </w:r>
    </w:p>
    <w:p w14:paraId="13126AB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2、投资范围</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投资限制</w:t>
      </w:r>
      <w:r>
        <w:rPr>
          <w:rFonts w:asciiTheme="minorEastAsia" w:hAnsiTheme="minorEastAsia" w:eastAsiaTheme="minorEastAsia"/>
          <w:color w:val="auto"/>
          <w:szCs w:val="21"/>
          <w:highlight w:val="none"/>
        </w:rPr>
        <w:t>和投资策略发生重大变化的；</w:t>
      </w:r>
    </w:p>
    <w:p w14:paraId="34929FB4">
      <w:pPr>
        <w:adjustRightInd w:val="0"/>
        <w:snapToGrid w:val="0"/>
        <w:spacing w:before="93" w:beforeLines="30" w:after="93" w:afterLines="30" w:line="360" w:lineRule="auto"/>
        <w:ind w:firstLine="420" w:firstLineChars="200"/>
        <w:rPr>
          <w:rFonts w:hint="default" w:asciiTheme="minorEastAsia" w:hAnsiTheme="minorEastAsia" w:eastAsiaTheme="minorEastAsia"/>
          <w:color w:val="auto"/>
          <w:szCs w:val="21"/>
          <w:highlight w:val="none"/>
          <w:lang w:val="en-US" w:eastAsia="zh-CN"/>
        </w:rPr>
      </w:pP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lang w:val="en-US" w:eastAsia="zh-CN"/>
        </w:rPr>
        <w:t>债券投资价格偏离度等指标出现异常情形的；</w:t>
      </w:r>
    </w:p>
    <w:p w14:paraId="17C0198B">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lang w:val="en-US" w:eastAsia="zh-CN"/>
        </w:rPr>
        <w:t>4、</w:t>
      </w:r>
      <w:r>
        <w:rPr>
          <w:rFonts w:hint="eastAsia" w:asciiTheme="minorEastAsia" w:hAnsiTheme="minorEastAsia" w:eastAsiaTheme="minorEastAsia"/>
          <w:color w:val="auto"/>
          <w:szCs w:val="21"/>
          <w:highlight w:val="none"/>
        </w:rPr>
        <w:t>私募证券投资基金上一年度</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自2025年1月1日起，开始计算上一年度，下同</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日均基金资产净值</w:t>
      </w:r>
      <w:r>
        <w:rPr>
          <w:rFonts w:hint="eastAsia" w:asciiTheme="minorEastAsia" w:hAnsiTheme="minorEastAsia" w:eastAsiaTheme="minorEastAsia"/>
          <w:color w:val="auto"/>
          <w:szCs w:val="21"/>
          <w:highlight w:val="none"/>
          <w:lang w:val="en-US" w:eastAsia="zh-CN"/>
        </w:rPr>
        <w:t>低于</w:t>
      </w:r>
      <w:r>
        <w:rPr>
          <w:rFonts w:hint="eastAsia" w:asciiTheme="minorEastAsia" w:hAnsiTheme="minorEastAsia" w:eastAsiaTheme="minorEastAsia"/>
          <w:color w:val="auto"/>
          <w:szCs w:val="21"/>
          <w:highlight w:val="none"/>
        </w:rPr>
        <w:t>1000 万元的</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按有关法律法规及规范性文件披露潜在影响及相关安排</w:t>
      </w:r>
      <w:r>
        <w:rPr>
          <w:rFonts w:hint="eastAsia" w:asciiTheme="minorEastAsia" w:hAnsiTheme="minorEastAsia" w:eastAsiaTheme="minorEastAsia"/>
          <w:color w:val="auto"/>
          <w:szCs w:val="21"/>
          <w:highlight w:val="none"/>
          <w:lang w:eastAsia="zh-CN"/>
        </w:rPr>
        <w:t>；</w:t>
      </w:r>
    </w:p>
    <w:p w14:paraId="7204FF53">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lang w:val="en-US" w:eastAsia="zh-CN"/>
        </w:rPr>
        <w:t>5、</w:t>
      </w:r>
      <w:r>
        <w:rPr>
          <w:rFonts w:hint="eastAsia" w:asciiTheme="minorEastAsia" w:hAnsiTheme="minorEastAsia" w:eastAsiaTheme="minorEastAsia"/>
          <w:color w:val="auto"/>
          <w:szCs w:val="21"/>
          <w:highlight w:val="none"/>
          <w:lang w:eastAsia="zh-CN"/>
        </w:rPr>
        <w:t>私募证券投资基金上一年度日均基金资产净值低于50</w:t>
      </w:r>
      <w:r>
        <w:rPr>
          <w:rFonts w:hint="eastAsia" w:asciiTheme="minorEastAsia" w:hAnsiTheme="minorEastAsia" w:eastAsiaTheme="minorEastAsia"/>
          <w:color w:val="auto"/>
          <w:szCs w:val="21"/>
          <w:highlight w:val="none"/>
          <w:lang w:val="en-US" w:eastAsia="zh-CN"/>
        </w:rPr>
        <w:t>0</w:t>
      </w:r>
      <w:r>
        <w:rPr>
          <w:rFonts w:hint="eastAsia" w:asciiTheme="minorEastAsia" w:hAnsiTheme="minorEastAsia" w:eastAsiaTheme="minorEastAsia"/>
          <w:color w:val="auto"/>
          <w:szCs w:val="21"/>
          <w:highlight w:val="none"/>
          <w:lang w:eastAsia="zh-CN"/>
        </w:rPr>
        <w:t>万元，或者连续60个交易日出现基金资产净值低于500万元情形的；</w:t>
      </w:r>
    </w:p>
    <w:p w14:paraId="3CAE757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6、</w:t>
      </w:r>
      <w:r>
        <w:rPr>
          <w:rFonts w:asciiTheme="minorEastAsia" w:hAnsiTheme="minorEastAsia" w:eastAsiaTheme="minorEastAsia"/>
          <w:color w:val="auto"/>
          <w:szCs w:val="21"/>
          <w:highlight w:val="none"/>
        </w:rPr>
        <w:t>变更基金管理人</w:t>
      </w:r>
      <w:r>
        <w:rPr>
          <w:rFonts w:hint="eastAsia" w:asciiTheme="minorEastAsia" w:hAnsiTheme="minorEastAsia" w:eastAsiaTheme="minorEastAsia"/>
          <w:color w:val="auto"/>
          <w:szCs w:val="21"/>
          <w:highlight w:val="none"/>
          <w:lang w:eastAsia="zh-CN"/>
        </w:rPr>
        <w:t>、</w:t>
      </w:r>
      <w:r>
        <w:rPr>
          <w:rFonts w:asciiTheme="minorEastAsia" w:hAnsiTheme="minorEastAsia" w:eastAsiaTheme="minorEastAsia"/>
          <w:color w:val="auto"/>
          <w:szCs w:val="21"/>
          <w:highlight w:val="none"/>
        </w:rPr>
        <w:t>托管人</w:t>
      </w:r>
      <w:r>
        <w:rPr>
          <w:rFonts w:hint="eastAsia" w:asciiTheme="minorEastAsia" w:hAnsiTheme="minorEastAsia" w:eastAsiaTheme="minorEastAsia"/>
          <w:color w:val="auto"/>
          <w:szCs w:val="21"/>
          <w:highlight w:val="none"/>
          <w:lang w:val="en-US" w:eastAsia="zh-CN"/>
        </w:rPr>
        <w:t>或私募基金服务机构</w:t>
      </w:r>
      <w:r>
        <w:rPr>
          <w:rFonts w:asciiTheme="minorEastAsia" w:hAnsiTheme="minorEastAsia" w:eastAsiaTheme="minorEastAsia"/>
          <w:color w:val="auto"/>
          <w:szCs w:val="21"/>
          <w:highlight w:val="none"/>
        </w:rPr>
        <w:t>的；</w:t>
      </w:r>
    </w:p>
    <w:p w14:paraId="5D37880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7</w:t>
      </w:r>
      <w:r>
        <w:rPr>
          <w:rFonts w:asciiTheme="minorEastAsia" w:hAnsiTheme="minorEastAsia" w:eastAsiaTheme="minorEastAsia"/>
          <w:color w:val="auto"/>
          <w:szCs w:val="21"/>
          <w:highlight w:val="none"/>
        </w:rPr>
        <w:t>、基金管理人的法定代表人、执行事务合伙人</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委派代表</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、实际控制人发生变更的；</w:t>
      </w:r>
    </w:p>
    <w:p w14:paraId="4C77EDC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8</w:t>
      </w:r>
      <w:r>
        <w:rPr>
          <w:rFonts w:asciiTheme="minorEastAsia" w:hAnsiTheme="minorEastAsia" w:eastAsiaTheme="minorEastAsia"/>
          <w:color w:val="auto"/>
          <w:szCs w:val="21"/>
          <w:highlight w:val="none"/>
        </w:rPr>
        <w:t>、触及本基金止损线或预警线的；</w:t>
      </w:r>
    </w:p>
    <w:p w14:paraId="7421E2E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9</w:t>
      </w:r>
      <w:r>
        <w:rPr>
          <w:rFonts w:asciiTheme="minorEastAsia" w:hAnsiTheme="minorEastAsia" w:eastAsiaTheme="minorEastAsia"/>
          <w:color w:val="auto"/>
          <w:szCs w:val="21"/>
          <w:highlight w:val="none"/>
        </w:rPr>
        <w:t>、管理费率、托管费率</w:t>
      </w:r>
      <w:r>
        <w:rPr>
          <w:rFonts w:hint="eastAsia" w:asciiTheme="minorEastAsia" w:hAnsiTheme="minorEastAsia" w:eastAsiaTheme="minorEastAsia"/>
          <w:color w:val="auto"/>
          <w:szCs w:val="21"/>
          <w:highlight w:val="none"/>
          <w:lang w:val="en-US" w:eastAsia="zh-CN"/>
        </w:rPr>
        <w:t>等基金费用</w:t>
      </w:r>
      <w:r>
        <w:rPr>
          <w:rFonts w:asciiTheme="minorEastAsia" w:hAnsiTheme="minorEastAsia" w:eastAsiaTheme="minorEastAsia"/>
          <w:color w:val="auto"/>
          <w:szCs w:val="21"/>
          <w:highlight w:val="none"/>
        </w:rPr>
        <w:t>发生变化的；</w:t>
      </w:r>
    </w:p>
    <w:p w14:paraId="33FD86E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10</w:t>
      </w:r>
      <w:r>
        <w:rPr>
          <w:rFonts w:asciiTheme="minorEastAsia" w:hAnsiTheme="minorEastAsia" w:eastAsiaTheme="minorEastAsia"/>
          <w:color w:val="auto"/>
          <w:szCs w:val="21"/>
          <w:highlight w:val="none"/>
        </w:rPr>
        <w:t>、本基金财产分配事项发生变更的；</w:t>
      </w:r>
    </w:p>
    <w:p w14:paraId="3B339C7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11</w:t>
      </w:r>
      <w:r>
        <w:rPr>
          <w:rFonts w:asciiTheme="minorEastAsia" w:hAnsiTheme="minorEastAsia" w:eastAsiaTheme="minorEastAsia"/>
          <w:color w:val="auto"/>
          <w:szCs w:val="21"/>
          <w:highlight w:val="none"/>
        </w:rPr>
        <w:t>、本基金触发巨额赎回的，或者投资金额占本基金净资产50%及以上的项目不能正常退出的；</w:t>
      </w:r>
    </w:p>
    <w:p w14:paraId="006233C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12</w:t>
      </w:r>
      <w:r>
        <w:rPr>
          <w:rFonts w:asciiTheme="minorEastAsia" w:hAnsiTheme="minorEastAsia" w:eastAsiaTheme="minorEastAsia"/>
          <w:color w:val="auto"/>
          <w:szCs w:val="21"/>
          <w:highlight w:val="none"/>
        </w:rPr>
        <w:t>、本基金存续期变更或展期的；</w:t>
      </w:r>
    </w:p>
    <w:p w14:paraId="55B444A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3</w:t>
      </w:r>
      <w:r>
        <w:rPr>
          <w:rFonts w:asciiTheme="minorEastAsia" w:hAnsiTheme="minorEastAsia" w:eastAsiaTheme="minorEastAsia"/>
          <w:color w:val="auto"/>
          <w:szCs w:val="21"/>
          <w:highlight w:val="none"/>
        </w:rPr>
        <w:t>、本基金发生清盘或清算的；</w:t>
      </w:r>
    </w:p>
    <w:p w14:paraId="4E93DB7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4</w:t>
      </w:r>
      <w:r>
        <w:rPr>
          <w:rFonts w:asciiTheme="minorEastAsia" w:hAnsiTheme="minorEastAsia" w:eastAsiaTheme="minorEastAsia"/>
          <w:color w:val="auto"/>
          <w:szCs w:val="21"/>
          <w:highlight w:val="none"/>
        </w:rPr>
        <w:t>、发生重大关联交易事项的；</w:t>
      </w:r>
    </w:p>
    <w:p w14:paraId="5B23C5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5</w:t>
      </w:r>
      <w:r>
        <w:rPr>
          <w:rFonts w:asciiTheme="minorEastAsia" w:hAnsiTheme="minorEastAsia" w:eastAsiaTheme="minorEastAsia"/>
          <w:color w:val="auto"/>
          <w:szCs w:val="21"/>
          <w:highlight w:val="none"/>
        </w:rPr>
        <w:t>、基金管理人、实际控制人、高管人员涉嫌重大违法违规行为或正在接受监管部门或自律管理部门调查的；</w:t>
      </w:r>
    </w:p>
    <w:p w14:paraId="1832303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6</w:t>
      </w:r>
      <w:r>
        <w:rPr>
          <w:rFonts w:asciiTheme="minorEastAsia" w:hAnsiTheme="minorEastAsia" w:eastAsiaTheme="minorEastAsia"/>
          <w:color w:val="auto"/>
          <w:szCs w:val="21"/>
          <w:highlight w:val="none"/>
        </w:rPr>
        <w:t>、涉及私募基金管理业务、基金财产、基金托管业务的重大诉讼、仲裁；</w:t>
      </w:r>
    </w:p>
    <w:p w14:paraId="3EABD19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lang w:val="en-US" w:eastAsia="zh-CN"/>
        </w:rPr>
        <w:t>7</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本</w:t>
      </w:r>
      <w:r>
        <w:rPr>
          <w:rFonts w:asciiTheme="minorEastAsia" w:hAnsiTheme="minorEastAsia" w:eastAsiaTheme="minorEastAsia"/>
          <w:color w:val="auto"/>
          <w:szCs w:val="21"/>
          <w:highlight w:val="none"/>
        </w:rPr>
        <w:t>合同约定的</w:t>
      </w:r>
      <w:r>
        <w:rPr>
          <w:rFonts w:hint="eastAsia" w:asciiTheme="minorEastAsia" w:hAnsiTheme="minorEastAsia" w:eastAsiaTheme="minorEastAsia"/>
          <w:color w:val="auto"/>
          <w:szCs w:val="21"/>
          <w:highlight w:val="none"/>
        </w:rPr>
        <w:t>可能存在的利益冲突以及可能</w:t>
      </w:r>
      <w:r>
        <w:rPr>
          <w:rFonts w:asciiTheme="minorEastAsia" w:hAnsiTheme="minorEastAsia" w:eastAsiaTheme="minorEastAsia"/>
          <w:color w:val="auto"/>
          <w:szCs w:val="21"/>
          <w:highlight w:val="none"/>
        </w:rPr>
        <w:t>影响投资者</w:t>
      </w:r>
      <w:r>
        <w:rPr>
          <w:rFonts w:hint="eastAsia" w:asciiTheme="minorEastAsia" w:hAnsiTheme="minorEastAsia" w:eastAsiaTheme="minorEastAsia"/>
          <w:color w:val="auto"/>
          <w:szCs w:val="21"/>
          <w:highlight w:val="none"/>
        </w:rPr>
        <w:t>合法权</w:t>
      </w:r>
      <w:r>
        <w:rPr>
          <w:rFonts w:asciiTheme="minorEastAsia" w:hAnsiTheme="minorEastAsia" w:eastAsiaTheme="minorEastAsia"/>
          <w:color w:val="auto"/>
          <w:szCs w:val="21"/>
          <w:highlight w:val="none"/>
        </w:rPr>
        <w:t>益的其他重大事项。</w:t>
      </w:r>
    </w:p>
    <w:p w14:paraId="4DFA8FA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五</w:t>
      </w:r>
      <w:r>
        <w:rPr>
          <w:rFonts w:hint="eastAsia" w:asciiTheme="minorEastAsia" w:hAnsiTheme="minorEastAsia" w:eastAsiaTheme="minorEastAsia"/>
          <w:color w:val="auto"/>
          <w:szCs w:val="21"/>
          <w:highlight w:val="none"/>
        </w:rPr>
        <w:t>）定期报告的复核流程</w:t>
      </w:r>
    </w:p>
    <w:p w14:paraId="5888B59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本基金的定期报告包含《私募投资基金信息披露管理办法》及《私募投资基金信息披露内容与格式指引1号》规定的月度报告（如有）、季度报告和年度报告。</w:t>
      </w:r>
    </w:p>
    <w:p w14:paraId="70697DF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基金定期报告的编制由基金管理人进行，根据相关法律法规，基金管理人可以委托</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服务机构办理定期报告的编制。基金管理人或其委托的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完成定期报告数据的编制后，将定期报告的数据以书面形式、电子核对数据等或双方认可的其他形式送至基金托管人，基金托管人对定期报告上的净值月报、主要财务指标、净值表现、财产分配情况、财务会计报告、投资组合报告等财务数据相关内容进行复核，复核无误后将复核结果以双方认可的方式反馈给基金管理人或其委托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服务机构。基金非财务数据由</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管理人自行编制和披露，</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托管人对于基金非财务数据不承担任何形式的复核职责，基金非财务数据披露不真实、不准确不完整的责任由</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管理人自行承担。如基金管理人或其委托的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服务机构未及时将定期报告数据提供至基金托管人进行复核，由此造成的任何后果，基金托管人不承担责任。</w:t>
      </w:r>
    </w:p>
    <w:p w14:paraId="74E91BF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六</w:t>
      </w:r>
      <w:r>
        <w:rPr>
          <w:rFonts w:asciiTheme="minorEastAsia" w:hAnsiTheme="minorEastAsia" w:eastAsiaTheme="minorEastAsia"/>
          <w:color w:val="auto"/>
          <w:szCs w:val="21"/>
          <w:highlight w:val="none"/>
        </w:rPr>
        <w:t>）向境内基金投资者募集的本基金信息披露文件应当采用中文文本，应当尽量采用简明、易懂的语言进行表述。同时采用外文文本的，信息披露义务人应当保证两种文本内容一致。两种文本发生歧义时，以中文文本为准。</w:t>
      </w:r>
    </w:p>
    <w:p w14:paraId="64A724BE">
      <w:pPr>
        <w:adjustRightInd w:val="0"/>
        <w:snapToGrid w:val="0"/>
        <w:spacing w:before="93" w:beforeLines="30" w:after="93" w:afterLines="30" w:line="372" w:lineRule="auto"/>
        <w:ind w:firstLine="422" w:firstLineChars="200"/>
        <w:rPr>
          <w:rFonts w:asciiTheme="minorEastAsia" w:hAnsiTheme="minorEastAsia" w:eastAsiaTheme="minorEastAsia"/>
          <w:color w:val="auto"/>
          <w:szCs w:val="21"/>
          <w:highlight w:val="none"/>
        </w:rPr>
      </w:pPr>
      <w:r>
        <w:rPr>
          <w:rFonts w:asciiTheme="minorEastAsia" w:hAnsiTheme="minorEastAsia" w:eastAsiaTheme="minorEastAsia"/>
          <w:b/>
          <w:bCs/>
          <w:color w:val="auto"/>
          <w:szCs w:val="21"/>
          <w:highlight w:val="none"/>
        </w:rPr>
        <w:t>（</w:t>
      </w:r>
      <w:r>
        <w:rPr>
          <w:rFonts w:hint="eastAsia" w:asciiTheme="minorEastAsia" w:hAnsiTheme="minorEastAsia" w:eastAsiaTheme="minorEastAsia"/>
          <w:b/>
          <w:bCs/>
          <w:color w:val="auto"/>
          <w:szCs w:val="21"/>
          <w:highlight w:val="none"/>
          <w:lang w:val="en-US" w:eastAsia="zh-CN"/>
        </w:rPr>
        <w:t>七</w:t>
      </w:r>
      <w:r>
        <w:rPr>
          <w:rFonts w:asciiTheme="minorEastAsia" w:hAnsiTheme="minorEastAsia" w:eastAsiaTheme="minorEastAsia"/>
          <w:b/>
          <w:bCs/>
          <w:color w:val="auto"/>
          <w:szCs w:val="21"/>
          <w:highlight w:val="none"/>
        </w:rPr>
        <w:t>）</w:t>
      </w:r>
      <w:r>
        <w:rPr>
          <w:rFonts w:hint="eastAsia"/>
          <w:b/>
          <w:bCs w:val="0"/>
          <w:color w:val="auto"/>
          <w:highlight w:val="none"/>
        </w:rPr>
        <w:t>本基金合同约定，基金托管人有义务办理与基金托管业务有关的信息披露事项。除相关法律法规及监管机构和行业自律组织另有规定外，基金托管人办理与基金托管业务有关的信息披露事项，仅包括基金托管人向监管机构和行业自律组织履行的定期或不定期报告义务，</w:t>
      </w:r>
      <w:r>
        <w:rPr>
          <w:rFonts w:hint="eastAsia" w:asciiTheme="minorEastAsia" w:hAnsiTheme="minorEastAsia" w:eastAsiaTheme="minorEastAsia"/>
          <w:b/>
          <w:bCs w:val="0"/>
          <w:color w:val="auto"/>
          <w:szCs w:val="21"/>
          <w:highlight w:val="none"/>
          <w:lang w:val="en-US" w:eastAsia="zh-CN"/>
        </w:rPr>
        <w:t>以及</w:t>
      </w:r>
      <w:r>
        <w:rPr>
          <w:rFonts w:asciiTheme="minorEastAsia" w:hAnsiTheme="minorEastAsia" w:eastAsiaTheme="minorEastAsia"/>
          <w:b/>
          <w:bCs w:val="0"/>
          <w:color w:val="auto"/>
          <w:szCs w:val="21"/>
          <w:highlight w:val="none"/>
        </w:rPr>
        <w:t>按照中国证监会以及</w:t>
      </w:r>
      <w:r>
        <w:rPr>
          <w:rFonts w:hint="eastAsia" w:asciiTheme="minorEastAsia" w:hAnsiTheme="minorEastAsia" w:eastAsiaTheme="minorEastAsia"/>
          <w:b/>
          <w:bCs w:val="0"/>
          <w:color w:val="auto"/>
          <w:szCs w:val="21"/>
          <w:highlight w:val="none"/>
        </w:rPr>
        <w:t>中国</w:t>
      </w:r>
      <w:r>
        <w:rPr>
          <w:rFonts w:asciiTheme="minorEastAsia" w:hAnsiTheme="minorEastAsia" w:eastAsiaTheme="minorEastAsia"/>
          <w:b/>
          <w:bCs w:val="0"/>
          <w:color w:val="auto"/>
          <w:szCs w:val="21"/>
          <w:highlight w:val="none"/>
        </w:rPr>
        <w:t>基金业协会的规定和</w:t>
      </w:r>
      <w:r>
        <w:rPr>
          <w:rFonts w:hint="eastAsia" w:asciiTheme="minorEastAsia" w:hAnsiTheme="minorEastAsia" w:eastAsiaTheme="minorEastAsia"/>
          <w:b/>
          <w:bCs w:val="0"/>
          <w:color w:val="auto"/>
          <w:szCs w:val="21"/>
          <w:highlight w:val="none"/>
        </w:rPr>
        <w:t>本</w:t>
      </w:r>
      <w:r>
        <w:rPr>
          <w:rFonts w:asciiTheme="minorEastAsia" w:hAnsiTheme="minorEastAsia" w:eastAsiaTheme="minorEastAsia"/>
          <w:b/>
          <w:bCs w:val="0"/>
          <w:color w:val="auto"/>
          <w:szCs w:val="21"/>
          <w:highlight w:val="none"/>
        </w:rPr>
        <w:t>合同的约定，对基金管理人</w:t>
      </w:r>
      <w:r>
        <w:rPr>
          <w:rFonts w:hint="eastAsia" w:asciiTheme="minorEastAsia" w:hAnsiTheme="minorEastAsia" w:eastAsiaTheme="minorEastAsia"/>
          <w:b/>
          <w:bCs w:val="0"/>
          <w:color w:val="auto"/>
          <w:szCs w:val="21"/>
          <w:highlight w:val="none"/>
          <w:lang w:val="en-US" w:eastAsia="zh-CN"/>
        </w:rPr>
        <w:t>或其委托的</w:t>
      </w:r>
      <w:r>
        <w:rPr>
          <w:rFonts w:hint="eastAsia" w:asciiTheme="minorEastAsia" w:hAnsiTheme="minorEastAsia" w:eastAsiaTheme="minorEastAsia"/>
          <w:b/>
          <w:bCs/>
          <w:color w:val="auto"/>
          <w:highlight w:val="none"/>
          <w:lang w:val="en-US" w:eastAsia="zh-CN"/>
        </w:rPr>
        <w:t>私募基金</w:t>
      </w:r>
      <w:r>
        <w:rPr>
          <w:rFonts w:hint="eastAsia" w:asciiTheme="minorEastAsia" w:hAnsiTheme="minorEastAsia" w:eastAsiaTheme="minorEastAsia"/>
          <w:b/>
          <w:bCs w:val="0"/>
          <w:color w:val="auto"/>
          <w:szCs w:val="21"/>
          <w:highlight w:val="none"/>
          <w:lang w:val="en-US" w:eastAsia="zh-CN"/>
        </w:rPr>
        <w:t>服务机构</w:t>
      </w:r>
      <w:r>
        <w:rPr>
          <w:rFonts w:asciiTheme="minorEastAsia" w:hAnsiTheme="minorEastAsia" w:eastAsiaTheme="minorEastAsia"/>
          <w:b/>
          <w:bCs w:val="0"/>
          <w:color w:val="auto"/>
          <w:szCs w:val="21"/>
          <w:highlight w:val="none"/>
        </w:rPr>
        <w:t>编制的</w:t>
      </w:r>
      <w:r>
        <w:rPr>
          <w:rFonts w:hint="eastAsia" w:asciiTheme="minorEastAsia" w:hAnsiTheme="minorEastAsia" w:eastAsiaTheme="minorEastAsia"/>
          <w:b/>
          <w:bCs w:val="0"/>
          <w:color w:val="auto"/>
          <w:szCs w:val="21"/>
          <w:highlight w:val="none"/>
          <w:lang w:val="en-US" w:eastAsia="zh-CN"/>
        </w:rPr>
        <w:t>定期报告中的</w:t>
      </w:r>
      <w:r>
        <w:rPr>
          <w:rFonts w:hint="eastAsia" w:asciiTheme="minorEastAsia" w:hAnsiTheme="minorEastAsia" w:eastAsiaTheme="minorEastAsia"/>
          <w:b/>
          <w:bCs w:val="0"/>
          <w:color w:val="auto"/>
          <w:szCs w:val="21"/>
          <w:highlight w:val="none"/>
        </w:rPr>
        <w:t>财务数据</w:t>
      </w:r>
      <w:r>
        <w:rPr>
          <w:rFonts w:asciiTheme="minorEastAsia" w:hAnsiTheme="minorEastAsia" w:eastAsiaTheme="minorEastAsia"/>
          <w:b/>
          <w:bCs w:val="0"/>
          <w:color w:val="auto"/>
          <w:szCs w:val="21"/>
          <w:highlight w:val="none"/>
        </w:rPr>
        <w:t>进行复核确认</w:t>
      </w:r>
      <w:r>
        <w:rPr>
          <w:rFonts w:hint="eastAsia" w:asciiTheme="minorEastAsia" w:hAnsiTheme="minorEastAsia" w:eastAsiaTheme="minorEastAsia"/>
          <w:b/>
          <w:bCs w:val="0"/>
          <w:color w:val="auto"/>
          <w:szCs w:val="21"/>
          <w:highlight w:val="none"/>
        </w:rPr>
        <w:t>；基金</w:t>
      </w:r>
      <w:r>
        <w:rPr>
          <w:rFonts w:asciiTheme="minorEastAsia" w:hAnsiTheme="minorEastAsia" w:eastAsiaTheme="minorEastAsia"/>
          <w:b/>
          <w:bCs w:val="0"/>
          <w:color w:val="auto"/>
          <w:szCs w:val="21"/>
          <w:highlight w:val="none"/>
        </w:rPr>
        <w:t>托管人</w:t>
      </w:r>
      <w:r>
        <w:rPr>
          <w:rFonts w:hint="eastAsia" w:asciiTheme="minorEastAsia" w:hAnsiTheme="minorEastAsia" w:eastAsiaTheme="minorEastAsia"/>
          <w:b/>
          <w:bCs w:val="0"/>
          <w:color w:val="auto"/>
          <w:szCs w:val="21"/>
          <w:highlight w:val="none"/>
        </w:rPr>
        <w:t>须进行</w:t>
      </w:r>
      <w:r>
        <w:rPr>
          <w:rFonts w:asciiTheme="minorEastAsia" w:hAnsiTheme="minorEastAsia" w:eastAsiaTheme="minorEastAsia"/>
          <w:b/>
          <w:bCs w:val="0"/>
          <w:color w:val="auto"/>
          <w:szCs w:val="21"/>
          <w:highlight w:val="none"/>
        </w:rPr>
        <w:t>复核的</w:t>
      </w:r>
      <w:r>
        <w:rPr>
          <w:rFonts w:hint="eastAsia" w:asciiTheme="minorEastAsia" w:hAnsiTheme="minorEastAsia" w:eastAsiaTheme="minorEastAsia"/>
          <w:b/>
          <w:bCs w:val="0"/>
          <w:color w:val="auto"/>
          <w:szCs w:val="21"/>
          <w:highlight w:val="none"/>
        </w:rPr>
        <w:t>信息仅限于其在履行职责过程中制作或者获取的，以一定形式记录、保存的信息及</w:t>
      </w:r>
      <w:r>
        <w:rPr>
          <w:rFonts w:asciiTheme="minorEastAsia" w:hAnsiTheme="minorEastAsia" w:eastAsiaTheme="minorEastAsia"/>
          <w:b/>
          <w:bCs w:val="0"/>
          <w:color w:val="auto"/>
          <w:szCs w:val="21"/>
          <w:highlight w:val="none"/>
        </w:rPr>
        <w:t>数据。</w:t>
      </w:r>
      <w:r>
        <w:rPr>
          <w:rFonts w:hint="eastAsia"/>
          <w:b/>
          <w:bCs w:val="0"/>
          <w:color w:val="auto"/>
          <w:highlight w:val="none"/>
        </w:rPr>
        <w:t>如因基金管理人或其委托的</w:t>
      </w:r>
      <w:r>
        <w:rPr>
          <w:rFonts w:hint="eastAsia"/>
          <w:b/>
          <w:bCs w:val="0"/>
          <w:color w:val="auto"/>
          <w:highlight w:val="none"/>
          <w:lang w:val="en-US" w:eastAsia="zh-CN"/>
        </w:rPr>
        <w:t>私募</w:t>
      </w:r>
      <w:r>
        <w:rPr>
          <w:rFonts w:hint="eastAsia"/>
          <w:b/>
          <w:bCs w:val="0"/>
          <w:color w:val="auto"/>
          <w:highlight w:val="none"/>
        </w:rPr>
        <w:t>基金服务机构未能在合同约定期限内发送上述信息披露材料给基金托管人，导致基金托管人无法复核或本基金信息披露不及时或未披露的，由此给基金投资者造成损失的，相关责任由基金管理人承担，基金托管人不承担任何责任。基金管理人负责确保所披露的所有基金信息真实、准确、完整。</w:t>
      </w:r>
      <w:r>
        <w:rPr>
          <w:rFonts w:hint="eastAsia" w:asciiTheme="minorEastAsia" w:hAnsiTheme="minorEastAsia" w:eastAsiaTheme="minorEastAsia"/>
          <w:b/>
          <w:bCs w:val="0"/>
          <w:color w:val="auto"/>
          <w:szCs w:val="21"/>
          <w:highlight w:val="none"/>
        </w:rPr>
        <w:t>如基金管理人没有按照中国证监会、中国基金业协会的规定及本合同的约定或其他相关法律法规规定履行信息披露义务，基金托管人不承担责任。</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八</w:t>
      </w:r>
      <w:r>
        <w:rPr>
          <w:rFonts w:asciiTheme="minorEastAsia" w:hAnsiTheme="minorEastAsia" w:eastAsiaTheme="minorEastAsia"/>
          <w:color w:val="auto"/>
          <w:szCs w:val="21"/>
          <w:highlight w:val="none"/>
        </w:rPr>
        <w:t>）向基金份额持有人披露及基金份额持有人信息查询的方式</w:t>
      </w:r>
    </w:p>
    <w:p w14:paraId="7C7C258C">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基金管理人有权采用下列一种或多种方式向基金份额持有人提供报告或进行相关通知。</w:t>
      </w:r>
    </w:p>
    <w:p w14:paraId="00492F5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1、传真、电子邮件或短信</w:t>
      </w:r>
    </w:p>
    <w:p w14:paraId="7560982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如基金份额持有人留有传真号、电子邮箱或手机号等联系方式，基金管理人可通过传真、电子邮件或短信等方式将报告信息告知基金份额持有人。</w:t>
      </w:r>
    </w:p>
    <w:p w14:paraId="053961EE">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2、邮寄服务</w:t>
      </w:r>
    </w:p>
    <w:p w14:paraId="468184DC">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基金管理人可向基金份额持有人邮寄年度报告等有关本基金的信息。基金份额持有人在</w:t>
      </w:r>
      <w:r>
        <w:rPr>
          <w:rFonts w:hint="eastAsia" w:asciiTheme="minorEastAsia" w:hAnsiTheme="minorEastAsia" w:eastAsiaTheme="minorEastAsia"/>
          <w:color w:val="auto"/>
          <w:szCs w:val="21"/>
          <w:highlight w:val="none"/>
        </w:rPr>
        <w:t>募集</w:t>
      </w:r>
      <w:r>
        <w:rPr>
          <w:rFonts w:asciiTheme="minorEastAsia" w:hAnsiTheme="minorEastAsia" w:eastAsiaTheme="minorEastAsia"/>
          <w:color w:val="auto"/>
          <w:szCs w:val="21"/>
          <w:highlight w:val="none"/>
        </w:rPr>
        <w:t>机构留存的通信地址为送达地址。通信地址如有变更，基金份额持有人应当及时以书面方式或以基金管理人规定的其他方式通知基金管理人。</w:t>
      </w:r>
    </w:p>
    <w:p w14:paraId="2FD5603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3、基金管理人网站</w:t>
      </w:r>
    </w:p>
    <w:p w14:paraId="6CFCD8AD">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基金管理人可通过基金管理人网站向基金份额持有人提供报告和信息查询，内容包括</w:t>
      </w:r>
      <w:r>
        <w:rPr>
          <w:rFonts w:hint="eastAsia" w:asciiTheme="minorEastAsia" w:hAnsiTheme="minorEastAsia" w:eastAsiaTheme="minorEastAsia"/>
          <w:color w:val="auto"/>
          <w:szCs w:val="21"/>
          <w:highlight w:val="none"/>
        </w:rPr>
        <w:t>但不限于</w:t>
      </w:r>
      <w:r>
        <w:rPr>
          <w:rFonts w:asciiTheme="minorEastAsia" w:hAnsiTheme="minorEastAsia" w:eastAsiaTheme="minorEastAsia"/>
          <w:color w:val="auto"/>
          <w:szCs w:val="21"/>
          <w:highlight w:val="none"/>
        </w:rPr>
        <w:t>净值报告</w:t>
      </w:r>
      <w:r>
        <w:rPr>
          <w:rFonts w:hint="eastAsia" w:asciiTheme="minorEastAsia" w:hAnsiTheme="minorEastAsia" w:eastAsiaTheme="minorEastAsia"/>
          <w:color w:val="auto"/>
          <w:szCs w:val="21"/>
          <w:highlight w:val="none"/>
        </w:rPr>
        <w:t>、季度报告、年度报告</w:t>
      </w:r>
      <w:r>
        <w:rPr>
          <w:rFonts w:asciiTheme="minorEastAsia" w:hAnsiTheme="minorEastAsia" w:eastAsiaTheme="minorEastAsia"/>
          <w:color w:val="auto"/>
          <w:szCs w:val="21"/>
          <w:highlight w:val="none"/>
        </w:rPr>
        <w:t>。</w:t>
      </w:r>
    </w:p>
    <w:p w14:paraId="1E6FAD69">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w:t>
      </w:r>
      <w:r>
        <w:rPr>
          <w:rFonts w:asciiTheme="minorEastAsia" w:hAnsiTheme="minorEastAsia" w:eastAsiaTheme="minorEastAsia"/>
          <w:color w:val="auto"/>
          <w:szCs w:val="21"/>
          <w:highlight w:val="none"/>
        </w:rPr>
        <w:t>基金管理人</w:t>
      </w:r>
      <w:r>
        <w:rPr>
          <w:rFonts w:hint="eastAsia" w:asciiTheme="minorEastAsia" w:hAnsiTheme="minorEastAsia" w:eastAsiaTheme="minorEastAsia"/>
          <w:color w:val="auto"/>
          <w:szCs w:val="21"/>
          <w:highlight w:val="none"/>
        </w:rPr>
        <w:t>指定的其他信息披露途径或方式</w:t>
      </w:r>
    </w:p>
    <w:p w14:paraId="4682F77A">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基金管理人可通过基金管理人指定的其他信息披露途径或方式向基金份额持有人</w:t>
      </w:r>
      <w:r>
        <w:rPr>
          <w:rFonts w:asciiTheme="minorEastAsia" w:hAnsiTheme="minorEastAsia" w:eastAsiaTheme="minorEastAsia"/>
          <w:color w:val="auto"/>
          <w:szCs w:val="21"/>
          <w:highlight w:val="none"/>
        </w:rPr>
        <w:t>提供报告和信息查询，内容包括</w:t>
      </w:r>
      <w:r>
        <w:rPr>
          <w:rFonts w:hint="eastAsia" w:asciiTheme="minorEastAsia" w:hAnsiTheme="minorEastAsia" w:eastAsiaTheme="minorEastAsia"/>
          <w:color w:val="auto"/>
          <w:szCs w:val="21"/>
          <w:highlight w:val="none"/>
        </w:rPr>
        <w:t>但不限于</w:t>
      </w:r>
      <w:r>
        <w:rPr>
          <w:rFonts w:asciiTheme="minorEastAsia" w:hAnsiTheme="minorEastAsia" w:eastAsiaTheme="minorEastAsia"/>
          <w:color w:val="auto"/>
          <w:szCs w:val="21"/>
          <w:highlight w:val="none"/>
        </w:rPr>
        <w:t>净值报告</w:t>
      </w:r>
      <w:r>
        <w:rPr>
          <w:rFonts w:hint="eastAsia" w:asciiTheme="minorEastAsia" w:hAnsiTheme="minorEastAsia" w:eastAsiaTheme="minorEastAsia"/>
          <w:color w:val="auto"/>
          <w:szCs w:val="21"/>
          <w:highlight w:val="none"/>
        </w:rPr>
        <w:t>、季度报告、年度报告</w:t>
      </w:r>
      <w:r>
        <w:rPr>
          <w:rFonts w:asciiTheme="minorEastAsia" w:hAnsiTheme="minorEastAsia" w:eastAsiaTheme="minorEastAsia"/>
          <w:color w:val="auto"/>
          <w:szCs w:val="21"/>
          <w:highlight w:val="none"/>
        </w:rPr>
        <w:t>。</w:t>
      </w:r>
    </w:p>
    <w:p w14:paraId="1928CD9B">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w:t>
      </w:r>
      <w:r>
        <w:rPr>
          <w:rFonts w:asciiTheme="minorEastAsia" w:hAnsiTheme="minorEastAsia" w:eastAsiaTheme="minorEastAsia"/>
          <w:color w:val="auto"/>
          <w:szCs w:val="21"/>
          <w:highlight w:val="none"/>
        </w:rPr>
        <w:t>、其他中国证监会以及</w:t>
      </w:r>
      <w:r>
        <w:rPr>
          <w:rFonts w:hint="eastAsia" w:asciiTheme="minorEastAsia" w:hAnsiTheme="minorEastAsia" w:eastAsiaTheme="minorEastAsia"/>
          <w:color w:val="auto"/>
          <w:szCs w:val="21"/>
          <w:highlight w:val="none"/>
        </w:rPr>
        <w:t>中国</w:t>
      </w:r>
      <w:r>
        <w:rPr>
          <w:rFonts w:asciiTheme="minorEastAsia" w:hAnsiTheme="minorEastAsia" w:eastAsiaTheme="minorEastAsia"/>
          <w:color w:val="auto"/>
          <w:szCs w:val="21"/>
          <w:highlight w:val="none"/>
        </w:rPr>
        <w:t>基金业协会规定的信息披露途径或方式。</w:t>
      </w:r>
    </w:p>
    <w:p w14:paraId="3399206C">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九</w:t>
      </w:r>
      <w:r>
        <w:rPr>
          <w:rFonts w:asciiTheme="minorEastAsia" w:hAnsiTheme="minorEastAsia" w:eastAsiaTheme="minorEastAsia"/>
          <w:color w:val="auto"/>
          <w:szCs w:val="21"/>
          <w:highlight w:val="none"/>
        </w:rPr>
        <w:t>）向</w:t>
      </w:r>
      <w:r>
        <w:rPr>
          <w:rFonts w:hint="eastAsia" w:asciiTheme="minorEastAsia" w:hAnsiTheme="minorEastAsia" w:eastAsiaTheme="minorEastAsia"/>
          <w:color w:val="auto"/>
          <w:szCs w:val="21"/>
          <w:highlight w:val="none"/>
        </w:rPr>
        <w:t>中国</w:t>
      </w:r>
      <w:r>
        <w:rPr>
          <w:rFonts w:asciiTheme="minorEastAsia" w:hAnsiTheme="minorEastAsia" w:eastAsiaTheme="minorEastAsia"/>
          <w:color w:val="auto"/>
          <w:szCs w:val="21"/>
          <w:highlight w:val="none"/>
        </w:rPr>
        <w:t>基金业协会提供的报告</w:t>
      </w:r>
    </w:p>
    <w:p w14:paraId="30D6DD68">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基金管理人、基金托管人应当根据中国证监会和</w:t>
      </w:r>
      <w:r>
        <w:rPr>
          <w:rFonts w:hint="eastAsia" w:asciiTheme="minorEastAsia" w:hAnsiTheme="minorEastAsia" w:eastAsiaTheme="minorEastAsia"/>
          <w:color w:val="auto"/>
          <w:szCs w:val="21"/>
          <w:highlight w:val="none"/>
        </w:rPr>
        <w:t>中国</w:t>
      </w:r>
      <w:r>
        <w:rPr>
          <w:rFonts w:asciiTheme="minorEastAsia" w:hAnsiTheme="minorEastAsia" w:eastAsiaTheme="minorEastAsia"/>
          <w:color w:val="auto"/>
          <w:szCs w:val="21"/>
          <w:highlight w:val="none"/>
        </w:rPr>
        <w:t>基金业协会的要求履行报告义务。</w:t>
      </w:r>
    </w:p>
    <w:p w14:paraId="3C9CB7E7">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私募基金管理人应当按照规定通过中国基金业协会指定的私募基金信息披露备份平台报送信息</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在投资者信息披露查询功能开放之后，</w:t>
      </w:r>
      <w:r>
        <w:rPr>
          <w:rFonts w:asciiTheme="minorEastAsia" w:hAnsiTheme="minorEastAsia" w:eastAsiaTheme="minorEastAsia"/>
          <w:color w:val="auto"/>
          <w:szCs w:val="21"/>
          <w:highlight w:val="none"/>
        </w:rPr>
        <w:t>投资者可以登录</w:t>
      </w:r>
      <w:r>
        <w:rPr>
          <w:rFonts w:hint="eastAsia" w:asciiTheme="minorEastAsia" w:hAnsiTheme="minorEastAsia" w:eastAsiaTheme="minorEastAsia"/>
          <w:color w:val="auto"/>
          <w:szCs w:val="21"/>
          <w:highlight w:val="none"/>
        </w:rPr>
        <w:t>中国</w:t>
      </w:r>
      <w:r>
        <w:rPr>
          <w:rFonts w:asciiTheme="minorEastAsia" w:hAnsiTheme="minorEastAsia" w:eastAsiaTheme="minorEastAsia"/>
          <w:color w:val="auto"/>
          <w:szCs w:val="21"/>
          <w:highlight w:val="none"/>
        </w:rPr>
        <w:t>基金业协会指定的私募基金信息披露备份平台查询</w:t>
      </w:r>
      <w:r>
        <w:rPr>
          <w:rFonts w:hint="eastAsia" w:asciiTheme="minorEastAsia" w:hAnsiTheme="minorEastAsia" w:eastAsiaTheme="minorEastAsia"/>
          <w:color w:val="auto"/>
          <w:szCs w:val="21"/>
          <w:highlight w:val="none"/>
        </w:rPr>
        <w:t>其购买基金产品的相关信息</w:t>
      </w:r>
      <w:r>
        <w:rPr>
          <w:rFonts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rPr>
        <w:t>全体份额持有人同意私募基金管理人或其他信息披露义务人应当按照中国基金业协会的规定对基金信息披露信息进行备份。</w:t>
      </w:r>
    </w:p>
    <w:p w14:paraId="68A607E4">
      <w:pPr>
        <w:adjustRightInd w:val="0"/>
        <w:snapToGrid w:val="0"/>
        <w:spacing w:before="312" w:beforeLines="100" w:after="312" w:afterLines="100" w:line="348" w:lineRule="auto"/>
        <w:jc w:val="center"/>
        <w:outlineLvl w:val="0"/>
        <w:rPr>
          <w:rFonts w:asciiTheme="minorEastAsia" w:hAnsiTheme="minorEastAsia" w:eastAsiaTheme="minorEastAsia"/>
          <w:b/>
          <w:color w:val="auto"/>
          <w:sz w:val="28"/>
          <w:szCs w:val="28"/>
          <w:highlight w:val="none"/>
        </w:rPr>
      </w:pPr>
      <w:bookmarkStart w:id="93" w:name="_Toc194741921"/>
      <w:bookmarkStart w:id="94" w:name="_Toc12486"/>
      <w:bookmarkStart w:id="95" w:name="_Toc110605421"/>
      <w:bookmarkStart w:id="96" w:name="_Toc459392422"/>
      <w:r>
        <w:rPr>
          <w:rFonts w:hint="eastAsia" w:asciiTheme="minorEastAsia" w:hAnsiTheme="minorEastAsia" w:eastAsiaTheme="minorEastAsia"/>
          <w:b/>
          <w:color w:val="auto"/>
          <w:sz w:val="28"/>
          <w:szCs w:val="28"/>
          <w:highlight w:val="none"/>
        </w:rPr>
        <w:t>二十、风险揭示</w:t>
      </w:r>
      <w:bookmarkEnd w:id="93"/>
      <w:bookmarkEnd w:id="94"/>
      <w:bookmarkEnd w:id="95"/>
      <w:bookmarkEnd w:id="96"/>
    </w:p>
    <w:p w14:paraId="7A5021F2">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基金投资可能面临下列各项风险，包括但不限于：</w:t>
      </w:r>
    </w:p>
    <w:p w14:paraId="02C4426A">
      <w:pPr>
        <w:pStyle w:val="11"/>
        <w:widowControl w:val="0"/>
        <w:adjustRightInd w:val="0"/>
        <w:snapToGrid w:val="0"/>
        <w:spacing w:before="93" w:beforeLines="30" w:after="93" w:afterLines="30" w:line="348"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（一</w:t>
      </w:r>
      <w:r>
        <w:rPr>
          <w:rFonts w:asciiTheme="minorEastAsia" w:hAnsiTheme="minorEastAsia" w:eastAsiaTheme="minorEastAsia"/>
          <w:b/>
          <w:bCs/>
          <w:color w:val="auto"/>
          <w:highlight w:val="none"/>
        </w:rPr>
        <w:t>）</w:t>
      </w:r>
      <w:r>
        <w:rPr>
          <w:rFonts w:hint="eastAsia" w:asciiTheme="minorEastAsia" w:hAnsiTheme="minorEastAsia" w:eastAsiaTheme="minorEastAsia"/>
          <w:b/>
          <w:bCs/>
          <w:color w:val="auto"/>
          <w:highlight w:val="none"/>
        </w:rPr>
        <w:t>特殊风险揭示</w:t>
      </w:r>
    </w:p>
    <w:p w14:paraId="72D357FC">
      <w:pPr>
        <w:pStyle w:val="11"/>
        <w:widowControl w:val="0"/>
        <w:adjustRightInd w:val="0"/>
        <w:snapToGrid w:val="0"/>
        <w:spacing w:before="93" w:beforeLines="30" w:after="93" w:afterLines="30" w:line="348"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1、本合同部分内容与中国基金业协会合同指引不一致所涉风险</w:t>
      </w:r>
    </w:p>
    <w:p w14:paraId="22B9701D">
      <w:pPr>
        <w:pStyle w:val="11"/>
        <w:widowControl w:val="0"/>
        <w:adjustRightInd w:val="0"/>
        <w:snapToGrid w:val="0"/>
        <w:spacing w:before="93" w:beforeLines="30" w:after="93" w:afterLines="30" w:line="348"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合同是基于中国基金业协会发布的《私募投资基金合同指引1号》（契约型私募基金合同内容与格式指引）而制定的，管理人对合同指引相关内容做出了合理的调整以及增加了其他内容，导致本合同与中国基金业协会合同指引不一致的风险。</w:t>
      </w:r>
    </w:p>
    <w:p w14:paraId="57889DC3">
      <w:pPr>
        <w:pStyle w:val="11"/>
        <w:widowControl w:val="0"/>
        <w:adjustRightInd w:val="0"/>
        <w:snapToGrid w:val="0"/>
        <w:spacing w:before="93" w:beforeLines="30" w:after="93" w:afterLines="30" w:line="348" w:lineRule="auto"/>
        <w:ind w:firstLine="422" w:firstLineChars="200"/>
        <w:rPr>
          <w:rFonts w:hint="eastAsia"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2、基金委托募集所涉风险</w:t>
      </w:r>
      <w:r>
        <w:rPr>
          <w:rFonts w:hint="eastAsia" w:asciiTheme="minorEastAsia" w:hAnsiTheme="minorEastAsia" w:eastAsiaTheme="minorEastAsia"/>
          <w:b/>
          <w:bCs/>
          <w:color w:val="auto"/>
          <w:highlight w:val="none"/>
          <w:lang w:eastAsia="zh-CN"/>
        </w:rPr>
        <w:t>（</w:t>
      </w:r>
      <w:r>
        <w:rPr>
          <w:rFonts w:hint="eastAsia" w:asciiTheme="minorEastAsia" w:hAnsiTheme="minorEastAsia" w:eastAsiaTheme="minorEastAsia"/>
          <w:b/>
          <w:bCs/>
          <w:color w:val="auto"/>
          <w:highlight w:val="none"/>
          <w:lang w:val="en-US" w:eastAsia="zh-CN"/>
        </w:rPr>
        <w:t>如有</w:t>
      </w:r>
      <w:r>
        <w:rPr>
          <w:rFonts w:hint="eastAsia" w:asciiTheme="minorEastAsia" w:hAnsiTheme="minorEastAsia" w:eastAsiaTheme="minorEastAsia"/>
          <w:b/>
          <w:bCs/>
          <w:color w:val="auto"/>
          <w:highlight w:val="none"/>
          <w:lang w:eastAsia="zh-CN"/>
        </w:rPr>
        <w:t>）</w:t>
      </w:r>
    </w:p>
    <w:p w14:paraId="06E89723">
      <w:pPr>
        <w:pStyle w:val="11"/>
        <w:widowControl w:val="0"/>
        <w:adjustRightInd w:val="0"/>
        <w:snapToGrid w:val="0"/>
        <w:spacing w:before="93" w:beforeLines="30" w:after="93" w:afterLines="30" w:line="348"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可以委托在中国证监会注册取得基金销售业务资格并已成为中国基金业协会会员的机构（以下简称代销机构）募集本基金，代销机构可能存在违法违规地公开宣传基金产品、虚假宣传基金产品、以保本保收益引诱投资者购买基金产品、未能履行投资者适当性审查工作等行为导致基金投资者合法权益受损的风险。</w:t>
      </w:r>
    </w:p>
    <w:p w14:paraId="51A5D0D4">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3、基金服务事项所涉风险</w:t>
      </w:r>
    </w:p>
    <w:p w14:paraId="67462E31">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基金管理人委托具备相应资质的兴业证券股份有限公司提供本基金份额登记、估值核算等运营服务事项，因</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highlight w:val="none"/>
        </w:rPr>
        <w:t>服务机构经营风险、技术系统故障、操作失误等，可能使得基金服务事项发生差错，给本基金运营带来风险。</w:t>
      </w:r>
    </w:p>
    <w:p w14:paraId="68C7E06E">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color w:val="auto"/>
          <w:highlight w:val="none"/>
        </w:rPr>
      </w:pPr>
      <w:r>
        <w:rPr>
          <w:rFonts w:asciiTheme="minorEastAsia" w:hAnsiTheme="minorEastAsia" w:eastAsiaTheme="minorEastAsia"/>
          <w:b/>
          <w:bCs/>
          <w:color w:val="auto"/>
          <w:highlight w:val="none"/>
        </w:rPr>
        <w:t>4</w:t>
      </w:r>
      <w:r>
        <w:rPr>
          <w:rFonts w:hint="eastAsia" w:asciiTheme="minorEastAsia" w:hAnsiTheme="minorEastAsia" w:eastAsiaTheme="minorEastAsia"/>
          <w:b/>
          <w:bCs/>
          <w:color w:val="auto"/>
          <w:highlight w:val="none"/>
        </w:rPr>
        <w:t>、基金聘请投资顾问所涉风险（如有）</w:t>
      </w:r>
    </w:p>
    <w:p w14:paraId="30BB5E78">
      <w:pPr>
        <w:pStyle w:val="11"/>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kern w:val="0"/>
          <w:szCs w:val="21"/>
          <w:highlight w:val="none"/>
        </w:rPr>
        <w:t>若根据基金合同约定，基金管理人有权代表本基金聘请投资顾问，本基金将由基金管理人参考投资顾问的“投资建议”自主进行投资决策交易。</w:t>
      </w:r>
      <w:r>
        <w:rPr>
          <w:rFonts w:hint="eastAsia" w:asciiTheme="minorEastAsia" w:hAnsiTheme="minorEastAsia" w:eastAsiaTheme="minorEastAsia"/>
          <w:color w:val="auto"/>
          <w:highlight w:val="none"/>
        </w:rPr>
        <w:t>投资顾问</w:t>
      </w:r>
      <w:r>
        <w:rPr>
          <w:rFonts w:hint="eastAsia" w:asciiTheme="minorEastAsia" w:hAnsiTheme="minorEastAsia" w:eastAsiaTheme="minorEastAsia"/>
          <w:color w:val="auto"/>
          <w:kern w:val="0"/>
          <w:szCs w:val="21"/>
          <w:highlight w:val="none"/>
        </w:rPr>
        <w:t>和基金管理人</w:t>
      </w:r>
      <w:r>
        <w:rPr>
          <w:rFonts w:hint="eastAsia" w:asciiTheme="minorEastAsia" w:hAnsiTheme="minorEastAsia" w:eastAsiaTheme="minorEastAsia"/>
          <w:color w:val="auto"/>
          <w:highlight w:val="none"/>
        </w:rPr>
        <w:t>的</w:t>
      </w:r>
      <w:r>
        <w:rPr>
          <w:rFonts w:hint="eastAsia" w:asciiTheme="minorEastAsia" w:hAnsiTheme="minorEastAsia" w:eastAsiaTheme="minorEastAsia"/>
          <w:color w:val="auto"/>
          <w:kern w:val="0"/>
          <w:szCs w:val="21"/>
          <w:highlight w:val="none"/>
        </w:rPr>
        <w:t>投资服务能力、服务水平</w:t>
      </w:r>
      <w:r>
        <w:rPr>
          <w:rFonts w:hint="eastAsia" w:asciiTheme="minorEastAsia" w:hAnsiTheme="minorEastAsia" w:eastAsiaTheme="minorEastAsia"/>
          <w:color w:val="auto"/>
          <w:highlight w:val="none"/>
          <w:lang w:val="en-US" w:eastAsia="zh-CN"/>
        </w:rPr>
        <w:t>将</w:t>
      </w:r>
      <w:r>
        <w:rPr>
          <w:rFonts w:hint="eastAsia" w:asciiTheme="minorEastAsia" w:hAnsiTheme="minorEastAsia" w:eastAsiaTheme="minorEastAsia"/>
          <w:color w:val="auto"/>
          <w:highlight w:val="none"/>
        </w:rPr>
        <w:t>直接影响本基金的收益水平。此外，由于投资顾问</w:t>
      </w:r>
      <w:r>
        <w:rPr>
          <w:rFonts w:hint="eastAsia" w:asciiTheme="minorEastAsia" w:hAnsiTheme="minorEastAsia" w:eastAsiaTheme="minorEastAsia"/>
          <w:color w:val="auto"/>
          <w:kern w:val="0"/>
          <w:szCs w:val="21"/>
          <w:highlight w:val="none"/>
        </w:rPr>
        <w:t>或基金管理人</w:t>
      </w:r>
      <w:r>
        <w:rPr>
          <w:rFonts w:hint="eastAsia" w:asciiTheme="minorEastAsia" w:hAnsiTheme="minorEastAsia" w:eastAsiaTheme="minorEastAsia"/>
          <w:color w:val="auto"/>
          <w:highlight w:val="none"/>
        </w:rPr>
        <w:t>原因（包括但不限于投资顾问的知识、经验等）影响其对相关信息、经济形势和证券价格走势的判断，可能</w:t>
      </w:r>
      <w:r>
        <w:rPr>
          <w:rFonts w:hint="eastAsia" w:asciiTheme="minorEastAsia" w:hAnsiTheme="minorEastAsia" w:eastAsiaTheme="minorEastAsia"/>
          <w:color w:val="auto"/>
          <w:kern w:val="0"/>
          <w:szCs w:val="21"/>
          <w:highlight w:val="none"/>
        </w:rPr>
        <w:t>影响本基金的收益水平</w:t>
      </w:r>
      <w:r>
        <w:rPr>
          <w:rFonts w:hint="eastAsia" w:asciiTheme="minorEastAsia" w:hAnsiTheme="minorEastAsia" w:eastAsiaTheme="minorEastAsia"/>
          <w:color w:val="auto"/>
          <w:highlight w:val="none"/>
        </w:rPr>
        <w:t>。</w:t>
      </w:r>
    </w:p>
    <w:p w14:paraId="713ED97D">
      <w:pPr>
        <w:pStyle w:val="11"/>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投资顾问依据与基金管理人签署的投资顾问协议（以实际签署的协议名称为准）为本基金提供投资顾问服务，因为相关协议的约定不明或者投资顾问与基金管理人存在法律或经济纠纷时，会对本基金的收益造成影响。投资顾问如存在泄露客户投资决策计划、传播虚假信息、进行关联交易等违法违规行为或利益冲突等违法违规情形时，将对本基金的收益造成不利影响。</w:t>
      </w:r>
    </w:p>
    <w:p w14:paraId="01E8D64F">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5、未在中国基金业协会登记备案的风险</w:t>
      </w:r>
    </w:p>
    <w:p w14:paraId="14137DDE">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基金管理人在基金募集完毕后20个工作日内向中国基金业协会办理基金备案手续。基金面临因未能在中国基金业协会履行备案手续导致基金财产不能进行投资运作的风险。</w:t>
      </w:r>
    </w:p>
    <w:p w14:paraId="61FE2127">
      <w:pPr>
        <w:pStyle w:val="13"/>
        <w:numPr>
          <w:ilvl w:val="-1"/>
          <w:numId w:val="0"/>
        </w:numPr>
        <w:adjustRightInd w:val="0"/>
        <w:snapToGrid w:val="0"/>
        <w:spacing w:line="360" w:lineRule="auto"/>
        <w:ind w:left="420" w:leftChars="200" w:firstLine="0" w:firstLineChars="0"/>
        <w:rPr>
          <w:rFonts w:asciiTheme="minorEastAsia" w:hAnsiTheme="minorEastAsia" w:eastAsiaTheme="minorEastAsia"/>
          <w:b/>
          <w:color w:val="auto"/>
          <w:szCs w:val="21"/>
          <w:highlight w:val="none"/>
        </w:rPr>
      </w:pPr>
      <w:r>
        <w:rPr>
          <w:rFonts w:hint="eastAsia" w:asciiTheme="minorEastAsia" w:hAnsiTheme="minorEastAsia" w:eastAsiaTheme="minorEastAsia"/>
          <w:b/>
          <w:bCs/>
          <w:color w:val="auto"/>
          <w:highlight w:val="none"/>
        </w:rPr>
        <w:t>6、</w:t>
      </w:r>
      <w:r>
        <w:rPr>
          <w:rFonts w:hint="eastAsia" w:asciiTheme="minorEastAsia" w:hAnsiTheme="minorEastAsia" w:eastAsiaTheme="minorEastAsia"/>
          <w:b/>
          <w:color w:val="auto"/>
          <w:szCs w:val="21"/>
          <w:highlight w:val="none"/>
        </w:rPr>
        <w:t>私募基金开放安排所涉风险</w:t>
      </w:r>
    </w:p>
    <w:p w14:paraId="76254456">
      <w:pPr>
        <w:adjustRightInd w:val="0"/>
        <w:snapToGrid w:val="0"/>
        <w:spacing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若根据基金合同约定，基金存续期间可设置</w:t>
      </w:r>
      <w:r>
        <w:rPr>
          <w:rFonts w:hint="eastAsia" w:asciiTheme="minorEastAsia" w:hAnsiTheme="minorEastAsia" w:eastAsiaTheme="minorEastAsia"/>
          <w:b/>
          <w:color w:val="auto"/>
          <w:szCs w:val="21"/>
          <w:highlight w:val="none"/>
        </w:rPr>
        <w:t>临时开放日。</w:t>
      </w:r>
      <w:r>
        <w:rPr>
          <w:rFonts w:hint="eastAsia" w:asciiTheme="minorEastAsia" w:hAnsiTheme="minorEastAsia" w:eastAsiaTheme="minorEastAsia"/>
          <w:color w:val="auto"/>
          <w:kern w:val="0"/>
          <w:szCs w:val="21"/>
          <w:highlight w:val="none"/>
        </w:rPr>
        <w:t>基金管理人如未按照合同约定执行临时开放安排，并履行信息披露义务，可能给投资者利益带来不利影响。</w:t>
      </w:r>
      <w:r>
        <w:rPr>
          <w:rFonts w:hint="eastAsia" w:asciiTheme="minorEastAsia" w:hAnsiTheme="minorEastAsia" w:eastAsiaTheme="minorEastAsia"/>
          <w:b/>
          <w:color w:val="auto"/>
          <w:kern w:val="0"/>
          <w:szCs w:val="21"/>
          <w:highlight w:val="none"/>
        </w:rPr>
        <w:t>提示投资者特别关注因合同变更设置的临时开放日，如投资者不同意合同变更又不申请赎回所持有的全部基金份额的，基金管理人有权对其持有的满足最短持有期要求（如有）的全部基金份额作强制赎回处理（私募基金托管人、私募基金服务机构不负责监督临时开放日的设置是否符合本合同约定，也不负责监督私募基金管理人是否按本合同约定进行公告或通知，私募基金管理人未按合同约定设置、公告或通知临时开放日，由此给基金财产或基金份额持有人造成损失的，相关责任由私募基金管理人自行承担，私募基金托管人及私募基金服务机构不承担任何责任）。</w:t>
      </w:r>
    </w:p>
    <w:p w14:paraId="0DBC84F2">
      <w:pPr>
        <w:adjustRightInd w:val="0"/>
        <w:snapToGrid w:val="0"/>
        <w:spacing w:line="360"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color w:val="auto"/>
          <w:szCs w:val="21"/>
          <w:highlight w:val="none"/>
        </w:rPr>
        <w:t>若根据基金合同约定，基金存续期间对开放日申购、赎回作出差异化开放日安排。</w:t>
      </w:r>
      <w:r>
        <w:rPr>
          <w:rFonts w:asciiTheme="minorEastAsia" w:hAnsiTheme="minorEastAsia" w:eastAsiaTheme="minorEastAsia"/>
          <w:color w:val="auto"/>
          <w:szCs w:val="21"/>
          <w:highlight w:val="none"/>
        </w:rPr>
        <w:t>上述安排可能导致投资者无法按照</w:t>
      </w:r>
      <w:r>
        <w:rPr>
          <w:rFonts w:hint="eastAsia" w:asciiTheme="minorEastAsia" w:hAnsiTheme="minorEastAsia" w:eastAsiaTheme="minorEastAsia"/>
          <w:color w:val="auto"/>
          <w:szCs w:val="21"/>
          <w:highlight w:val="none"/>
        </w:rPr>
        <w:t>自身</w:t>
      </w:r>
      <w:r>
        <w:rPr>
          <w:rFonts w:asciiTheme="minorEastAsia" w:hAnsiTheme="minorEastAsia" w:eastAsiaTheme="minorEastAsia"/>
          <w:color w:val="auto"/>
          <w:szCs w:val="21"/>
          <w:highlight w:val="none"/>
        </w:rPr>
        <w:t>意愿安排基金申购</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赎回的风险，提示</w:t>
      </w:r>
      <w:r>
        <w:rPr>
          <w:rFonts w:hint="eastAsia" w:asciiTheme="minorEastAsia" w:hAnsiTheme="minorEastAsia" w:eastAsiaTheme="minorEastAsia"/>
          <w:color w:val="auto"/>
          <w:szCs w:val="21"/>
          <w:highlight w:val="none"/>
        </w:rPr>
        <w:t>投资者</w:t>
      </w:r>
      <w:r>
        <w:rPr>
          <w:rFonts w:asciiTheme="minorEastAsia" w:hAnsiTheme="minorEastAsia" w:eastAsiaTheme="minorEastAsia"/>
          <w:color w:val="auto"/>
          <w:szCs w:val="21"/>
          <w:highlight w:val="none"/>
        </w:rPr>
        <w:t>特别关注基金</w:t>
      </w:r>
      <w:r>
        <w:rPr>
          <w:rFonts w:hint="eastAsia" w:asciiTheme="minorEastAsia" w:hAnsiTheme="minorEastAsia" w:eastAsiaTheme="minorEastAsia"/>
          <w:color w:val="auto"/>
          <w:szCs w:val="21"/>
          <w:highlight w:val="none"/>
        </w:rPr>
        <w:t>申购、赎回</w:t>
      </w:r>
      <w:r>
        <w:rPr>
          <w:rFonts w:asciiTheme="minorEastAsia" w:hAnsiTheme="minorEastAsia" w:eastAsiaTheme="minorEastAsia"/>
          <w:color w:val="auto"/>
          <w:szCs w:val="21"/>
          <w:highlight w:val="none"/>
        </w:rPr>
        <w:t>开放日的特殊安排事项。</w:t>
      </w:r>
    </w:p>
    <w:p w14:paraId="6D4350FD">
      <w:pPr>
        <w:adjustRightInd w:val="0"/>
        <w:snapToGrid w:val="0"/>
        <w:spacing w:line="360" w:lineRule="auto"/>
        <w:ind w:firstLine="422"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b/>
          <w:color w:val="auto"/>
          <w:szCs w:val="21"/>
          <w:highlight w:val="none"/>
        </w:rPr>
        <w:t>若根据基金合同约定，基金存续期间可设置申购、赎回预约期。</w:t>
      </w:r>
      <w:r>
        <w:rPr>
          <w:rFonts w:hint="eastAsia" w:asciiTheme="minorEastAsia" w:hAnsiTheme="minorEastAsia" w:eastAsiaTheme="minorEastAsia"/>
          <w:color w:val="auto"/>
          <w:kern w:val="0"/>
          <w:szCs w:val="21"/>
          <w:highlight w:val="none"/>
        </w:rPr>
        <w:t>基金管理人不接受投资者在预约期以外的时间提出的申购、赎回申请。</w:t>
      </w:r>
      <w:r>
        <w:rPr>
          <w:rFonts w:asciiTheme="minorEastAsia" w:hAnsiTheme="minorEastAsia" w:eastAsiaTheme="minorEastAsia"/>
          <w:color w:val="auto"/>
          <w:szCs w:val="21"/>
          <w:highlight w:val="none"/>
        </w:rPr>
        <w:t>上述安排可能导致投资者</w:t>
      </w:r>
      <w:r>
        <w:rPr>
          <w:rFonts w:hint="eastAsia" w:asciiTheme="minorEastAsia" w:hAnsiTheme="minorEastAsia" w:eastAsiaTheme="minorEastAsia"/>
          <w:color w:val="auto"/>
          <w:szCs w:val="21"/>
          <w:highlight w:val="none"/>
        </w:rPr>
        <w:t>面临</w:t>
      </w:r>
      <w:r>
        <w:rPr>
          <w:rFonts w:hint="eastAsia" w:asciiTheme="minorEastAsia" w:hAnsiTheme="minorEastAsia" w:eastAsiaTheme="minorEastAsia"/>
          <w:color w:val="auto"/>
          <w:kern w:val="0"/>
          <w:szCs w:val="21"/>
          <w:highlight w:val="none"/>
        </w:rPr>
        <w:t>因错过预约期导致的流动性风险。</w:t>
      </w:r>
    </w:p>
    <w:p w14:paraId="440F5F86">
      <w:pPr>
        <w:adjustRightInd w:val="0"/>
        <w:snapToGrid w:val="0"/>
        <w:spacing w:line="360" w:lineRule="auto"/>
        <w:ind w:firstLine="422" w:firstLineChars="200"/>
        <w:rPr>
          <w:rFonts w:asciiTheme="minorEastAsia" w:hAnsiTheme="minorEastAsia" w:eastAsiaTheme="minorEastAsia"/>
          <w:color w:val="auto"/>
          <w:kern w:val="0"/>
          <w:szCs w:val="21"/>
          <w:highlight w:val="none"/>
        </w:rPr>
      </w:pPr>
      <w:r>
        <w:rPr>
          <w:rFonts w:hint="eastAsia" w:asciiTheme="minorEastAsia" w:hAnsiTheme="minorEastAsia" w:eastAsiaTheme="minorEastAsia"/>
          <w:b/>
          <w:color w:val="auto"/>
          <w:kern w:val="0"/>
          <w:szCs w:val="21"/>
          <w:highlight w:val="none"/>
        </w:rPr>
        <w:t>若根据基金合同约定，基金存续期间可设置锁定期。</w:t>
      </w:r>
      <w:r>
        <w:rPr>
          <w:rFonts w:hint="eastAsia" w:asciiTheme="minorEastAsia" w:hAnsiTheme="minorEastAsia" w:eastAsiaTheme="minorEastAsia"/>
          <w:color w:val="auto"/>
          <w:szCs w:val="21"/>
          <w:highlight w:val="none"/>
        </w:rPr>
        <w:t>投资者</w:t>
      </w:r>
      <w:r>
        <w:rPr>
          <w:rFonts w:asciiTheme="minorEastAsia" w:hAnsiTheme="minorEastAsia" w:eastAsiaTheme="minorEastAsia"/>
          <w:color w:val="auto"/>
          <w:szCs w:val="21"/>
          <w:highlight w:val="none"/>
        </w:rPr>
        <w:t>仅可对锁定期届满的基金份额进行赎回。上述安排可能导致</w:t>
      </w:r>
      <w:r>
        <w:rPr>
          <w:rFonts w:hint="eastAsia" w:asciiTheme="minorEastAsia" w:hAnsiTheme="minorEastAsia" w:eastAsiaTheme="minorEastAsia"/>
          <w:color w:val="auto"/>
          <w:szCs w:val="21"/>
          <w:highlight w:val="none"/>
        </w:rPr>
        <w:t>投资者持有的</w:t>
      </w:r>
      <w:r>
        <w:rPr>
          <w:rFonts w:hint="eastAsia" w:asciiTheme="minorEastAsia" w:hAnsiTheme="minorEastAsia" w:eastAsiaTheme="minorEastAsia"/>
          <w:color w:val="auto"/>
          <w:kern w:val="0"/>
          <w:szCs w:val="21"/>
          <w:highlight w:val="none"/>
        </w:rPr>
        <w:t>在锁定期内的份额可能面临资金不能赎回带来的流动性风险。</w:t>
      </w:r>
    </w:p>
    <w:p w14:paraId="1BC57CBF">
      <w:pPr>
        <w:adjustRightInd w:val="0"/>
        <w:snapToGrid w:val="0"/>
        <w:spacing w:line="360" w:lineRule="auto"/>
        <w:ind w:firstLine="422" w:firstLineChars="200"/>
        <w:rPr>
          <w:rFonts w:asciiTheme="minorEastAsia" w:hAnsiTheme="minorEastAsia" w:eastAsiaTheme="minorEastAsia"/>
          <w:color w:val="auto"/>
          <w:kern w:val="0"/>
          <w:szCs w:val="21"/>
          <w:highlight w:val="none"/>
        </w:rPr>
      </w:pPr>
      <w:r>
        <w:rPr>
          <w:rFonts w:asciiTheme="minorEastAsia" w:hAnsiTheme="minorEastAsia" w:eastAsiaTheme="minorEastAsia"/>
          <w:b/>
          <w:color w:val="auto"/>
          <w:kern w:val="0"/>
          <w:szCs w:val="21"/>
          <w:highlight w:val="none"/>
        </w:rPr>
        <w:t>若根据基金合同约定，基金存续期间可对投资者赎回申请采取份额限制。</w:t>
      </w:r>
      <w:r>
        <w:rPr>
          <w:rFonts w:asciiTheme="minorEastAsia" w:hAnsiTheme="minorEastAsia" w:eastAsiaTheme="minorEastAsia"/>
          <w:color w:val="auto"/>
          <w:kern w:val="0"/>
          <w:szCs w:val="21"/>
          <w:highlight w:val="none"/>
        </w:rPr>
        <w:t>如经测算，投资者部分赎回基金份额将导致其持有的剩余基金资产净值低于100万元人民币的，基金管理人可按照合同约定，在接受投资者赎回申请后，对其所持剩余基金份额按照强制赎回处理或者对投资者赎回申请进行调整，调降其申请赎回的基金份额。上述安排可能给投资者利益带来不利影响。</w:t>
      </w:r>
    </w:p>
    <w:p w14:paraId="3549A5F3">
      <w:pPr>
        <w:pStyle w:val="11"/>
        <w:adjustRightInd w:val="0"/>
        <w:snapToGrid w:val="0"/>
        <w:spacing w:before="93" w:beforeLines="30" w:after="93" w:afterLines="30" w:line="360" w:lineRule="auto"/>
        <w:ind w:firstLine="422" w:firstLineChars="200"/>
        <w:rPr>
          <w:rFonts w:asciiTheme="minorEastAsia" w:hAnsiTheme="minorEastAsia" w:eastAsiaTheme="minorEastAsia"/>
          <w:color w:val="auto"/>
          <w:highlight w:val="none"/>
        </w:rPr>
      </w:pPr>
      <w:r>
        <w:rPr>
          <w:rFonts w:hint="eastAsia" w:asciiTheme="minorEastAsia" w:hAnsiTheme="minorEastAsia" w:eastAsiaTheme="minorEastAsia"/>
          <w:b/>
          <w:color w:val="auto"/>
          <w:kern w:val="0"/>
          <w:szCs w:val="21"/>
          <w:highlight w:val="none"/>
        </w:rPr>
        <w:t>基金管理人负责按照基金合同约定的开放安排，为投资者办理基金份额的申购</w:t>
      </w:r>
      <w:r>
        <w:rPr>
          <w:rFonts w:asciiTheme="minorEastAsia" w:hAnsiTheme="minorEastAsia" w:eastAsiaTheme="minorEastAsia"/>
          <w:b/>
          <w:color w:val="auto"/>
          <w:kern w:val="0"/>
          <w:szCs w:val="21"/>
          <w:highlight w:val="none"/>
        </w:rPr>
        <w:t>/赎回业务，并履行信息披露义务。</w:t>
      </w:r>
      <w:r>
        <w:rPr>
          <w:rFonts w:hint="eastAsia" w:asciiTheme="minorEastAsia" w:hAnsiTheme="minorEastAsia" w:eastAsiaTheme="minorEastAsia"/>
          <w:b/>
          <w:color w:val="auto"/>
          <w:kern w:val="0"/>
          <w:szCs w:val="21"/>
          <w:highlight w:val="none"/>
        </w:rPr>
        <w:t>提示投资者应当及时关注基金合同约定及基金管理人信息披露内容。基金托管人及服务机构不承担任何因基金管理人未按照合同约定执行基金开放安排或信息披露义务导致的损失。</w:t>
      </w:r>
    </w:p>
    <w:p w14:paraId="62AFADCC">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7、募集机构与管理人存在关联关系的风险（如有）</w:t>
      </w:r>
    </w:p>
    <w:p w14:paraId="11EAEB5E">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可委托销售机构销售本基金，受托销售机构可能与基金管理人存在关联关系。基金管理人与其受托关联销售机构之间的交易及其他业务安排应当遵循基金份额持有人利益优先的原则、防范利益冲突，但仍可能存在未能完全遵循以基金份额持有人利益优先、未能完全杜绝关联方之间的利益输送、未能完全避免关联方与基金委托人之间的利益冲突、未能充分履行相关信息披露义务等相关风险。</w:t>
      </w:r>
    </w:p>
    <w:p w14:paraId="50C06230">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8、关联交易风险（如有）</w:t>
      </w:r>
    </w:p>
    <w:p w14:paraId="1961E64F">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可运用基金财产买卖基金管理人、基金托管人及其控股股东、实际控制人或者与其有其他重大利害关系的公司发行的证券或承销期内承销的证券；或上述主体直接或间接管理或代理销售的、或提供客户服务的、或者该等主体持有的符合本基金合同投资范围规定的投资产品。基金管理人亦可与基金管理人、基金托管人及其关联方或者与上述主体有其他重大利害关系的主体进行融资融券（如有）、收益互换（如有）、场外期权（如有）等交易。基金托管人不对上述关联交易有关限制的执行承担投资监督职责，不对上述关联交易是否存在利益输送、不公平交易等情形承担监督职责，投资者签署本基金合同即表明其已经知晓并同意本基金可能进行上述关联交易。</w:t>
      </w:r>
    </w:p>
    <w:p w14:paraId="47ACCD8E">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投资者不得因本基金进行上述关联交易或投资收益劣于基金管理人、基金托管人及其关联方管理的其他类似投资产品，而向基金管理人或基金托管人提出任何损失或损害补偿的要求。</w:t>
      </w:r>
    </w:p>
    <w:p w14:paraId="7A92A814">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9、单一标的的投资风险（如有）</w:t>
      </w:r>
    </w:p>
    <w:p w14:paraId="54B32EB8">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本基金存续期内，如基金管理人将本基金财产全部投资于单一标的</w:t>
      </w:r>
      <w:r>
        <w:rPr>
          <w:rFonts w:hint="eastAsia" w:asciiTheme="minorEastAsia" w:hAnsiTheme="minorEastAsia" w:eastAsiaTheme="minorEastAsia"/>
          <w:color w:val="auto"/>
          <w:highlight w:val="none"/>
          <w:lang w:eastAsia="zh-CN"/>
        </w:rPr>
        <w:t>、</w:t>
      </w:r>
      <w:r>
        <w:rPr>
          <w:rFonts w:hint="eastAsia" w:asciiTheme="minorEastAsia" w:hAnsiTheme="minorEastAsia" w:eastAsiaTheme="minorEastAsia"/>
          <w:color w:val="auto"/>
          <w:highlight w:val="none"/>
          <w:lang w:val="en-US" w:eastAsia="zh-CN"/>
        </w:rPr>
        <w:t>未进行组合投资的</w:t>
      </w:r>
      <w:r>
        <w:rPr>
          <w:rFonts w:hint="eastAsia" w:asciiTheme="minorEastAsia" w:hAnsiTheme="minorEastAsia" w:eastAsiaTheme="minorEastAsia"/>
          <w:color w:val="auto"/>
          <w:highlight w:val="none"/>
        </w:rPr>
        <w:t>，因投资风险高度集中，</w:t>
      </w:r>
      <w:r>
        <w:rPr>
          <w:rFonts w:hint="eastAsia" w:asciiTheme="minorEastAsia" w:hAnsiTheme="minorEastAsia" w:eastAsiaTheme="minorEastAsia"/>
          <w:color w:val="auto"/>
          <w:kern w:val="0"/>
          <w:szCs w:val="21"/>
          <w:highlight w:val="none"/>
        </w:rPr>
        <w:t>基金财产盈亏情况受单一标的影响严重，</w:t>
      </w:r>
      <w:r>
        <w:rPr>
          <w:rFonts w:hint="eastAsia" w:asciiTheme="minorEastAsia" w:hAnsiTheme="minorEastAsia" w:eastAsiaTheme="minorEastAsia"/>
          <w:color w:val="auto"/>
          <w:highlight w:val="none"/>
        </w:rPr>
        <w:t>极端情形下存在投资本金全部亏损的风险。</w:t>
      </w:r>
      <w:r>
        <w:rPr>
          <w:rFonts w:hint="eastAsia" w:asciiTheme="minorEastAsia" w:hAnsiTheme="minorEastAsia" w:eastAsiaTheme="minorEastAsia"/>
          <w:color w:val="auto"/>
          <w:kern w:val="0"/>
          <w:szCs w:val="21"/>
          <w:highlight w:val="none"/>
        </w:rPr>
        <w:t>基金管理人应当按照法律法规规定和基金合同约定的方式向投资者书面揭示投资标的的基本情况、投资架构、因未进行组合投资而可能受到的损失、纠纷解决机制等内容，并由投资者签署确认。</w:t>
      </w:r>
    </w:p>
    <w:p w14:paraId="23AD4E8A">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10、特殊目的载体投向标的的风险（如有）</w:t>
      </w:r>
    </w:p>
    <w:p w14:paraId="66885F6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通过特殊目的载体进行投资，投资标的最终的权利登记在特殊目的载体名下，本基金管理人面临无法直接向底层投资标的的交易对手主张权利的风险。本基金管理人如需实现底层投资标的的债权、股权、担保权利等需要底层投资标的的交易对手的相关人员进行配合，如相关人员不进行配合可能对基金财产变现和处置存在一定的影响。</w:t>
      </w:r>
    </w:p>
    <w:p w14:paraId="64975266">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asciiTheme="minorEastAsia" w:hAnsiTheme="minorEastAsia" w:eastAsiaTheme="minorEastAsia"/>
          <w:b/>
          <w:bCs/>
          <w:color w:val="auto"/>
          <w:szCs w:val="21"/>
          <w:highlight w:val="none"/>
        </w:rPr>
        <w:t>1</w:t>
      </w:r>
      <w:r>
        <w:rPr>
          <w:rFonts w:hint="eastAsia" w:asciiTheme="minorEastAsia" w:hAnsiTheme="minorEastAsia" w:eastAsiaTheme="minorEastAsia"/>
          <w:b/>
          <w:bCs/>
          <w:color w:val="auto"/>
          <w:szCs w:val="21"/>
          <w:highlight w:val="none"/>
        </w:rPr>
        <w:t>1、契约型私募投资基金管理人股权代持的风险（如有）</w:t>
      </w:r>
    </w:p>
    <w:p w14:paraId="22718B45">
      <w:pPr>
        <w:adjustRightInd w:val="0"/>
        <w:snapToGrid w:val="0"/>
        <w:spacing w:before="93" w:beforeLines="30" w:after="93" w:afterLines="30" w:line="372" w:lineRule="auto"/>
        <w:ind w:firstLine="420" w:firstLineChars="200"/>
        <w:rPr>
          <w:rFonts w:cs="宋体" w:asciiTheme="minorEastAsia" w:hAnsiTheme="minorEastAsia" w:eastAsiaTheme="minorEastAsia"/>
          <w:color w:val="auto"/>
          <w:kern w:val="0"/>
          <w:szCs w:val="21"/>
          <w:highlight w:val="none"/>
        </w:rPr>
      </w:pPr>
      <w:r>
        <w:rPr>
          <w:rFonts w:hint="eastAsia" w:asciiTheme="minorEastAsia" w:hAnsiTheme="minorEastAsia" w:eastAsiaTheme="minorEastAsia"/>
          <w:color w:val="auto"/>
          <w:szCs w:val="21"/>
          <w:highlight w:val="none"/>
        </w:rPr>
        <w:t>本基金存在契约型私募投资基金管理人股权代持的风险。私募基金管理人代表私募基金持有投资标的股权，与其他第三方签署相关协议文件、行使股东权利或者实施其他法律行为，基金财产的收益可能受到基金管理人的管理能力、管理水平的影响，契约型私募投资基金及投资者无法直接行使股东权利或实施其他法律行为。</w:t>
      </w:r>
    </w:p>
    <w:p w14:paraId="07014AF2">
      <w:pPr>
        <w:numPr>
          <w:ilvl w:val="0"/>
          <w:numId w:val="5"/>
        </w:numPr>
        <w:adjustRightInd w:val="0"/>
        <w:snapToGrid w:val="0"/>
        <w:spacing w:before="93" w:beforeLines="30" w:after="93" w:afterLines="30" w:line="372" w:lineRule="auto"/>
        <w:ind w:firstLine="422" w:firstLineChars="200"/>
        <w:rPr>
          <w:rFonts w:hint="eastAsia" w:asciiTheme="minorEastAsia" w:hAnsiTheme="minorEastAsia" w:eastAsiaTheme="minorEastAsia"/>
          <w:b/>
          <w:bCs/>
          <w:color w:val="auto"/>
          <w:kern w:val="2"/>
          <w:szCs w:val="21"/>
          <w:highlight w:val="none"/>
        </w:rPr>
      </w:pPr>
      <w:r>
        <w:rPr>
          <w:rFonts w:hint="eastAsia" w:asciiTheme="minorEastAsia" w:hAnsiTheme="minorEastAsia" w:eastAsiaTheme="minorEastAsia"/>
          <w:b/>
          <w:bCs/>
          <w:color w:val="auto"/>
          <w:kern w:val="2"/>
          <w:szCs w:val="21"/>
          <w:highlight w:val="none"/>
        </w:rPr>
        <w:t>基金管理人发生重大登记信息变更所涉风险（如有）</w:t>
      </w:r>
    </w:p>
    <w:p w14:paraId="7A6D7664">
      <w:pPr>
        <w:numPr>
          <w:ilvl w:val="-1"/>
          <w:numId w:val="0"/>
        </w:numPr>
        <w:adjustRightInd w:val="0"/>
        <w:snapToGrid w:val="0"/>
        <w:spacing w:before="93" w:beforeLines="30" w:after="93" w:afterLines="30" w:line="372" w:lineRule="auto"/>
        <w:ind w:firstLine="420" w:firstLineChars="200"/>
        <w:rPr>
          <w:rFonts w:hint="eastAsia" w:asciiTheme="minorEastAsia" w:hAnsiTheme="minorEastAsia" w:eastAsiaTheme="minorEastAsia"/>
          <w:color w:val="auto"/>
          <w:kern w:val="0"/>
          <w:szCs w:val="21"/>
          <w:highlight w:val="none"/>
        </w:rPr>
      </w:pPr>
      <w:r>
        <w:rPr>
          <w:rFonts w:hint="eastAsia" w:asciiTheme="minorEastAsia" w:hAnsiTheme="minorEastAsia" w:eastAsiaTheme="minorEastAsia"/>
          <w:color w:val="auto"/>
          <w:kern w:val="0"/>
          <w:szCs w:val="21"/>
          <w:highlight w:val="none"/>
        </w:rPr>
        <w:t>基金管理人的控股股东、实际控制人、普通合伙人</w:t>
      </w:r>
      <w:r>
        <w:rPr>
          <w:rFonts w:hint="eastAsia" w:asciiTheme="minorEastAsia" w:hAnsiTheme="minorEastAsia" w:eastAsiaTheme="minorEastAsia"/>
          <w:color w:val="auto"/>
          <w:szCs w:val="21"/>
          <w:highlight w:val="none"/>
          <w:lang w:val="en-US" w:eastAsia="zh-CN"/>
        </w:rPr>
        <w:t>（当基金管理人为合伙企业时）</w:t>
      </w:r>
      <w:r>
        <w:rPr>
          <w:rFonts w:hint="eastAsia" w:asciiTheme="minorEastAsia" w:hAnsiTheme="minorEastAsia" w:eastAsiaTheme="minorEastAsia"/>
          <w:color w:val="auto"/>
          <w:kern w:val="0"/>
          <w:szCs w:val="21"/>
          <w:highlight w:val="none"/>
        </w:rPr>
        <w:t>等发生变更的，基金管理人应当按照基金业协会有关规定提交材料并履行变更手续。基金管理人发生上述重大登记信息变更期间募集资金的，基金管理人应当按照基金合同约定的方式向投资者揭示变更情况，以及可能存在无法完成变更登记和基金备案手续的合规风险。</w:t>
      </w:r>
    </w:p>
    <w:p w14:paraId="6BC2199C">
      <w:pPr>
        <w:pStyle w:val="11"/>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w:t>
      </w:r>
      <w:r>
        <w:rPr>
          <w:rFonts w:hint="eastAsia" w:asciiTheme="minorEastAsia" w:hAnsiTheme="minorEastAsia" w:eastAsiaTheme="minorEastAsia"/>
          <w:b/>
          <w:bCs/>
          <w:color w:val="auto"/>
          <w:highlight w:val="none"/>
          <w:lang w:val="en-US" w:eastAsia="zh-CN"/>
        </w:rPr>
        <w:t>3</w:t>
      </w:r>
      <w:r>
        <w:rPr>
          <w:rFonts w:hint="eastAsia" w:asciiTheme="minorEastAsia" w:hAnsiTheme="minorEastAsia" w:eastAsiaTheme="minorEastAsia"/>
          <w:b/>
          <w:bCs/>
          <w:color w:val="auto"/>
          <w:highlight w:val="none"/>
        </w:rPr>
        <w:t>、产品架构所涉风险</w:t>
      </w:r>
    </w:p>
    <w:p w14:paraId="1676DE29">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根据本合同的份额分类安排，本基金按募集对象身份不同将基金份额分成</w:t>
      </w:r>
      <w:r>
        <w:rPr>
          <w:rFonts w:asciiTheme="minorEastAsia" w:hAnsiTheme="minorEastAsia" w:eastAsiaTheme="minorEastAsia"/>
          <w:color w:val="auto"/>
          <w:highlight w:val="none"/>
        </w:rPr>
        <w:t>A类份额</w:t>
      </w:r>
      <w:r>
        <w:rPr>
          <w:rFonts w:hint="eastAsia" w:asciiTheme="minorEastAsia" w:hAnsiTheme="minorEastAsia" w:eastAsiaTheme="minorEastAsia"/>
          <w:color w:val="auto"/>
          <w:highlight w:val="none"/>
          <w:lang w:eastAsia="zh-CN"/>
        </w:rPr>
        <w:t>、</w:t>
      </w:r>
      <w:r>
        <w:rPr>
          <w:rFonts w:asciiTheme="minorEastAsia" w:hAnsiTheme="minorEastAsia" w:eastAsiaTheme="minorEastAsia"/>
          <w:color w:val="auto"/>
          <w:highlight w:val="none"/>
        </w:rPr>
        <w:t>B类份额</w:t>
      </w:r>
      <w:r>
        <w:rPr>
          <w:rFonts w:hint="eastAsia" w:asciiTheme="minorEastAsia" w:hAnsiTheme="minorEastAsia" w:eastAsiaTheme="minorEastAsia"/>
          <w:color w:val="auto"/>
          <w:highlight w:val="none"/>
          <w:lang w:eastAsia="zh-CN"/>
        </w:rPr>
        <w:t>、</w:t>
      </w:r>
      <w:r>
        <w:rPr>
          <w:rFonts w:hint="eastAsia" w:asciiTheme="minorEastAsia" w:hAnsiTheme="minorEastAsia" w:eastAsiaTheme="minorEastAsia"/>
          <w:color w:val="auto"/>
          <w:highlight w:val="none"/>
          <w:lang w:val="en-US" w:eastAsia="zh-CN"/>
        </w:rPr>
        <w:t>C类份额、D类份额</w:t>
      </w:r>
      <w:r>
        <w:rPr>
          <w:rFonts w:asciiTheme="minorEastAsia" w:hAnsiTheme="minorEastAsia" w:eastAsiaTheme="minorEastAsia"/>
          <w:color w:val="auto"/>
          <w:highlight w:val="none"/>
        </w:rPr>
        <w:t>，</w:t>
      </w:r>
      <w:r>
        <w:rPr>
          <w:rFonts w:hint="eastAsia" w:asciiTheme="minorEastAsia" w:hAnsiTheme="minorEastAsia" w:eastAsiaTheme="minorEastAsia"/>
          <w:color w:val="auto"/>
          <w:highlight w:val="none"/>
          <w:lang w:val="en-US" w:eastAsia="zh-CN"/>
        </w:rPr>
        <w:t>四</w:t>
      </w:r>
      <w:r>
        <w:rPr>
          <w:rFonts w:asciiTheme="minorEastAsia" w:hAnsiTheme="minorEastAsia" w:eastAsiaTheme="minorEastAsia"/>
          <w:color w:val="auto"/>
          <w:highlight w:val="none"/>
        </w:rPr>
        <w:t>类基金份额均存在不盈利甚至亏损的可能，投资者需了解对应份额的收费情况，因份额分类产生的相关风险以及自身认/申购的份额类别后选择参与。</w:t>
      </w:r>
    </w:p>
    <w:p w14:paraId="210538D9">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本基金的份额分类不是结构化分级，本基金管理人或托管人不对各类份额承诺最低收益、承诺本金不受损失，限定损失金额和比例。</w:t>
      </w:r>
    </w:p>
    <w:p w14:paraId="5C6520D3">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（二）一般风险揭示</w:t>
      </w:r>
    </w:p>
    <w:p w14:paraId="10558762">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1、资金损失风险</w:t>
      </w:r>
    </w:p>
    <w:p w14:paraId="140C6EBA">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基金管理人依照恪尽职守、诚实信用、谨慎勤勉的原则管理和运用基金财产，但不保证基金财产中的认购资金本金不受损失，也不保证一定盈利及最低收益。</w:t>
      </w:r>
    </w:p>
    <w:p w14:paraId="18CE86AD">
      <w:pPr>
        <w:adjustRightInd w:val="0"/>
        <w:snapToGrid w:val="0"/>
        <w:spacing w:before="93" w:beforeLines="30" w:after="93" w:afterLines="30" w:line="360" w:lineRule="auto"/>
        <w:ind w:firstLine="422" w:firstLineChars="200"/>
        <w:rPr>
          <w:rFonts w:cs="宋体" w:asciiTheme="minorEastAsia" w:hAnsiTheme="minorEastAsia" w:eastAsiaTheme="minorEastAsia"/>
          <w:color w:val="auto"/>
          <w:kern w:val="0"/>
          <w:szCs w:val="21"/>
          <w:highlight w:val="none"/>
        </w:rPr>
      </w:pPr>
      <w:r>
        <w:rPr>
          <w:rFonts w:hint="eastAsia" w:cs="宋体" w:asciiTheme="minorEastAsia" w:hAnsiTheme="minorEastAsia" w:eastAsiaTheme="minorEastAsia"/>
          <w:b/>
          <w:bCs/>
          <w:color w:val="auto"/>
          <w:kern w:val="0"/>
          <w:szCs w:val="21"/>
          <w:highlight w:val="none"/>
        </w:rPr>
        <w:t>本基金风险等级为[R</w:t>
      </w:r>
      <w:r>
        <w:rPr>
          <w:rFonts w:cs="宋体" w:asciiTheme="minorEastAsia" w:hAnsiTheme="minorEastAsia" w:eastAsiaTheme="minorEastAsia"/>
          <w:b/>
          <w:bCs/>
          <w:color w:val="auto"/>
          <w:kern w:val="0"/>
          <w:szCs w:val="21"/>
          <w:highlight w:val="none"/>
        </w:rPr>
        <w:t>4</w:t>
      </w:r>
      <w:r>
        <w:rPr>
          <w:rFonts w:hint="eastAsia" w:cs="宋体" w:asciiTheme="minorEastAsia" w:hAnsiTheme="minorEastAsia" w:eastAsiaTheme="minorEastAsia"/>
          <w:b/>
          <w:bCs/>
          <w:color w:val="auto"/>
          <w:kern w:val="0"/>
          <w:szCs w:val="21"/>
          <w:highlight w:val="none"/>
        </w:rPr>
        <w:t>]，适合风险识别、评估、承受能力[C</w:t>
      </w:r>
      <w:r>
        <w:rPr>
          <w:rFonts w:cs="宋体" w:asciiTheme="minorEastAsia" w:hAnsiTheme="minorEastAsia" w:eastAsiaTheme="minorEastAsia"/>
          <w:b/>
          <w:bCs/>
          <w:color w:val="auto"/>
          <w:kern w:val="0"/>
          <w:szCs w:val="21"/>
          <w:highlight w:val="none"/>
        </w:rPr>
        <w:t>4</w:t>
      </w:r>
      <w:r>
        <w:rPr>
          <w:rFonts w:hint="eastAsia" w:cs="宋体" w:asciiTheme="minorEastAsia" w:hAnsiTheme="minorEastAsia" w:eastAsiaTheme="minorEastAsia"/>
          <w:b/>
          <w:bCs/>
          <w:color w:val="auto"/>
          <w:kern w:val="0"/>
          <w:szCs w:val="21"/>
          <w:highlight w:val="none"/>
        </w:rPr>
        <w:t>及以上]的普通投资者及专业投资者。</w:t>
      </w:r>
    </w:p>
    <w:p w14:paraId="162CB6C1">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2、基金运营风险</w:t>
      </w:r>
    </w:p>
    <w:p w14:paraId="09A04DEB">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基金管理人依据本合同约定管理和运用基金财产所产生的风险，由基金财产及投资者承担。投资者应充分知晓投资运营的相关风险，其风险应由投资者自担。</w:t>
      </w:r>
    </w:p>
    <w:p w14:paraId="2B2DB9AD">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3、募集失败风险</w:t>
      </w:r>
    </w:p>
    <w:p w14:paraId="071FD5D8">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本基金的成立需符合相关法律法规的规定，本基金可能存在不能满足成立条件从而无法成立的风险。</w:t>
      </w:r>
    </w:p>
    <w:p w14:paraId="1DAB8FBF">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基金管理人的责任承担方式：</w:t>
      </w:r>
    </w:p>
    <w:p w14:paraId="22634482">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（1）以其固有财产承担因募集行为而产生的债务和费用；</w:t>
      </w:r>
    </w:p>
    <w:p w14:paraId="7D628531">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（2）在基金募集期限届满（确认基金无法成立）后三十日内返还投资人已交纳的款项，并加计银行同期存款利息。</w:t>
      </w:r>
    </w:p>
    <w:p w14:paraId="3F1E08F2">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4、税收风险</w:t>
      </w:r>
    </w:p>
    <w:p w14:paraId="2988A072">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契约型基金所适用的税收征管法律法规可能会由于国家相关税收政策调整而发生变化，投资者收益也可能因相关税收政策调整而受到影响。</w:t>
      </w:r>
    </w:p>
    <w:p w14:paraId="07A243AC">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highlight w:val="none"/>
        </w:rPr>
      </w:pPr>
      <w:r>
        <w:rPr>
          <w:rFonts w:hint="eastAsia" w:asciiTheme="minorEastAsia" w:hAnsiTheme="minorEastAsia" w:eastAsiaTheme="minorEastAsia"/>
          <w:b/>
          <w:bCs/>
          <w:color w:val="auto"/>
          <w:highlight w:val="none"/>
        </w:rPr>
        <w:t>5、其他风险</w:t>
      </w:r>
    </w:p>
    <w:p w14:paraId="18BE0D39">
      <w:pPr>
        <w:pStyle w:val="11"/>
        <w:widowControl w:val="0"/>
        <w:adjustRightInd w:val="0"/>
        <w:snapToGrid w:val="0"/>
        <w:spacing w:before="93" w:beforeLines="30" w:after="93" w:afterLines="30" w:line="360" w:lineRule="auto"/>
        <w:ind w:firstLine="420" w:firstLineChars="200"/>
        <w:rPr>
          <w:rFonts w:asciiTheme="minorEastAsia" w:hAnsiTheme="minorEastAsia" w:eastAsiaTheme="minorEastAsia"/>
          <w:color w:val="auto"/>
          <w:highlight w:val="none"/>
        </w:rPr>
      </w:pPr>
      <w:r>
        <w:rPr>
          <w:rFonts w:hint="eastAsia" w:asciiTheme="minorEastAsia" w:hAnsiTheme="minorEastAsia" w:eastAsiaTheme="minorEastAsia"/>
          <w:color w:val="auto"/>
          <w:highlight w:val="none"/>
        </w:rPr>
        <w:t>包括但不限于法律与政策风险、发生不可抗力事件的风险、技术风险和操作风险等。</w:t>
      </w:r>
    </w:p>
    <w:p w14:paraId="4A8F3107">
      <w:pPr>
        <w:pStyle w:val="11"/>
        <w:widowControl w:val="0"/>
        <w:adjustRightInd w:val="0"/>
        <w:snapToGrid w:val="0"/>
        <w:spacing w:before="93" w:beforeLines="30" w:after="93" w:afterLines="30" w:line="360" w:lineRule="auto"/>
        <w:ind w:firstLine="422" w:firstLineChars="200"/>
        <w:rPr>
          <w:rFonts w:asciiTheme="minorEastAsia" w:hAnsiTheme="minorEastAsia" w:eastAsiaTheme="minorEastAsia"/>
          <w:b/>
          <w:bCs/>
          <w:color w:val="auto"/>
          <w:kern w:val="2"/>
          <w:highlight w:val="none"/>
        </w:rPr>
      </w:pPr>
      <w:r>
        <w:rPr>
          <w:rFonts w:hint="eastAsia" w:asciiTheme="minorEastAsia" w:hAnsiTheme="minorEastAsia" w:eastAsiaTheme="minorEastAsia"/>
          <w:b/>
          <w:bCs/>
          <w:color w:val="auto"/>
          <w:kern w:val="2"/>
          <w:highlight w:val="none"/>
        </w:rPr>
        <w:t>（三）基金投资风险揭示</w:t>
      </w:r>
    </w:p>
    <w:p w14:paraId="1033FE5F">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1、市场风险</w:t>
      </w:r>
    </w:p>
    <w:p w14:paraId="6AFD62D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证券市场价格因受各种因素的影响而引起的波动，将使基金资产面临潜在的风险。市场风险包括但不限于股票投资风险、债券投资风险、新三板市场投资风险等。</w:t>
      </w:r>
    </w:p>
    <w:p w14:paraId="58A59B46">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（1）股票投资风险主要包括：</w:t>
      </w:r>
    </w:p>
    <w:p w14:paraId="16BB8BF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1）国家货币政策、财政政策、产业政策等的变化对证券市场产生一定的影响，导致市场价格水平波动的风险；</w:t>
      </w:r>
    </w:p>
    <w:p w14:paraId="5352D14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2）宏观经济运行周期性波动，对股票市场的收益水平产生影响的风险；</w:t>
      </w:r>
    </w:p>
    <w:p w14:paraId="0D3EA04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3）上市公司的经营状况受多种因素影响，如市场、技术、竞争、管理、财务等都会导致公司盈利发生变化，从而导致股票价格变动的风险；</w:t>
      </w:r>
    </w:p>
    <w:p w14:paraId="6FFA9920">
      <w:pPr>
        <w:adjustRightInd w:val="0"/>
        <w:snapToGrid w:val="0"/>
        <w:spacing w:before="93" w:beforeLines="30" w:after="93" w:afterLines="30" w:line="360" w:lineRule="auto"/>
        <w:ind w:firstLine="420" w:firstLineChars="200"/>
        <w:rPr>
          <w:rFonts w:hint="eastAsia" w:cs="Times New Roman" w:asciiTheme="minorEastAsia" w:hAnsiTheme="minorEastAsia" w:eastAsiaTheme="minorEastAsia"/>
          <w:color w:val="auto"/>
          <w:sz w:val="21"/>
          <w:szCs w:val="21"/>
          <w:highlight w:val="none"/>
          <w:lang w:val="en-US" w:eastAsia="zh-CN"/>
        </w:rPr>
      </w:pPr>
      <w:r>
        <w:rPr>
          <w:rFonts w:hint="eastAsia" w:asciiTheme="minorEastAsia" w:hAnsiTheme="minorEastAsia" w:eastAsiaTheme="minorEastAsia"/>
          <w:color w:val="auto"/>
          <w:szCs w:val="21"/>
          <w:highlight w:val="none"/>
        </w:rPr>
        <w:t>4）</w:t>
      </w:r>
      <w:r>
        <w:rPr>
          <w:rFonts w:hint="eastAsia" w:cs="Times New Roman" w:asciiTheme="minorEastAsia" w:hAnsiTheme="minorEastAsia" w:eastAsiaTheme="minorEastAsia"/>
          <w:color w:val="auto"/>
          <w:sz w:val="21"/>
          <w:szCs w:val="21"/>
          <w:highlight w:val="none"/>
        </w:rPr>
        <w:t>全面实行股票发行注册制后，主板股票发行、上市、交易、持续监管等相关制度安排发生一定变化，投资者应当充分知悉并关注相关规则</w:t>
      </w:r>
      <w:r>
        <w:rPr>
          <w:rFonts w:hint="eastAsia" w:cs="Times New Roman" w:asciiTheme="minorEastAsia" w:hAnsiTheme="minorEastAsia" w:eastAsiaTheme="minorEastAsia"/>
          <w:color w:val="auto"/>
          <w:sz w:val="21"/>
          <w:szCs w:val="21"/>
          <w:highlight w:val="none"/>
          <w:lang w:val="en-US" w:eastAsia="zh-CN"/>
        </w:rPr>
        <w:t>及风险。</w:t>
      </w:r>
    </w:p>
    <w:p w14:paraId="111D12C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5）全面注册制下，</w:t>
      </w:r>
      <w:r>
        <w:rPr>
          <w:rFonts w:hint="eastAsia" w:asciiTheme="minorEastAsia" w:hAnsiTheme="minorEastAsia" w:eastAsiaTheme="minorEastAsia"/>
          <w:color w:val="auto"/>
          <w:szCs w:val="21"/>
          <w:highlight w:val="none"/>
        </w:rPr>
        <w:t>科创板、创业板、北交所股票发行在上市门槛、公司盈利能力、发行价格、减持制度、交易机制、涨跌幅限制以及退市制度等方面与其他A股板块的股票不同，可能导致本基金净值波动更大</w:t>
      </w:r>
      <w:r>
        <w:rPr>
          <w:rFonts w:hint="eastAsia" w:asciiTheme="minorEastAsia" w:hAnsiTheme="minorEastAsia" w:eastAsiaTheme="minorEastAsia"/>
          <w:color w:val="auto"/>
          <w:szCs w:val="21"/>
          <w:highlight w:val="none"/>
          <w:lang w:eastAsia="zh-CN"/>
        </w:rPr>
        <w:t>，</w:t>
      </w:r>
      <w:r>
        <w:rPr>
          <w:rFonts w:hint="eastAsia" w:cs="Times New Roman" w:asciiTheme="minorEastAsia" w:hAnsiTheme="minorEastAsia" w:eastAsiaTheme="minorEastAsia"/>
          <w:color w:val="auto"/>
          <w:sz w:val="21"/>
          <w:szCs w:val="21"/>
          <w:highlight w:val="none"/>
        </w:rPr>
        <w:t>投资者应当充分知悉并关注</w:t>
      </w:r>
      <w:r>
        <w:rPr>
          <w:rFonts w:hint="eastAsia" w:cs="Times New Roman" w:asciiTheme="minorEastAsia" w:hAnsiTheme="minorEastAsia" w:eastAsiaTheme="minorEastAsia"/>
          <w:color w:val="auto"/>
          <w:sz w:val="21"/>
          <w:szCs w:val="21"/>
          <w:highlight w:val="none"/>
          <w:lang w:val="en-US" w:eastAsia="zh-CN"/>
        </w:rPr>
        <w:t>各板块</w:t>
      </w:r>
      <w:r>
        <w:rPr>
          <w:rFonts w:hint="eastAsia" w:cs="Times New Roman" w:asciiTheme="minorEastAsia" w:hAnsiTheme="minorEastAsia" w:eastAsiaTheme="minorEastAsia"/>
          <w:color w:val="auto"/>
          <w:sz w:val="21"/>
          <w:szCs w:val="21"/>
          <w:highlight w:val="none"/>
        </w:rPr>
        <w:t>相关规则</w:t>
      </w:r>
      <w:r>
        <w:rPr>
          <w:rFonts w:hint="eastAsia" w:cs="Times New Roman" w:asciiTheme="minorEastAsia" w:hAnsiTheme="minorEastAsia" w:eastAsiaTheme="minorEastAsia"/>
          <w:color w:val="auto"/>
          <w:sz w:val="21"/>
          <w:szCs w:val="21"/>
          <w:highlight w:val="none"/>
          <w:lang w:val="en-US" w:eastAsia="zh-CN"/>
        </w:rPr>
        <w:t>及风险</w:t>
      </w:r>
      <w:r>
        <w:rPr>
          <w:rFonts w:hint="eastAsia" w:asciiTheme="minorEastAsia" w:hAnsiTheme="minorEastAsia" w:eastAsiaTheme="minorEastAsia"/>
          <w:color w:val="auto"/>
          <w:szCs w:val="21"/>
          <w:highlight w:val="none"/>
        </w:rPr>
        <w:t>。</w:t>
      </w:r>
    </w:p>
    <w:p w14:paraId="236CF34D">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（2）债券投资风险主要包括：</w:t>
      </w:r>
    </w:p>
    <w:p w14:paraId="6E89022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1）市场平均利率水平变化导致债券价格变化的风险；</w:t>
      </w:r>
    </w:p>
    <w:p w14:paraId="49D4BA1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2）债券市场不同期限、不同类属债券之间的利差变动导致相应期限和类属债券价格变化的风险；</w:t>
      </w:r>
    </w:p>
    <w:p w14:paraId="6099A4F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3）债券之发行人出现违约、拒绝支付到期本息，或由于债券发行人信用质量降低导致债券价格下降的风险。</w:t>
      </w:r>
    </w:p>
    <w:p w14:paraId="10685DDC">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（3）新三板市场</w:t>
      </w:r>
      <w:r>
        <w:rPr>
          <w:rFonts w:ascii="宋体" w:hAnsi="宋体"/>
          <w:b/>
          <w:bCs/>
          <w:color w:val="auto"/>
          <w:highlight w:val="none"/>
        </w:rPr>
        <w:t>挂牌公司</w:t>
      </w:r>
      <w:r>
        <w:rPr>
          <w:rFonts w:hint="eastAsia" w:ascii="宋体" w:hAnsi="宋体"/>
          <w:b/>
          <w:bCs/>
          <w:color w:val="auto"/>
          <w:highlight w:val="none"/>
          <w:lang w:val="en-US" w:eastAsia="zh-CN"/>
        </w:rPr>
        <w:t>股票</w:t>
      </w:r>
      <w:r>
        <w:rPr>
          <w:rFonts w:hint="eastAsia" w:asciiTheme="minorEastAsia" w:hAnsiTheme="minorEastAsia" w:eastAsiaTheme="minorEastAsia"/>
          <w:b/>
          <w:bCs/>
          <w:color w:val="auto"/>
          <w:szCs w:val="21"/>
          <w:highlight w:val="none"/>
        </w:rPr>
        <w:t>投资风险（如有）主要包括：</w:t>
      </w:r>
    </w:p>
    <w:p w14:paraId="5F2F2FEC">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本基金如可参与新三板市场挂牌公司</w:t>
      </w:r>
      <w:r>
        <w:rPr>
          <w:rFonts w:hint="eastAsia" w:asciiTheme="minorEastAsia" w:hAnsiTheme="minorEastAsia" w:eastAsiaTheme="minorEastAsia"/>
          <w:color w:val="auto"/>
          <w:szCs w:val="21"/>
          <w:highlight w:val="none"/>
          <w:lang w:val="en-US" w:eastAsia="zh-CN"/>
        </w:rPr>
        <w:t>股票</w:t>
      </w:r>
      <w:r>
        <w:rPr>
          <w:rFonts w:hint="eastAsia" w:asciiTheme="minorEastAsia" w:hAnsiTheme="minorEastAsia" w:eastAsiaTheme="minorEastAsia"/>
          <w:color w:val="auto"/>
          <w:szCs w:val="21"/>
          <w:highlight w:val="none"/>
        </w:rPr>
        <w:t>投资，除面临股票的共有投资风险外，还存在包括但不限于如下特定风险：</w:t>
      </w:r>
    </w:p>
    <w:p w14:paraId="2EAB0C5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1）流动性不足的风险。就目前情况而言，新三板市场交易量较小，流动性较差，可能存在建仓时间较长</w:t>
      </w:r>
      <w:r>
        <w:rPr>
          <w:rFonts w:hint="eastAsia" w:asciiTheme="minorEastAsia" w:hAnsiTheme="minorEastAsia" w:eastAsiaTheme="minorEastAsia"/>
          <w:color w:val="auto"/>
          <w:szCs w:val="21"/>
          <w:highlight w:val="none"/>
          <w:lang w:val="en-US" w:eastAsia="zh-CN"/>
        </w:rPr>
        <w:t>的情况</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同时，</w:t>
      </w:r>
      <w:r>
        <w:rPr>
          <w:rFonts w:hint="eastAsia" w:asciiTheme="minorEastAsia" w:hAnsiTheme="minorEastAsia" w:eastAsiaTheme="minorEastAsia"/>
          <w:color w:val="auto"/>
          <w:szCs w:val="21"/>
          <w:highlight w:val="none"/>
        </w:rPr>
        <w:t>由于挂牌公司股票变现过程中可能无法找到合适的交易对手，新三板公司股票卖出价格</w:t>
      </w:r>
      <w:r>
        <w:rPr>
          <w:rFonts w:hint="eastAsia" w:asciiTheme="minorEastAsia" w:hAnsiTheme="minorEastAsia" w:eastAsiaTheme="minorEastAsia"/>
          <w:color w:val="auto"/>
          <w:szCs w:val="21"/>
          <w:highlight w:val="none"/>
          <w:lang w:val="en-US" w:eastAsia="zh-CN"/>
        </w:rPr>
        <w:t>可能</w:t>
      </w:r>
      <w:r>
        <w:rPr>
          <w:rFonts w:hint="eastAsia" w:asciiTheme="minorEastAsia" w:hAnsiTheme="minorEastAsia" w:eastAsiaTheme="minorEastAsia"/>
          <w:color w:val="auto"/>
          <w:szCs w:val="21"/>
          <w:highlight w:val="none"/>
        </w:rPr>
        <w:t>较低或无法及时卖出，导致本基金投资本金遭受较大幅度的损失，进而导致投资者面临投资本金遭受较大亏损的风险。</w:t>
      </w:r>
    </w:p>
    <w:p w14:paraId="41A48E6C">
      <w:pPr>
        <w:adjustRightInd w:val="0"/>
        <w:snapToGrid w:val="0"/>
        <w:spacing w:before="93" w:beforeLines="30" w:after="93" w:afterLines="30" w:line="360" w:lineRule="auto"/>
        <w:ind w:left="0"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2）净值波幅较大的风险。因目前新三板交易量较小，主要以协议转让和做市转让为主，且无涨跌幅限制，估值数据可能出现较大波幅。</w:t>
      </w:r>
    </w:p>
    <w:p w14:paraId="02439DB2">
      <w:pPr>
        <w:adjustRightInd w:val="0"/>
        <w:snapToGrid w:val="0"/>
        <w:spacing w:before="93" w:beforeLines="30" w:after="93" w:afterLines="30" w:line="360" w:lineRule="auto"/>
        <w:ind w:left="0"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3）</w:t>
      </w:r>
      <w:r>
        <w:rPr>
          <w:rFonts w:hint="eastAsia" w:asciiTheme="minorEastAsia" w:hAnsiTheme="minorEastAsia" w:eastAsiaTheme="minorEastAsia"/>
          <w:color w:val="auto"/>
          <w:szCs w:val="21"/>
          <w:highlight w:val="none"/>
        </w:rPr>
        <w:t>公司风险</w:t>
      </w:r>
      <w:r>
        <w:rPr>
          <w:rFonts w:hint="eastAsia" w:asciiTheme="minorEastAsia" w:hAnsiTheme="minorEastAsia" w:eastAsiaTheme="minorEastAsia"/>
          <w:b w:val="0"/>
          <w:color w:val="auto"/>
          <w:szCs w:val="21"/>
          <w:highlight w:val="none"/>
          <w:lang w:eastAsia="zh-CN"/>
        </w:rPr>
        <w:t>。</w:t>
      </w:r>
      <w:r>
        <w:rPr>
          <w:rFonts w:hint="eastAsia" w:asciiTheme="minorEastAsia" w:hAnsiTheme="minorEastAsia" w:eastAsiaTheme="minorEastAsia"/>
          <w:color w:val="auto"/>
          <w:szCs w:val="21"/>
          <w:highlight w:val="none"/>
        </w:rPr>
        <w:t>部分挂牌公司具有规模较小，对单一技术依赖度较高，受技术更新换代影响较大；对核心技术人员依赖度较高；客户集中度高，议价能力不强等特点。部分公司抗市场风险和行业风险的能力较弱，业务收入可能波动较大。</w:t>
      </w:r>
    </w:p>
    <w:p w14:paraId="75EDB3D3">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lang w:val="en-US" w:eastAsia="zh-CN"/>
        </w:rPr>
        <w:t>4）信息风险。挂牌公司信息披露要求和标准与上市公司存在差异，除挂牌公司所披露的信息外，投资者还需认真获取和研判其他信息，审慎做出投资决策。</w:t>
      </w:r>
    </w:p>
    <w:p w14:paraId="2D531D69">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val="en-US" w:eastAsia="zh-CN"/>
        </w:rPr>
      </w:pPr>
      <w:r>
        <w:rPr>
          <w:rFonts w:hint="eastAsia" w:asciiTheme="minorEastAsia" w:hAnsiTheme="minorEastAsia" w:eastAsiaTheme="minorEastAsia"/>
          <w:color w:val="auto"/>
          <w:szCs w:val="21"/>
          <w:highlight w:val="none"/>
          <w:lang w:val="en-US" w:eastAsia="zh-CN"/>
        </w:rPr>
        <w:t>5）两网公司及退市公司股票投资的风险。本基金如参与两网公司及退市公司股票投资，将面临包括但不限于宏观风险、政策风险、经营风险、技术风险、不可抗力因素风险、退市公司风险等特殊风险，可能导致本基金投资本金面临巨大损失。</w:t>
      </w:r>
    </w:p>
    <w:p w14:paraId="67DBB258">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2、基金管理人管理风险</w:t>
      </w:r>
    </w:p>
    <w:p w14:paraId="583DA81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在实际操作过程中，基金管理人可能限于知识、技术、经验等因素而影响其对相关信息、经济形势和证券价格走势的判断，其精选出的投资品种的业绩表现不一定持续优于其他投资品种。</w:t>
      </w:r>
    </w:p>
    <w:p w14:paraId="7169027B">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3、流动性风险</w:t>
      </w:r>
    </w:p>
    <w:p w14:paraId="6DB6751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在市场或个股流动性不足的情况下，基金管理人可能无法迅速、低成本地调整投资计划，从而对基金收益造成不利影响。</w:t>
      </w:r>
    </w:p>
    <w:p w14:paraId="03EF40B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在基金份额持有人提出追加或减少基金财产时，可能存在现金不足的风险和现金过多带来的收益下降风险。</w:t>
      </w:r>
    </w:p>
    <w:p w14:paraId="7F2171F7">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4、信用风险</w:t>
      </w:r>
    </w:p>
    <w:p w14:paraId="7B2DA28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本基金交易对手方发生交易违约或者基金持仓债券的发行人拒绝支付债券本息，导致基金财产损失。</w:t>
      </w:r>
    </w:p>
    <w:p w14:paraId="130F881C">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5、金融衍生品及资产管理产品投资风险（如有）</w:t>
      </w:r>
    </w:p>
    <w:p w14:paraId="5E4C85CC">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w:t>
      </w:r>
      <w:r>
        <w:rPr>
          <w:rFonts w:asciiTheme="minorEastAsia" w:hAnsiTheme="minorEastAsia" w:eastAsiaTheme="minorEastAsia"/>
          <w:b/>
          <w:bCs/>
          <w:color w:val="auto"/>
          <w:szCs w:val="21"/>
          <w:highlight w:val="none"/>
        </w:rPr>
        <w:t>期货投资风险</w:t>
      </w:r>
    </w:p>
    <w:p w14:paraId="5F24ED2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1）流动性风险</w:t>
      </w:r>
    </w:p>
    <w:p w14:paraId="24D7F66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在期货市场成交不活跃时，可能在建仓和平仓期货时面临交易价格或者交易数量上的风险。</w:t>
      </w:r>
    </w:p>
    <w:p w14:paraId="42642F2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2）基差风险</w:t>
      </w:r>
    </w:p>
    <w:p w14:paraId="2932802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基差是指现货价格与期货价格之间的差额。若产品运作中出现基差波动不确定性加大、基差向不利方向变动等情况，则可能对本基金投资产生影响。</w:t>
      </w:r>
    </w:p>
    <w:p w14:paraId="00D5035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3）合约展期风险</w:t>
      </w:r>
    </w:p>
    <w:p w14:paraId="5F2532E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期货合约主要包括期货当月和近月合约。当基金所持有的合约临近交割期限，即需要向较远月份的合约进行展期，展期过程中可能发生价差损失以及交易成本损失，将对投资收益产生影响。</w:t>
      </w:r>
    </w:p>
    <w:p w14:paraId="12D6517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4）期货保证金不足风险</w:t>
      </w:r>
    </w:p>
    <w:p w14:paraId="10415BE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由于期货价格朝不利方向变动，导致期货账户的资金低于期货交易所或者期货经纪商的最低保证金要求，如果不能及时补充保证金，期货头寸将被强行平仓，导致无法规避对冲系统性风险，直接影响本基金收益水平，从而产生风险。</w:t>
      </w:r>
    </w:p>
    <w:p w14:paraId="2FECE41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5）杠杆风险</w:t>
      </w:r>
    </w:p>
    <w:p w14:paraId="18D0CEA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期货作为金融衍生品，其投资收益与风险具有杠杆效应。若行情向不利方向剧烈变动，本基金可能承受超出保证金甚至基金资产本金的损失。</w:t>
      </w:r>
    </w:p>
    <w:p w14:paraId="2367EFE2">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（2）利率互换风险（如有）</w:t>
      </w:r>
    </w:p>
    <w:p w14:paraId="0820A57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利率互换交易的风险主要来自于两个方面，一是内部风险，二是外部风险。内部风险</w:t>
      </w:r>
      <w:r>
        <w:rPr>
          <w:rFonts w:hint="eastAsia" w:asciiTheme="minorEastAsia" w:hAnsiTheme="minorEastAsia" w:eastAsiaTheme="minorEastAsia"/>
          <w:color w:val="auto"/>
          <w:szCs w:val="21"/>
          <w:highlight w:val="none"/>
        </w:rPr>
        <w:t>主要是由于基金管理人</w:t>
      </w:r>
      <w:r>
        <w:rPr>
          <w:rFonts w:asciiTheme="minorEastAsia" w:hAnsiTheme="minorEastAsia" w:eastAsiaTheme="minorEastAsia"/>
          <w:color w:val="auto"/>
          <w:szCs w:val="21"/>
          <w:highlight w:val="none"/>
        </w:rPr>
        <w:t>对市场预测不当，导致</w:t>
      </w:r>
      <w:r>
        <w:rPr>
          <w:rFonts w:hint="eastAsia" w:asciiTheme="minorEastAsia" w:hAnsiTheme="minorEastAsia" w:eastAsiaTheme="minorEastAsia"/>
          <w:color w:val="auto"/>
          <w:szCs w:val="21"/>
          <w:highlight w:val="none"/>
        </w:rPr>
        <w:t>的投资决策</w:t>
      </w:r>
      <w:r>
        <w:rPr>
          <w:rFonts w:asciiTheme="minorEastAsia" w:hAnsiTheme="minorEastAsia" w:eastAsiaTheme="minorEastAsia"/>
          <w:color w:val="auto"/>
          <w:szCs w:val="21"/>
          <w:highlight w:val="none"/>
        </w:rPr>
        <w:t>风险</w:t>
      </w: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外部风险包括</w:t>
      </w:r>
      <w:r>
        <w:rPr>
          <w:rFonts w:hint="eastAsia" w:asciiTheme="minorEastAsia" w:hAnsiTheme="minorEastAsia" w:eastAsiaTheme="minorEastAsia"/>
          <w:color w:val="auto"/>
          <w:szCs w:val="21"/>
          <w:highlight w:val="none"/>
        </w:rPr>
        <w:t>交易对手无法履行利率互换协议，引发</w:t>
      </w:r>
      <w:r>
        <w:rPr>
          <w:rFonts w:asciiTheme="minorEastAsia" w:hAnsiTheme="minorEastAsia" w:eastAsiaTheme="minorEastAsia"/>
          <w:color w:val="auto"/>
          <w:szCs w:val="21"/>
          <w:highlight w:val="none"/>
        </w:rPr>
        <w:t>交易违约的信用风险，金融标的价格不利变动</w:t>
      </w:r>
      <w:r>
        <w:rPr>
          <w:rFonts w:hint="eastAsia" w:asciiTheme="minorEastAsia" w:hAnsiTheme="minorEastAsia" w:eastAsiaTheme="minorEastAsia"/>
          <w:color w:val="auto"/>
          <w:szCs w:val="21"/>
          <w:highlight w:val="none"/>
        </w:rPr>
        <w:t>导致</w:t>
      </w:r>
      <w:r>
        <w:rPr>
          <w:rFonts w:asciiTheme="minorEastAsia" w:hAnsiTheme="minorEastAsia" w:eastAsiaTheme="minorEastAsia"/>
          <w:color w:val="auto"/>
          <w:szCs w:val="21"/>
          <w:highlight w:val="none"/>
        </w:rPr>
        <w:t>的价格风险，市场供求失衡、交易不畅导致的流动性风险等。</w:t>
      </w:r>
    </w:p>
    <w:p w14:paraId="5CCABBB5">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（3）场外衍生品风险（如有）</w:t>
      </w:r>
    </w:p>
    <w:p w14:paraId="3DE1EBC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1）政策风险</w:t>
      </w:r>
    </w:p>
    <w:p w14:paraId="5B28871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场外衍生品（包括互换、场外期权）属于创新业务，监管部门可视业务的开展情况对相关政策和规定进行调整，引起场外衍生品（包括互换、场外期权）业务相关规定、运作方式变化或者证券市场波动，从而给投资者带来损失的风险。</w:t>
      </w:r>
    </w:p>
    <w:p w14:paraId="0F18D4E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2）市场风险</w:t>
      </w:r>
    </w:p>
    <w:p w14:paraId="066E9B5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市场风险是指由于场外衍生品（包括互换、场外期权）中挂钩标的的市场价格、市场利率、波动率或相关性等因素的变化，导致投资者收益不确定的风险。</w:t>
      </w:r>
    </w:p>
    <w:p w14:paraId="502980B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3）交易对手不能履约的风险</w:t>
      </w:r>
    </w:p>
    <w:p w14:paraId="7656F08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交易对手因停业、解散、撤销、破产，或者被有权机构撤销相关业务许可、责令停业整顿等原因不能履行场外衍生品（包括互换、场外期权）中约定的义务，可能给投资者带来损失的风险。</w:t>
      </w:r>
    </w:p>
    <w:p w14:paraId="7CADBD2C">
      <w:pPr>
        <w:adjustRightInd w:val="0"/>
        <w:snapToGrid w:val="0"/>
        <w:spacing w:before="93" w:beforeLines="30" w:after="93" w:afterLines="30" w:line="348" w:lineRule="auto"/>
        <w:ind w:firstLine="422" w:firstLineChars="200"/>
        <w:rPr>
          <w:rFonts w:asciiTheme="minorEastAsia" w:hAnsiTheme="minorEastAsia" w:eastAsiaTheme="minorEastAsia"/>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4）</w:t>
      </w:r>
      <w:r>
        <w:rPr>
          <w:rFonts w:hint="eastAsia" w:asciiTheme="minorEastAsia" w:hAnsiTheme="minorEastAsia" w:eastAsiaTheme="minorEastAsia"/>
          <w:b/>
          <w:bCs/>
          <w:color w:val="auto"/>
          <w:szCs w:val="21"/>
          <w:highlight w:val="none"/>
          <w:lang w:val="en-US" w:eastAsia="zh-CN"/>
        </w:rPr>
        <w:t>投资</w:t>
      </w:r>
      <w:r>
        <w:rPr>
          <w:rFonts w:asciiTheme="minorEastAsia" w:hAnsiTheme="minorEastAsia" w:eastAsiaTheme="minorEastAsia"/>
          <w:b/>
          <w:bCs/>
          <w:color w:val="auto"/>
          <w:szCs w:val="21"/>
          <w:highlight w:val="none"/>
        </w:rPr>
        <w:t>资产管理产品风险（如有）</w:t>
      </w:r>
    </w:p>
    <w:p w14:paraId="4D60A2E6">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部分资产将配置于金融监管部门批准或备案发行的国务院金融监督管理机构监管的机构发行的资产管理产品（包括投资于证券的私募基金、基金及基金子公司发行的资产管理计划、证券公司资产管理计划、保险资管计划、期货资管计划、商业银行理财产品、证券投资基金等），投资上述资产管理产品可能因下列特定风险因素给本计划造成不利影响，请投资者知悉。</w:t>
      </w:r>
    </w:p>
    <w:p w14:paraId="64DC8572">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1）资产管理产品管理人风险</w:t>
      </w:r>
    </w:p>
    <w:p w14:paraId="61A239D3">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资产管理产品管理人风险包括管理人经营风险和操作风险。经营风险是指因管理能力、财务状况、行业竞争、人员素质、内控等因素导致公司经营不善，极端情况下甚至破产倒闭，可能对其管理人的产品业绩造成不利影响。另外，对于约定了止损条款的资产管理产品，可能因管理人未及时操作导致产品损失扩大的风险。</w:t>
      </w:r>
    </w:p>
    <w:p w14:paraId="3EAC406C">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2）资产管理产品投资风险</w:t>
      </w:r>
    </w:p>
    <w:p w14:paraId="5A19143B">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所投资的资产管理产品可能由于其管理人对市场判断失误、买入标的市场表现不佳、风险控制失效等原因造成产品净值的下降，从而造成</w:t>
      </w:r>
      <w:r>
        <w:rPr>
          <w:rFonts w:hint="eastAsia" w:asciiTheme="minorEastAsia" w:hAnsiTheme="minorEastAsia" w:eastAsiaTheme="minorEastAsia"/>
          <w:color w:val="auto"/>
          <w:szCs w:val="21"/>
          <w:highlight w:val="none"/>
          <w:lang w:val="en-US" w:eastAsia="zh-CN"/>
        </w:rPr>
        <w:t>本基金</w:t>
      </w:r>
      <w:r>
        <w:rPr>
          <w:rFonts w:hint="eastAsia" w:asciiTheme="minorEastAsia" w:hAnsiTheme="minorEastAsia" w:eastAsiaTheme="minorEastAsia"/>
          <w:color w:val="auto"/>
          <w:szCs w:val="21"/>
          <w:highlight w:val="none"/>
        </w:rPr>
        <w:t>净值下降，最终导致</w:t>
      </w:r>
      <w:r>
        <w:rPr>
          <w:rFonts w:hint="eastAsia" w:asciiTheme="minorEastAsia" w:hAnsiTheme="minorEastAsia" w:eastAsiaTheme="minorEastAsia"/>
          <w:color w:val="auto"/>
          <w:szCs w:val="21"/>
          <w:highlight w:val="none"/>
          <w:lang w:val="en-US" w:eastAsia="zh-CN"/>
        </w:rPr>
        <w:t>本基金</w:t>
      </w:r>
      <w:r>
        <w:rPr>
          <w:rFonts w:hint="eastAsia" w:asciiTheme="minorEastAsia" w:hAnsiTheme="minorEastAsia" w:eastAsiaTheme="minorEastAsia"/>
          <w:color w:val="auto"/>
          <w:szCs w:val="21"/>
          <w:highlight w:val="none"/>
        </w:rPr>
        <w:t>投资者资产损失。</w:t>
      </w:r>
    </w:p>
    <w:p w14:paraId="4100DCC7">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3）策略模型风险</w:t>
      </w:r>
    </w:p>
    <w:p w14:paraId="76570A95">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在实际运作中，因资产管理产品的投资经理变更导致模型无法有效运作，开发的策略或模型不再有效或者在运作过程中与产品期初投资策略和投资风格发生偏离，进而影响产品投资业绩。</w:t>
      </w:r>
    </w:p>
    <w:p w14:paraId="0D405273">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4）关联交易风险</w:t>
      </w:r>
    </w:p>
    <w:p w14:paraId="66932E79">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所投资的底层私募权益类标的可能会涉及全市场股票、ETF基金、可转债等。实际底层私募投资过程中，不排除涉及关联关系公司的关联交易。</w:t>
      </w:r>
    </w:p>
    <w:p w14:paraId="07180F90">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5）赎回资产管理产品面临的流动性风险</w:t>
      </w:r>
    </w:p>
    <w:p w14:paraId="5C65476A">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因本</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投资者退出或资产配置调整需要，管理人赎回所投资的资产管理产品时，可能面临资产管理产品不在开放期，也可能面临资产管理产品触发大额赎回或巨额赎回条款，从而导致赎回资金延迟到账的风险。</w:t>
      </w:r>
    </w:p>
    <w:p w14:paraId="639DC7C3">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6）投资资产管理产品可能面临双层收费的风险</w:t>
      </w:r>
    </w:p>
    <w:p w14:paraId="1F5A0AC8">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投资者需要承担双层费用，即本</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费用及本</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所投资的资产管理产品自身需要承担费用。</w:t>
      </w:r>
      <w:r>
        <w:rPr>
          <w:rFonts w:hint="eastAsia" w:asciiTheme="minorEastAsia" w:hAnsiTheme="minorEastAsia" w:eastAsiaTheme="minorEastAsia"/>
          <w:color w:val="auto"/>
          <w:szCs w:val="21"/>
          <w:highlight w:val="none"/>
          <w:lang w:val="en-US" w:eastAsia="zh-CN"/>
        </w:rPr>
        <w:t>本基金</w:t>
      </w:r>
      <w:r>
        <w:rPr>
          <w:rFonts w:hint="eastAsia" w:asciiTheme="minorEastAsia" w:hAnsiTheme="minorEastAsia" w:eastAsiaTheme="minorEastAsia"/>
          <w:color w:val="auto"/>
          <w:szCs w:val="21"/>
          <w:highlight w:val="none"/>
        </w:rPr>
        <w:t>所投资的资产管理产品自身需要承担费用包括资产管理产品的管理费、托管费、</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服务费、业绩报酬（如有）、认购费（如有）、赎回费（如有）等，以上费用在计提时将会扣减资产管理产品的资产净值，从而造成</w:t>
      </w:r>
      <w:r>
        <w:rPr>
          <w:rFonts w:hint="eastAsia" w:asciiTheme="minorEastAsia" w:hAnsiTheme="minorEastAsia" w:eastAsiaTheme="minorEastAsia"/>
          <w:color w:val="auto"/>
          <w:szCs w:val="21"/>
          <w:highlight w:val="none"/>
          <w:lang w:val="en-US" w:eastAsia="zh-CN"/>
        </w:rPr>
        <w:t>本基金</w:t>
      </w:r>
      <w:r>
        <w:rPr>
          <w:rFonts w:hint="eastAsia" w:asciiTheme="minorEastAsia" w:hAnsiTheme="minorEastAsia" w:eastAsiaTheme="minorEastAsia"/>
          <w:color w:val="auto"/>
          <w:szCs w:val="21"/>
          <w:highlight w:val="none"/>
        </w:rPr>
        <w:t>净值下降。</w:t>
      </w:r>
    </w:p>
    <w:p w14:paraId="5D90C7C3">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7</w:t>
      </w:r>
      <w:r>
        <w:rPr>
          <w:rFonts w:hint="eastAsia" w:asciiTheme="minorEastAsia" w:hAnsiTheme="minorEastAsia" w:eastAsiaTheme="minorEastAsia"/>
          <w:color w:val="auto"/>
          <w:szCs w:val="21"/>
          <w:highlight w:val="none"/>
        </w:rPr>
        <w:t>）底层资产管理产品提取业绩报酬对</w:t>
      </w:r>
      <w:r>
        <w:rPr>
          <w:rFonts w:hint="eastAsia" w:asciiTheme="minorEastAsia" w:hAnsiTheme="minorEastAsia" w:eastAsiaTheme="minorEastAsia"/>
          <w:color w:val="auto"/>
          <w:szCs w:val="21"/>
          <w:highlight w:val="none"/>
          <w:lang w:val="en-US" w:eastAsia="zh-CN"/>
        </w:rPr>
        <w:t>本基金</w:t>
      </w:r>
      <w:r>
        <w:rPr>
          <w:rFonts w:hint="eastAsia" w:asciiTheme="minorEastAsia" w:hAnsiTheme="minorEastAsia" w:eastAsiaTheme="minorEastAsia"/>
          <w:color w:val="auto"/>
          <w:szCs w:val="21"/>
          <w:highlight w:val="none"/>
        </w:rPr>
        <w:t>净值造成下跌的风险</w:t>
      </w:r>
    </w:p>
    <w:p w14:paraId="72F3B2EF">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w:t>
      </w:r>
      <w:r>
        <w:rPr>
          <w:rFonts w:hint="eastAsia" w:asciiTheme="minorEastAsia" w:hAnsiTheme="minorEastAsia" w:eastAsiaTheme="minorEastAsia"/>
          <w:color w:val="auto"/>
          <w:szCs w:val="21"/>
          <w:highlight w:val="none"/>
          <w:lang w:val="en-US" w:eastAsia="zh-CN"/>
        </w:rPr>
        <w:t>基金如</w:t>
      </w:r>
      <w:r>
        <w:rPr>
          <w:rFonts w:hint="eastAsia" w:asciiTheme="minorEastAsia" w:hAnsiTheme="minorEastAsia" w:eastAsiaTheme="minorEastAsia"/>
          <w:color w:val="auto"/>
          <w:szCs w:val="21"/>
          <w:highlight w:val="none"/>
        </w:rPr>
        <w:t>按照资产管理产品虚拟计提业绩报酬后的单位净值进行估值，若投资的资产管理产品未能提供的，可按产品的单位净值进行估值。本</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投资多个资产管理产品，每个资产管理产品在业绩报酬计提方式、业绩报酬计提时间以及产品估值时间与本</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层面可能不一致。对于按照底层资产管理产品的单位净值进行估值的，当底层资产管理产品提取业绩报酬后造成</w:t>
      </w:r>
      <w:r>
        <w:rPr>
          <w:rFonts w:hint="eastAsia" w:asciiTheme="minorEastAsia" w:hAnsiTheme="minorEastAsia" w:eastAsiaTheme="minorEastAsia"/>
          <w:color w:val="auto"/>
          <w:szCs w:val="21"/>
          <w:highlight w:val="none"/>
          <w:lang w:val="en-US" w:eastAsia="zh-CN"/>
        </w:rPr>
        <w:t>本基金</w:t>
      </w:r>
      <w:r>
        <w:rPr>
          <w:rFonts w:hint="eastAsia" w:asciiTheme="minorEastAsia" w:hAnsiTheme="minorEastAsia" w:eastAsiaTheme="minorEastAsia"/>
          <w:color w:val="auto"/>
          <w:szCs w:val="21"/>
          <w:highlight w:val="none"/>
        </w:rPr>
        <w:t>净值下降、投资者持有</w:t>
      </w:r>
      <w:r>
        <w:rPr>
          <w:rFonts w:hint="eastAsia" w:asciiTheme="minorEastAsia" w:hAnsiTheme="minorEastAsia" w:eastAsiaTheme="minorEastAsia"/>
          <w:color w:val="auto"/>
          <w:szCs w:val="21"/>
          <w:highlight w:val="none"/>
          <w:lang w:val="en-US" w:eastAsia="zh-CN"/>
        </w:rPr>
        <w:t>本基金</w:t>
      </w:r>
      <w:r>
        <w:rPr>
          <w:rFonts w:hint="eastAsia" w:asciiTheme="minorEastAsia" w:hAnsiTheme="minorEastAsia" w:eastAsiaTheme="minorEastAsia"/>
          <w:color w:val="auto"/>
          <w:szCs w:val="21"/>
          <w:highlight w:val="none"/>
        </w:rPr>
        <w:t>份额期间收益下降的风险。</w:t>
      </w:r>
    </w:p>
    <w:p w14:paraId="06D0742B">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8</w:t>
      </w:r>
      <w:r>
        <w:rPr>
          <w:rFonts w:hint="eastAsia" w:asciiTheme="minorEastAsia" w:hAnsiTheme="minorEastAsia" w:eastAsiaTheme="minorEastAsia"/>
          <w:color w:val="auto"/>
          <w:szCs w:val="21"/>
          <w:highlight w:val="none"/>
        </w:rPr>
        <w:t>）封闭运作流动受限、预约退出安排的风险</w:t>
      </w:r>
    </w:p>
    <w:p w14:paraId="3F04736F">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定期开放申购和赎回，非开放日</w:t>
      </w:r>
      <w:r>
        <w:rPr>
          <w:rFonts w:hint="eastAsia" w:asciiTheme="minorEastAsia" w:hAnsiTheme="minorEastAsia" w:eastAsiaTheme="minorEastAsia"/>
          <w:color w:val="auto"/>
          <w:szCs w:val="21"/>
          <w:highlight w:val="none"/>
          <w:lang w:val="en-US" w:eastAsia="zh-CN"/>
        </w:rPr>
        <w:t>投资</w:t>
      </w:r>
      <w:r>
        <w:rPr>
          <w:rFonts w:hint="eastAsia" w:asciiTheme="minorEastAsia" w:hAnsiTheme="minorEastAsia" w:eastAsiaTheme="minorEastAsia"/>
          <w:color w:val="auto"/>
          <w:szCs w:val="21"/>
          <w:highlight w:val="none"/>
        </w:rPr>
        <w:t>人不能参与、退出。若</w:t>
      </w:r>
      <w:r>
        <w:rPr>
          <w:rFonts w:hint="eastAsia" w:asciiTheme="minorEastAsia" w:hAnsiTheme="minorEastAsia" w:eastAsiaTheme="minorEastAsia"/>
          <w:color w:val="auto"/>
          <w:szCs w:val="21"/>
          <w:highlight w:val="none"/>
          <w:lang w:val="en-US" w:eastAsia="zh-CN"/>
        </w:rPr>
        <w:t>投资</w:t>
      </w:r>
      <w:r>
        <w:rPr>
          <w:rFonts w:hint="eastAsia" w:asciiTheme="minorEastAsia" w:hAnsiTheme="minorEastAsia" w:eastAsiaTheme="minorEastAsia"/>
          <w:color w:val="auto"/>
          <w:szCs w:val="21"/>
          <w:highlight w:val="none"/>
        </w:rPr>
        <w:t>人未能在按照合同约定方式在该日退出，则</w:t>
      </w:r>
      <w:r>
        <w:rPr>
          <w:rFonts w:hint="eastAsia" w:asciiTheme="minorEastAsia" w:hAnsiTheme="minorEastAsia" w:eastAsiaTheme="minorEastAsia"/>
          <w:color w:val="auto"/>
          <w:szCs w:val="21"/>
          <w:highlight w:val="none"/>
          <w:lang w:val="en-US" w:eastAsia="zh-CN"/>
        </w:rPr>
        <w:t>投资</w:t>
      </w:r>
      <w:r>
        <w:rPr>
          <w:rFonts w:hint="eastAsia" w:asciiTheme="minorEastAsia" w:hAnsiTheme="minorEastAsia" w:eastAsiaTheme="minorEastAsia"/>
          <w:color w:val="auto"/>
          <w:szCs w:val="21"/>
          <w:highlight w:val="none"/>
        </w:rPr>
        <w:t>人需持有至下一个退出日。</w:t>
      </w:r>
    </w:p>
    <w:p w14:paraId="2DF4E537">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（5）场外私募性质金融产品估值方法选择不当引发的风险</w:t>
      </w:r>
    </w:p>
    <w:p w14:paraId="2547F68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投资场外私募性质金融产品时，由于私募金融产品的特性可能导致本基金在申购该产品时该产品净值中包含或有的业绩报酬（该笔业绩报酬可能因未到计提时间点、基金净值波动等因素，能否计提及具体计提金额均处于或有状态）。本基金估值时如不予考虑该笔或有业绩报酬影响，以所购买基金份额净值为估值依据，可能发生届时赎回投资者侵蚀未赎回及同期申购投资者利益情况；本基金估值时如以扣除该笔或有业绩报酬后的份额净值为估值依据，可能发生届时申购投资者侵蚀存量投资者及同期赎回投资者利益情况。基于该客观情况，由于尚无准确公允的方法解决该问题，故本基金明确界定：当本基金投资场外私募性质金融产品后，本基金采用扣除或有业绩报酬后的份额净值为估值依据。管理人作为本基金的主会计方，应及时计算所投资私募性质金融产品扣除或有业绩报酬后的基金份额净值或委托第三方机构（如所投资金融产品的托管人或私募基金服务机构）计算所投资私募性质金融产品扣除或有业绩报酬后的基金份额净值，并提供给托管人用于估值核算。如管理人及其委托的第三方机构（如有）无法提供所投资私募性质金融产品扣除或有业绩报酬后的基金份额净值或所投资私募性质金融产品本身不设置业绩报酬的，则以管理人或其委托的第三方机构提供的所投资私募性质金融产品的最新份额净值作为估值依据。如投资标的份额发生变动，则私募基金管理人或其委托的第三方机构应及时提供份额变动确认凭证。私募基金管理人或其委托的第三方机构应及时向私募基金托管人提供以上信息作为估值依据，并保证所提供的信息真实、完整、准确。</w:t>
      </w:r>
    </w:p>
    <w:p w14:paraId="3603812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投资者、管理人承诺知悉该等估值方法可能造成的影响，并愿意承担该估值方法可能给本基金运作带来的风险和影响，并愿意承担该等风险。</w:t>
      </w:r>
    </w:p>
    <w:p w14:paraId="6330C02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管理人承诺知悉托管人依据本基金合同直接认定使用该等估值方法，即托管人直接使用管理人或其委托的第三方机构提供的扣除或有业绩报酬后的基金份额净值，用于本基金估值；如管理人及其委托的第三方机构（如有）无法提供所投资私募性质金融产品扣除或有业绩报酬后的基金份额净值或所投资私募性质金融产品本身不设置业绩报酬的，托管人直接使用管理人或其委托的第三方机构提供的所投资私募性质金融产品的最新份额净值，用于本基金估值。托管人不承担估值方法公允性判断等方面责任，投资者、管理人承诺不因该等原因对托管人追究任何责任。</w:t>
      </w:r>
    </w:p>
    <w:p w14:paraId="5163FF8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后续随着行业的发展出现更加公允的估值方法或监管部门出具该方面具体的估值意见，本基金经管理人审慎评估后可变更适用。</w:t>
      </w:r>
    </w:p>
    <w:p w14:paraId="09A69B9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综上，本基金面临投资场外私募性质金融产品，但由于私募性质金融产品估值方面的特殊性导致本基金估值方面的风险。</w:t>
      </w:r>
    </w:p>
    <w:p w14:paraId="38C92365">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6、特定的投资方法及基金财产所投资的特定投资对象可能引起的特定风险</w:t>
      </w:r>
    </w:p>
    <w:p w14:paraId="77EBDB4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本基金采取的投资策略可能存在使基金收益不能达到投资目标或者本金损失的风险。</w:t>
      </w:r>
    </w:p>
    <w:p w14:paraId="694F32AA">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7、操作或技术风险</w:t>
      </w:r>
    </w:p>
    <w:p w14:paraId="5283019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相关当事人在业务各环节操作过程中，因内部控制存在缺陷或者人为因素造成操作失误或违反操作规程等引致的风险，例如，越权违规交易、会计部门欺诈、交易错误、IT系统故障等风险。</w:t>
      </w:r>
    </w:p>
    <w:p w14:paraId="7658A1B8">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在基金的各种交易行为或者后台运作中，可能因为技术系统的故障或者差错而影响交易的正常进行或者导致基金份额持有人的利益受到影响。这种技术风险可能来自基金管理公司、</w:t>
      </w:r>
      <w:r>
        <w:rPr>
          <w:rFonts w:hint="eastAsia" w:asciiTheme="minorEastAsia" w:hAnsiTheme="minorEastAsia" w:eastAsiaTheme="minorEastAsia"/>
          <w:color w:val="auto"/>
          <w:szCs w:val="21"/>
          <w:highlight w:val="none"/>
          <w:lang w:val="en-US" w:eastAsia="zh-CN"/>
        </w:rPr>
        <w:t>私募</w:t>
      </w:r>
      <w:r>
        <w:rPr>
          <w:rFonts w:hint="eastAsia" w:asciiTheme="minorEastAsia" w:hAnsiTheme="minorEastAsia" w:eastAsiaTheme="minorEastAsia"/>
          <w:color w:val="auto"/>
          <w:szCs w:val="21"/>
          <w:highlight w:val="none"/>
        </w:rPr>
        <w:t>基金服务机构、募集机构、证券交易所、证券注册登记机构等。</w:t>
      </w:r>
    </w:p>
    <w:p w14:paraId="02F9FF6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如投资私募性质的基金产品，基于私募性质产品无法从公开渠道获得估值信息的客观情况，基金管理人需及时协调所投资产品管理人取得本基金所投产品的相关净值数据（按照本合同约定：当本基金投资场外私募性质金融产品后，本基金采用扣除或有业绩报酬后的份额净值作为估值依据。管理人作为本基金的主会计方，应及时计算所投资私募性质金融产品扣除或有业绩报酬后的基金份额净值或委托第三方机构计算所投资私募性质金融产品扣除或有业绩报酬后的基金份额净值，并提供给托管人用于估值核算。如管理人及其委托的第三方机构（如有）无法提供所投资私募性质金融产品扣除或有业绩报酬后的基金份额净值或所投资私募性质金融产品本身不设置业绩报酬的，则以管理人或其委托的第三方机构提供的所投资私募性质金融产品的最新份额净值作为估值依据。上述情形下提及的“扣除或有业绩报酬后的份额净值”、“最新份额净值”，统称为“相关净值数据”），并及时提供给托管人用于本基金的估值核算。此种方式下，由于该等相关净值数据信息真实性和准确性无法进行核实，因此本基金存在由于管理人或其委托的第三方提供的相关净值数据信息不准确而导致本基金估值信息不准确，从而给投资者带来损失的风险。</w:t>
      </w:r>
    </w:p>
    <w:p w14:paraId="12E3106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如投资私募性质的基金产品，由于本基金的估值核算过程依赖于所投资私募产品的估值核算结果，而客观情况下，本基金无法于T日获得该等份额T日的估值核算结果，甚至所投资产品的估值核算频率也是低于本基金的估值核算频率，在此情况下本基金合同约定本基金所投资私募性质的产品估值以本基金管理人可获得的最近一个估值日的相关净值数据进行估值。此种方法下，本基金估值核算过程中采用的私募性质基金产品相关净值数据可能与估值核算当日该基金产品相关净值数据存在偏差，极端情况下，偏差可能很大。因此本基金亦面临着由于所投资产品估值核算信息可获得频率与本基金估值核算频率差异，导致相关风险和损失。</w:t>
      </w:r>
    </w:p>
    <w:p w14:paraId="4CFE65BF">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8、基金本身面临的风险</w:t>
      </w:r>
    </w:p>
    <w:p w14:paraId="67DEF7C0">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（1）法律及违约风险</w:t>
      </w:r>
    </w:p>
    <w:p w14:paraId="0E412046">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在本基金的运作过程中，因基金管理人、基金托管人、证券经纪机构等合作方违反国家法律规定或者相关合同约定而可能对基金财产带来风险。</w:t>
      </w:r>
    </w:p>
    <w:p w14:paraId="5ADBBFEB">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（2）购买力风险</w:t>
      </w:r>
    </w:p>
    <w:p w14:paraId="335BE9AD">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本基金的目的是基金财产的增值，如果发生通货膨胀，则投资于证券所获得的收益可能会被通货膨胀抵消，从而影响到基金财产的增值。</w:t>
      </w:r>
    </w:p>
    <w:p w14:paraId="7C5E2CBD">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（3）管理人不能承诺基金利益的风险</w:t>
      </w:r>
    </w:p>
    <w:p w14:paraId="620D72A6">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基金利益受多项因素影响，包括证券市场价格波动、投资操作水平、国家政策变化等，基金既有盈利的可能，亦存在亏损的可能。根据相关法律法规规定，管理人不对基金的投资者作出保证本金及其收益的承诺。</w:t>
      </w:r>
    </w:p>
    <w:p w14:paraId="270A2968">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（4）基金终止的风险</w:t>
      </w:r>
    </w:p>
    <w:p w14:paraId="7DF7511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如果发生本合同所规定的基金终止的情形，管理人将卖出基金财产所投资之全部品种，并终止基金，由此可能导致基金财产遭受损失。</w:t>
      </w:r>
    </w:p>
    <w:p w14:paraId="0583CF82">
      <w:pPr>
        <w:adjustRightInd w:val="0"/>
        <w:snapToGrid w:val="0"/>
        <w:spacing w:before="93" w:beforeLines="30" w:after="93" w:afterLines="30" w:line="360" w:lineRule="auto"/>
        <w:ind w:firstLine="422" w:firstLineChars="200"/>
        <w:rPr>
          <w:rFonts w:ascii="宋体" w:hAnsi="宋体" w:cstheme="minorBidi"/>
          <w:b/>
          <w:bCs/>
          <w:color w:val="auto"/>
          <w:szCs w:val="21"/>
          <w:highlight w:val="none"/>
        </w:rPr>
      </w:pPr>
      <w:r>
        <w:rPr>
          <w:rFonts w:hint="eastAsia" w:ascii="宋体" w:hAnsi="宋体" w:cstheme="minorBidi"/>
          <w:b/>
          <w:bCs/>
          <w:color w:val="auto"/>
          <w:szCs w:val="21"/>
          <w:highlight w:val="none"/>
        </w:rPr>
        <w:t>（5）基金未设预警止损线的风险</w:t>
      </w:r>
    </w:p>
    <w:p w14:paraId="62D9E572">
      <w:pPr>
        <w:adjustRightInd w:val="0"/>
        <w:snapToGrid w:val="0"/>
        <w:spacing w:before="93" w:beforeLines="30" w:after="93" w:afterLines="30" w:line="360" w:lineRule="auto"/>
        <w:ind w:firstLine="420" w:firstLineChars="200"/>
        <w:rPr>
          <w:rFonts w:ascii="宋体" w:hAnsi="宋体" w:cstheme="minorBidi"/>
          <w:color w:val="auto"/>
          <w:szCs w:val="21"/>
          <w:highlight w:val="none"/>
        </w:rPr>
      </w:pPr>
      <w:r>
        <w:rPr>
          <w:rFonts w:hint="eastAsia" w:ascii="宋体" w:hAnsi="宋体" w:cstheme="minorBidi"/>
          <w:color w:val="auto"/>
          <w:szCs w:val="21"/>
          <w:highlight w:val="none"/>
        </w:rPr>
        <w:t>本基金未设预警止损线，在极端情况下，基金投资者投入的本金有可能出现全部损失的风险。</w:t>
      </w:r>
    </w:p>
    <w:p w14:paraId="441AB19D">
      <w:pPr>
        <w:tabs>
          <w:tab w:val="left" w:pos="3402"/>
        </w:tabs>
        <w:spacing w:line="360" w:lineRule="auto"/>
        <w:ind w:firstLine="422" w:firstLineChars="200"/>
        <w:contextualSpacing/>
        <w:rPr>
          <w:rFonts w:ascii="宋体" w:hAnsi="宋体"/>
          <w:bCs/>
          <w:color w:val="auto"/>
          <w:szCs w:val="21"/>
          <w:highlight w:val="none"/>
        </w:rPr>
      </w:pPr>
      <w:r>
        <w:rPr>
          <w:rFonts w:hint="eastAsia" w:ascii="宋体" w:hAnsi="宋体"/>
          <w:b/>
          <w:color w:val="auto"/>
          <w:szCs w:val="21"/>
          <w:highlight w:val="none"/>
        </w:rPr>
        <w:t>（6）基金份额类别设置所涉风险</w:t>
      </w:r>
    </w:p>
    <w:p w14:paraId="129832A1">
      <w:pPr>
        <w:tabs>
          <w:tab w:val="left" w:pos="3402"/>
        </w:tabs>
        <w:spacing w:line="360" w:lineRule="auto"/>
        <w:ind w:firstLine="422" w:firstLineChars="200"/>
        <w:contextualSpacing/>
        <w:rPr>
          <w:rStyle w:val="9"/>
          <w:rFonts w:ascii="宋体" w:hAnsi="宋体"/>
          <w:b/>
          <w:color w:val="auto"/>
          <w:highlight w:val="none"/>
        </w:rPr>
      </w:pPr>
      <w:r>
        <w:rPr>
          <w:rStyle w:val="9"/>
          <w:rFonts w:hint="eastAsia" w:ascii="宋体" w:hAnsi="宋体"/>
          <w:b/>
          <w:color w:val="auto"/>
          <w:highlight w:val="none"/>
        </w:rPr>
        <w:t>本基金对基金份额进行分类，不同类别基金份额间的主要差异详见“基金的基本情况”章节之“基金的份额分类”，由此可能造成各类别基金份额净值不一样的情况。</w:t>
      </w:r>
    </w:p>
    <w:p w14:paraId="29584AAD">
      <w:pPr>
        <w:tabs>
          <w:tab w:val="left" w:pos="3402"/>
        </w:tabs>
        <w:adjustRightInd/>
        <w:snapToGrid/>
        <w:spacing w:before="0" w:beforeLines="-2147483648" w:after="0" w:afterLines="-2147483648" w:line="360" w:lineRule="auto"/>
        <w:ind w:firstLine="422" w:firstLineChars="200"/>
        <w:contextualSpacing/>
        <w:rPr>
          <w:rStyle w:val="9"/>
          <w:rFonts w:hint="eastAsia" w:ascii="宋体" w:hAnsi="宋体"/>
          <w:b/>
          <w:color w:val="auto"/>
          <w:highlight w:val="none"/>
        </w:rPr>
      </w:pPr>
      <w:r>
        <w:rPr>
          <w:rStyle w:val="9"/>
          <w:rFonts w:hint="eastAsia" w:ascii="宋体" w:hAnsi="宋体"/>
          <w:b/>
          <w:color w:val="auto"/>
          <w:highlight w:val="none"/>
        </w:rPr>
        <w:t>本基金的份额分类不是结构化分级，不存在一类份额为其他类份额提供风险补偿的情形。本基金成立时或运行过程中可能有并不存在某类份额的情况。投资者应当充分了解本基金份额类别的相关设置，防止因误解各类份额的性质而影响投资决策。</w:t>
      </w:r>
    </w:p>
    <w:p w14:paraId="54E99CE1">
      <w:pPr>
        <w:adjustRightInd w:val="0"/>
        <w:snapToGrid w:val="0"/>
        <w:spacing w:before="93" w:beforeLines="30" w:after="93" w:afterLines="30" w:line="360" w:lineRule="auto"/>
        <w:ind w:firstLine="422" w:firstLineChars="200"/>
        <w:rPr>
          <w:rFonts w:hint="eastAsia" w:ascii="宋体" w:hAnsi="宋体" w:cstheme="minorBidi"/>
          <w:b/>
          <w:bCs/>
          <w:color w:val="auto"/>
          <w:szCs w:val="21"/>
          <w:highlight w:val="none"/>
        </w:rPr>
      </w:pPr>
      <w:r>
        <w:rPr>
          <w:rFonts w:hint="eastAsia" w:ascii="宋体" w:hAnsi="宋体" w:cstheme="minorBidi"/>
          <w:b/>
          <w:bCs/>
          <w:color w:val="auto"/>
          <w:szCs w:val="21"/>
          <w:highlight w:val="none"/>
        </w:rPr>
        <w:t>（</w:t>
      </w:r>
      <w:r>
        <w:rPr>
          <w:rFonts w:hint="eastAsia" w:ascii="宋体" w:hAnsi="宋体" w:cstheme="minorBidi"/>
          <w:b/>
          <w:bCs/>
          <w:color w:val="auto"/>
          <w:szCs w:val="21"/>
          <w:highlight w:val="none"/>
          <w:lang w:val="en-US" w:eastAsia="zh-CN"/>
        </w:rPr>
        <w:t>7</w:t>
      </w:r>
      <w:r>
        <w:rPr>
          <w:rFonts w:hint="eastAsia" w:ascii="宋体" w:hAnsi="宋体" w:cstheme="minorBidi"/>
          <w:b/>
          <w:bCs/>
          <w:color w:val="auto"/>
          <w:szCs w:val="21"/>
          <w:highlight w:val="none"/>
        </w:rPr>
        <w:t>）巨额赎回的风险</w:t>
      </w:r>
    </w:p>
    <w:p w14:paraId="4F59D0D0">
      <w:pPr>
        <w:adjustRightInd w:val="0"/>
        <w:snapToGrid w:val="0"/>
        <w:spacing w:before="93" w:beforeLines="30" w:after="93" w:afterLines="30" w:line="360" w:lineRule="auto"/>
        <w:ind w:firstLine="420" w:firstLineChars="200"/>
        <w:rPr>
          <w:rFonts w:ascii="宋体" w:hAnsi="宋体" w:cstheme="minorBidi"/>
          <w:color w:val="auto"/>
          <w:szCs w:val="21"/>
          <w:highlight w:val="none"/>
        </w:rPr>
      </w:pPr>
      <w:r>
        <w:rPr>
          <w:rFonts w:hint="eastAsia" w:ascii="宋体" w:hAnsi="宋体" w:cstheme="minorBidi"/>
          <w:color w:val="auto"/>
          <w:szCs w:val="21"/>
          <w:highlight w:val="none"/>
        </w:rPr>
        <w:t>在单个开放日发生巨额赎回或连续2个或2个以上开放日发生巨额赎回时，基金管理人依据基金合同的约定可能采取部分顺延赎回的操作（部分顺延赎回份额的赎回资金以下一</w:t>
      </w:r>
      <w:r>
        <w:rPr>
          <w:rFonts w:hint="default" w:ascii="宋体" w:hAnsi="宋体" w:cstheme="minorBidi"/>
          <w:color w:val="auto"/>
          <w:szCs w:val="21"/>
          <w:highlight w:val="none"/>
          <w:lang w:val="en-US"/>
        </w:rPr>
        <w:t>开放</w:t>
      </w:r>
      <w:r>
        <w:rPr>
          <w:rFonts w:hint="eastAsia" w:ascii="宋体" w:hAnsi="宋体" w:cstheme="minorBidi"/>
          <w:color w:val="auto"/>
          <w:szCs w:val="21"/>
          <w:highlight w:val="none"/>
        </w:rPr>
        <w:t>日基金份额净值为基础，与申请赎回开放日基金份额净值可能存在较大差异）或暂停赎回操作或延缓支付赎回款项，赎回申请投资者因此面临不能按时足额获得赎回款项的风险或者不能进行赎回的风险。</w:t>
      </w:r>
    </w:p>
    <w:p w14:paraId="3F7C5245">
      <w:pPr>
        <w:numPr>
          <w:ilvl w:val="-1"/>
          <w:numId w:val="0"/>
        </w:numPr>
        <w:adjustRightInd w:val="0"/>
        <w:snapToGrid w:val="0"/>
        <w:spacing w:before="93" w:beforeLines="30" w:after="93" w:afterLines="30" w:line="360" w:lineRule="auto"/>
        <w:ind w:firstLine="422" w:firstLineChars="200"/>
        <w:rPr>
          <w:rFonts w:hint="default" w:ascii="宋体" w:hAnsi="宋体" w:cstheme="minorBidi"/>
          <w:color w:val="auto"/>
          <w:szCs w:val="21"/>
          <w:highlight w:val="none"/>
          <w:lang w:val="en-US" w:eastAsia="zh-CN"/>
        </w:rPr>
      </w:pPr>
      <w:r>
        <w:rPr>
          <w:rFonts w:hint="eastAsia" w:ascii="宋体" w:hAnsi="宋体" w:cstheme="minorBidi"/>
          <w:b/>
          <w:bCs/>
          <w:color w:val="auto"/>
          <w:szCs w:val="21"/>
          <w:highlight w:val="none"/>
          <w:lang w:val="en-US" w:eastAsia="zh-CN"/>
        </w:rPr>
        <w:t>（8）基金停止申购或提前清算的风险</w:t>
      </w:r>
    </w:p>
    <w:p w14:paraId="6FE8D1E7">
      <w:pPr>
        <w:numPr>
          <w:ilvl w:val="0"/>
          <w:numId w:val="0"/>
        </w:numPr>
        <w:adjustRightInd w:val="0"/>
        <w:snapToGrid w:val="0"/>
        <w:spacing w:before="93" w:beforeLines="30" w:after="93" w:afterLines="30" w:line="360" w:lineRule="auto"/>
        <w:ind w:firstLine="420" w:firstLineChars="200"/>
        <w:rPr>
          <w:rFonts w:asciiTheme="minorEastAsia" w:hAnsiTheme="minorEastAsia" w:eastAsiaTheme="minorEastAsia"/>
          <w:b/>
          <w:bCs/>
          <w:color w:val="auto"/>
          <w:szCs w:val="21"/>
          <w:highlight w:val="none"/>
        </w:rPr>
      </w:pPr>
      <w:r>
        <w:rPr>
          <w:rFonts w:hint="eastAsia" w:ascii="宋体" w:hAnsi="宋体" w:cstheme="minorBidi"/>
          <w:color w:val="auto"/>
          <w:szCs w:val="21"/>
          <w:highlight w:val="none"/>
          <w:lang w:val="en-US" w:eastAsia="zh-CN"/>
        </w:rPr>
        <w:t>根据《私募证券投资基金运作指引》的有关规定，</w:t>
      </w:r>
      <w:r>
        <w:rPr>
          <w:rFonts w:hint="default" w:ascii="宋体" w:hAnsi="宋体" w:cstheme="minorBidi"/>
          <w:color w:val="auto"/>
          <w:szCs w:val="21"/>
          <w:highlight w:val="none"/>
          <w:lang w:val="en-US" w:eastAsia="zh-CN"/>
        </w:rPr>
        <w:t>私募证券投资基金上一年度</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自2025年1月1日起，开始计算上一年度</w:t>
      </w:r>
      <w:r>
        <w:rPr>
          <w:rFonts w:hint="eastAsia" w:asciiTheme="minorEastAsia" w:hAnsiTheme="minorEastAsia" w:eastAsiaTheme="minorEastAsia"/>
          <w:color w:val="auto"/>
          <w:szCs w:val="21"/>
          <w:highlight w:val="none"/>
          <w:lang w:eastAsia="zh-CN"/>
        </w:rPr>
        <w:t>）</w:t>
      </w:r>
      <w:r>
        <w:rPr>
          <w:rFonts w:hint="default" w:ascii="宋体" w:hAnsi="宋体" w:cstheme="minorBidi"/>
          <w:color w:val="auto"/>
          <w:szCs w:val="21"/>
          <w:highlight w:val="none"/>
          <w:lang w:val="en-US" w:eastAsia="zh-CN"/>
        </w:rPr>
        <w:t>日均基金资产净值低于500万元，或者连续60个交易日出现基金资产净值低于500万元情形的，应当停止申购并在5个工作日内向投资者披露；停止申购后连续120个交易日基金资产净值仍低于500万元的，应当进入清算程序</w:t>
      </w:r>
      <w:r>
        <w:rPr>
          <w:rFonts w:hint="eastAsia" w:ascii="宋体" w:hAnsi="宋体" w:cstheme="minorBidi"/>
          <w:color w:val="auto"/>
          <w:szCs w:val="21"/>
          <w:highlight w:val="none"/>
          <w:lang w:val="en-US" w:eastAsia="zh-CN"/>
        </w:rPr>
        <w:t>。当私募证券投资基金存续期未达到要求的资产净值门槛的，可能面临停止申购或提前清算的风险。</w:t>
      </w:r>
      <w:r>
        <w:rPr>
          <w:rFonts w:hint="eastAsia" w:asciiTheme="minorEastAsia" w:hAnsiTheme="minorEastAsia" w:eastAsiaTheme="minorEastAsia"/>
          <w:b/>
          <w:bCs/>
          <w:color w:val="auto"/>
          <w:szCs w:val="21"/>
          <w:highlight w:val="none"/>
        </w:rPr>
        <w:t>9、相关机构的经营风险</w:t>
      </w:r>
    </w:p>
    <w:p w14:paraId="7842099F">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（1）基金管理人经营风险</w:t>
      </w:r>
    </w:p>
    <w:p w14:paraId="2EFE2B52">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我国金融监管法律规定，虽基金管理人相信其本身将按照相关法律的规定进行营运及管理，但无法保证其本身可以永久维持符合监管部门的金融监管法律。如在基金存续期间基金管理人无法继续经营基金业务，则可能会对基金产生不利影响。在管理人客观上丧失继续管理私募投资基金的能力且管理人未按合同约定履行义务组织清算时,应参照本合同第九章“基金份额持有人大会及日常机构”约定进行召开份额持有人大会，持有人大会应针对于安全保障基金财产、维持基金运营或清算的应急处置预案和纠纷解决机制等进行约定。</w:t>
      </w:r>
    </w:p>
    <w:p w14:paraId="46929BD1">
      <w:pPr>
        <w:adjustRightInd w:val="0"/>
        <w:snapToGrid w:val="0"/>
        <w:spacing w:before="93" w:beforeLines="30" w:after="93" w:afterLines="30" w:line="372"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（2）基金托管人经营风险</w:t>
      </w:r>
    </w:p>
    <w:p w14:paraId="3DBA0B0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我国金融监管法律规定，基金托管人须获得中国证监会核准的证券投资基金托管资格方可从事托管业务。虽基金托管人相信其本身将按照相关法律的规定进行营运及管理，但无法保证其本身可以永久维持符合监管部门的金融监管法律。如在基金存续期间基金托管人无法继续从事托管业务，则可能会对基金产生不利影响。</w:t>
      </w:r>
    </w:p>
    <w:p w14:paraId="6F103EC7">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（3）证券、期货经纪商经营风险</w:t>
      </w:r>
    </w:p>
    <w:p w14:paraId="306348D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我国金融监管法律规定，证券、期货公司须获得中国证监会核准的证券、期货经营资格方可从事证券、期货业务。虽证券、期货经纪商相信其本身将按照相关法律的规定进行营运及管理，但无法保证其本身可以永久维持符合监管部门的金融监管法律。如在基金存续期间证券、期货经纪商无法继续从事证券、期货业务，则可能会对基金产生不利影响。</w:t>
      </w:r>
    </w:p>
    <w:p w14:paraId="4185C155">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10、净值波动风险</w:t>
      </w:r>
    </w:p>
    <w:p w14:paraId="0A9FB13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按照本合同第十六章的估值方法，当本基金投资于基金管理公司及其子公司资产管理计划、证券公司及其子公司资产管理计划、信托计划、保险资产管理计划、期货公司资产管理计划、私募投资基金、商业银行理财产品，有如下情形之一时：</w:t>
      </w:r>
    </w:p>
    <w:p w14:paraId="5700AC8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（1）估值日无法及时获取上述投资品种的最新估值价格；</w:t>
      </w:r>
    </w:p>
    <w:p w14:paraId="6CF762E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（2）投资上述品种后无法及时确认，上述投资品种在投资确认前估值价格波动；</w:t>
      </w:r>
    </w:p>
    <w:p w14:paraId="383BE88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（3）估值日取得的上述投资品种的最新估值价格没有或无法排除影响估值价格的因素（例如在估值日无法排除业绩报酬对估值价格的影响）；</w:t>
      </w:r>
    </w:p>
    <w:p w14:paraId="3C0853F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（4）按照预期收益率反应的估值价格与实际兑付的收益产生差异；</w:t>
      </w:r>
    </w:p>
    <w:p w14:paraId="542328D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可能导致本基金的净值波动风险。</w:t>
      </w:r>
    </w:p>
    <w:p w14:paraId="5345D220">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11、债券正回购风险（如有）</w:t>
      </w:r>
    </w:p>
    <w:p w14:paraId="7191887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本基金如参与债券正回购交易，主要风险包括信用风险及杠杆风险，其中，信用风险指回购交易中交易对手在回购到期时，不能偿还全部或部分证券或价款，造成本基金损失的风险；而杠杆风险是指债券正回购业务在对投资组合收益进行放大的同时，也对投资组合的波动性（标准差）进行了放大，即投资组合的风险将会加大，且回购比例越高，风险暴露程度也就越高，对本基金净值造成损失的风险也就越大。</w:t>
      </w:r>
    </w:p>
    <w:p w14:paraId="2C1458ED">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12、融资融券交易风险（如有）</w:t>
      </w:r>
    </w:p>
    <w:p w14:paraId="5C3B3E61">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1）可能放大投资损失的风险</w:t>
      </w:r>
    </w:p>
    <w:p w14:paraId="2CFA822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融资融券业务具有杠杆效应，它在放大投资收益的同时也必然放大投资风险。将股票作为担保品进行融资融券交易时，既需要承担原有的股票价格下跌带来的风险，又得承担融资买入或融券卖出股票带来的风险，同时还须支付相应的利息和费用，由此承担的风险可能远远超过普通证券交易。</w:t>
      </w:r>
    </w:p>
    <w:p w14:paraId="3BF91541">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asciiTheme="minorEastAsia" w:hAnsiTheme="minorEastAsia" w:eastAsiaTheme="minorEastAsia"/>
          <w:b/>
          <w:bCs/>
          <w:color w:val="auto"/>
          <w:szCs w:val="21"/>
          <w:highlight w:val="none"/>
        </w:rPr>
        <w:t>（2）特有的卖空风险</w:t>
      </w:r>
    </w:p>
    <w:p w14:paraId="008D6B0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融资融券交易中的融券交易存在着与普通证券截然不同的风险——卖空风险。普通证券投资发生的损失是有限的，最多不会超过本基金投入的全部本金，但是融券交易的负债在理论上可以无限扩大，因为证券上涨的幅度是没有上限的，而证券涨得越多，融券负债的规模就越大。</w:t>
      </w:r>
    </w:p>
    <w:p w14:paraId="700488BC">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asciiTheme="minorEastAsia" w:hAnsiTheme="minorEastAsia" w:eastAsiaTheme="minorEastAsia"/>
          <w:b/>
          <w:bCs/>
          <w:color w:val="auto"/>
          <w:szCs w:val="21"/>
          <w:highlight w:val="none"/>
        </w:rPr>
        <w:t>（3）利率变动带来的成本加大风险</w:t>
      </w:r>
    </w:p>
    <w:p w14:paraId="10F4324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如果在从事融资融券交易期间，中国人民银行规定的同期贷款基准利率调高，证券公司将相应调高融资利率或融券费率，投资成本也因为利率的上调而增加，将面临融资融券成本增加的风险。</w:t>
      </w:r>
    </w:p>
    <w:p w14:paraId="652DFCBA">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4）通知送达风险</w:t>
      </w:r>
    </w:p>
    <w:p w14:paraId="4593EFE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融资融券交易过程中，相关信息的通知送达至关重要。《融资融券合同》中通常会约定通知送达的具体方式、内容和要求。当证券公司按照《融资融券合同》要求履行了通知义务后即视为送达，则若未能关注到通知内容并采取相应措施，就可能因此承担不利后果。</w:t>
      </w:r>
    </w:p>
    <w:p w14:paraId="6CF4B126">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5）强制平仓风险</w:t>
      </w:r>
    </w:p>
    <w:p w14:paraId="2C045BC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融资融券交易中，本基金与证券公司间除了普通交易的委托买卖关系外，还存在着较为复杂的债权债务关系，以及由于债权债务产生的信托关系和担保关系。证券公司为保护自身债权，对本基金信用账户的资产负债情况实时监控，在一定条件下可以对本基金担保资产执行强制平仓。</w:t>
      </w:r>
    </w:p>
    <w:p w14:paraId="70160827">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6）提前了结债务的风险</w:t>
      </w:r>
    </w:p>
    <w:p w14:paraId="4EF5C3E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融资融券交易中，证券公司可能在融资融券合同中与本基金约定提前了结融资融券债务的条款，本基金在从事融资融券交易期间，如果发生融资融券标的证券范围调整、标的证券暂停交易或终止上市等情况，根据本基金与证券公司签订的合同条款，本基金将可能面临被证券公司提前了结融资融券交易的风险，并可能由此给本基金造成损失。</w:t>
      </w:r>
    </w:p>
    <w:p w14:paraId="1B48E130">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w:t>
      </w:r>
      <w:r>
        <w:rPr>
          <w:rFonts w:asciiTheme="minorEastAsia" w:hAnsiTheme="minorEastAsia" w:eastAsiaTheme="minorEastAsia"/>
          <w:b/>
          <w:bCs/>
          <w:color w:val="auto"/>
          <w:szCs w:val="21"/>
          <w:highlight w:val="none"/>
        </w:rPr>
        <w:t>7）监管风险</w:t>
      </w:r>
    </w:p>
    <w:p w14:paraId="0E9384A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融资融券交易出现异常或市场出现系统性风险时，监管部门、证券交易所和证券公司都将可能对融资融券交易采取相应措施，例如提高可充抵保证金证券的折算率、融资或融券保证金比例、维持担保比例和强制平仓的条件等，以维护市场平稳运行。这些措施将可能给本金带来杠杆效应降低、甚至提前进入追加担保物或强制平仓状态等潜在损失。</w:t>
      </w:r>
    </w:p>
    <w:p w14:paraId="589357B4">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13、转融通投资风险（如有）</w:t>
      </w:r>
    </w:p>
    <w:p w14:paraId="7CBC4F0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（1）证券出借后，存在无法在合约到期前提前收回出借证券，从而影响本基金财产的使用的风险；</w:t>
      </w:r>
    </w:p>
    <w:p w14:paraId="74FD06F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（2）证券出借期间，如果发生标的证券暂停交易或者终止上市等情况，本基金可能面临合约提前了结或者延迟了结等风险；</w:t>
      </w:r>
    </w:p>
    <w:p w14:paraId="0185128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（3）本基金出借的证券，可能存在到期不能归还、相应权益补偿和借券费用不能支付等风险。</w:t>
      </w:r>
    </w:p>
    <w:p w14:paraId="63549AC3">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14、港股通交易风险（如有）</w:t>
      </w:r>
    </w:p>
    <w:p w14:paraId="05134B6C">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（1）投资范围限制与调整风险</w:t>
      </w:r>
    </w:p>
    <w:p w14:paraId="3D51B5D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通过港股通买卖的股票存在一定的范围限制，且港股通股票名单会动态调整。投资者应当关注最新的港股通股票名单。对于被调出的港股通股票，自调整之日起，投资者将不得再行买入。</w:t>
      </w:r>
    </w:p>
    <w:p w14:paraId="2858C398">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（2）投资额度限制风险</w:t>
      </w:r>
    </w:p>
    <w:p w14:paraId="5F112B5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港股通业务试点期间存在每日额度。在香港联合交易所有限公司（以下简称“联交所”）开市前阶段，当日额度使用完毕的，新增的买单申报将面临失败的风险；在联交所持续交易时段，当日额度使用完毕的，当日投资者将面临不能通过港股通进行买入交易的风险。</w:t>
      </w:r>
    </w:p>
    <w:p w14:paraId="258D88F6">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（3）投资交易日风险</w:t>
      </w:r>
    </w:p>
    <w:p w14:paraId="7CA6C56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只有沪港（深港）两地均为交易日且能够满足结算安排的交易日才为港股通交易日，具体以上海（深圳）证券交易所在其指定网站公布的日期为准。圣诞前夕（12月24日）、元旦前夕（12月31日）或除夕日为港股通交易日的，港股通仅有半天交易，且当日为非交收日。</w:t>
      </w:r>
    </w:p>
    <w:p w14:paraId="34456DF9">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（4）停市风险</w:t>
      </w:r>
    </w:p>
    <w:p w14:paraId="2D3B60F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香港出现台风、黑色暴雨或者联交所规定的其他情形时，联交所将可能停市，投资者将面临在停市期间无法进行港股通交易的风险；出现上海（深圳）证券交易所认定的交易异常情况时，上海（深圳）证券交易所将可能暂停提供部分或者全部港股通服务，投资者将面临在暂停服务期间无法进行港股通交易的风险。</w:t>
      </w:r>
    </w:p>
    <w:p w14:paraId="62638377">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（5）汇率风险</w:t>
      </w:r>
    </w:p>
    <w:p w14:paraId="40257B2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投资者在交易时间内提交订单依据的港币买入参考汇率和卖出参考汇率，并不等于最终结算汇率。港股通交易日日终，中国证券登记结算有限责任公司（以下简称“中国结算”）进行净额换汇，将换汇成本按成交金额分摊至每笔交易，确定交易实际适用的结算汇率。</w:t>
      </w:r>
    </w:p>
    <w:p w14:paraId="0521D29C">
      <w:pPr>
        <w:adjustRightInd w:val="0"/>
        <w:snapToGrid w:val="0"/>
        <w:spacing w:before="93" w:beforeLines="30" w:after="93" w:afterLines="30" w:line="360"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（6）交易与结算规则风险</w:t>
      </w:r>
    </w:p>
    <w:p w14:paraId="053A9D78">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港股通股票不设置涨跌幅限制，投资者应当关注因此可能产生的风险；与内地证券市场相比，联交所在订单申报的最小交易价差、每手股数、申报最大限制等方面存在一定的差异，投资者应当关注因此可能产生的风险；通过港股通业务获得的香港证券市场免费一档行情，与付费方式获得的行情相比，在刷新频率、档位显示等方面存在差异，投资者应当关注依此进行投资决策的风险；香港证券市场与内地证券市场在证券资金的交收期安排上存在差异，港股通交易的交收期为T+2日。若投资者卖出证券，在交收完成前仍享有该证券的权益。若投资者买入证券，在交收完成后才享有该证券的权益，港股通交易的交收可能因香港出现台风或黑色暴雨等发生延迟交收；对于在联交所上市公司派发的现金红利，由于中国结算需要在收到香港中央结算有限公司（以下简称“香港结算”）派发的外币红利资金后进行换汇、清算、发放等业务处理，投资者通过港股通业务获得的现金红利将会较香港市场有所延后。对于在联交所上市公司派发的红股，中国结算在收到香港结算派发红股到账当日或次日进行业务处理，相应红股可于处理日下一港股通交易日上市交易。投资者红股可卖首日均较香港市场晚一个港股通交易日；由于香港市场的费用收取或汇率的大幅波动等原因，可能会引起投资者账户的透支，投资者应当对账户内的余额进行关注。</w:t>
      </w:r>
    </w:p>
    <w:p w14:paraId="68565DB3">
      <w:pPr>
        <w:adjustRightInd w:val="0"/>
        <w:snapToGrid w:val="0"/>
        <w:spacing w:before="93" w:beforeLines="30" w:after="93" w:afterLines="30" w:line="348"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（7）技术系统风险</w:t>
      </w:r>
    </w:p>
    <w:p w14:paraId="70CB87D3">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港股通交易中若联交所与上海（深圳）证券交易所之间的报盘系统或者通信链路出现故障，可能导致15分钟以上不能申报和撤销申报，投资者应当关注因此可能产生的风险。</w:t>
      </w:r>
    </w:p>
    <w:p w14:paraId="01B867B3">
      <w:pPr>
        <w:adjustRightInd w:val="0"/>
        <w:snapToGrid w:val="0"/>
        <w:spacing w:before="93" w:beforeLines="30" w:after="93" w:afterLines="30" w:line="348"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（8）费用与税收风险</w:t>
      </w:r>
    </w:p>
    <w:p w14:paraId="3EF6FE5D">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香港市场收费标准与内地市场收费标准不同，香港地区与内地在税收安排方面也存在差异，投资者买卖港股通股票，应当按照香港市场有关规定交纳相关费用，并按照香港地区相关规定缴纳税款。</w:t>
      </w:r>
    </w:p>
    <w:p w14:paraId="08FDBE48">
      <w:pPr>
        <w:adjustRightInd w:val="0"/>
        <w:snapToGrid w:val="0"/>
        <w:spacing w:before="93" w:beforeLines="30" w:after="93" w:afterLines="30" w:line="348" w:lineRule="auto"/>
        <w:ind w:firstLine="422"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15、证券公司收益凭证风险（如有）</w:t>
      </w:r>
    </w:p>
    <w:p w14:paraId="4ED1E9D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（1）市场风险。收益凭证本金和收益的偿付挂钩特定标的，包括但不限于股权、债权、信用、基金、利率、汇率、指数、期货及基础商品。若挂钩的特定标的出现亏损，将可能导致本基金财产出现损失的风险。</w:t>
      </w:r>
    </w:p>
    <w:p w14:paraId="40EC6F90">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kern w:val="0"/>
          <w:szCs w:val="21"/>
          <w:highlight w:val="none"/>
        </w:rPr>
        <w:t>（2）信用风险。收益凭证产品以证券公司的信用发行。在收益凭证存续期间，证券公司可能发生解散、破产、无力清偿到期债务、资产被查封、冻结或强制执行等情形，导致本基金财产面临损失的风险。</w:t>
      </w:r>
    </w:p>
    <w:p w14:paraId="21B7E38B">
      <w:pPr>
        <w:adjustRightInd w:val="0"/>
        <w:snapToGrid w:val="0"/>
        <w:spacing w:before="93" w:beforeLines="30" w:after="93" w:afterLines="30" w:line="372"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1</w:t>
      </w:r>
      <w:r>
        <w:rPr>
          <w:rFonts w:hint="eastAsia" w:cs="宋体" w:asciiTheme="minorEastAsia" w:hAnsiTheme="minorEastAsia" w:eastAsiaTheme="minorEastAsia"/>
          <w:b/>
          <w:bCs/>
          <w:color w:val="auto"/>
          <w:szCs w:val="21"/>
          <w:highlight w:val="none"/>
          <w:lang w:val="en-US" w:eastAsia="zh-CN"/>
        </w:rPr>
        <w:t>6</w:t>
      </w:r>
      <w:r>
        <w:rPr>
          <w:rFonts w:hint="eastAsia" w:cs="宋体" w:asciiTheme="minorEastAsia" w:hAnsiTheme="minorEastAsia" w:eastAsiaTheme="minorEastAsia"/>
          <w:b/>
          <w:bCs/>
          <w:color w:val="auto"/>
          <w:szCs w:val="21"/>
          <w:highlight w:val="none"/>
        </w:rPr>
        <w:t>、</w:t>
      </w:r>
      <w:r>
        <w:rPr>
          <w:rFonts w:hint="eastAsia" w:cs="宋体" w:asciiTheme="minorEastAsia" w:hAnsiTheme="minorEastAsia" w:eastAsiaTheme="minorEastAsia"/>
          <w:b/>
          <w:bCs/>
          <w:color w:val="auto"/>
          <w:szCs w:val="21"/>
          <w:highlight w:val="none"/>
          <w:lang w:val="en-US" w:eastAsia="zh-CN"/>
        </w:rPr>
        <w:t>分红</w:t>
      </w:r>
      <w:r>
        <w:rPr>
          <w:rFonts w:hint="eastAsia" w:cs="宋体" w:asciiTheme="minorEastAsia" w:hAnsiTheme="minorEastAsia" w:eastAsiaTheme="minorEastAsia"/>
          <w:b/>
          <w:bCs/>
          <w:color w:val="auto"/>
          <w:szCs w:val="21"/>
          <w:highlight w:val="none"/>
        </w:rPr>
        <w:t>日无法兑现财产分配的不确定风险</w:t>
      </w:r>
    </w:p>
    <w:p w14:paraId="3E359544">
      <w:pPr>
        <w:adjustRightInd w:val="0"/>
        <w:snapToGrid w:val="0"/>
        <w:spacing w:before="93" w:beforeLines="30" w:after="93" w:afterLines="30" w:line="372"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本基金依据基金合同约定进行</w:t>
      </w:r>
      <w:r>
        <w:rPr>
          <w:rFonts w:hint="eastAsia" w:cs="宋体" w:asciiTheme="minorEastAsia" w:hAnsiTheme="minorEastAsia" w:eastAsiaTheme="minorEastAsia"/>
          <w:b/>
          <w:bCs/>
          <w:color w:val="auto"/>
          <w:szCs w:val="21"/>
          <w:highlight w:val="none"/>
          <w:lang w:val="en-US" w:eastAsia="zh-CN"/>
        </w:rPr>
        <w:t>收益分配</w:t>
      </w:r>
      <w:r>
        <w:rPr>
          <w:rFonts w:hint="eastAsia" w:cs="宋体" w:asciiTheme="minorEastAsia" w:hAnsiTheme="minorEastAsia" w:eastAsiaTheme="minorEastAsia"/>
          <w:b/>
          <w:bCs/>
          <w:color w:val="auto"/>
          <w:szCs w:val="21"/>
          <w:highlight w:val="none"/>
        </w:rPr>
        <w:t>，由于本基金在实际对基金份额持有人进行</w:t>
      </w:r>
      <w:r>
        <w:rPr>
          <w:rFonts w:hint="eastAsia" w:cs="宋体" w:asciiTheme="minorEastAsia" w:hAnsiTheme="minorEastAsia" w:eastAsiaTheme="minorEastAsia"/>
          <w:b/>
          <w:bCs/>
          <w:color w:val="auto"/>
          <w:szCs w:val="21"/>
          <w:highlight w:val="none"/>
          <w:lang w:val="en-US" w:eastAsia="zh-CN"/>
        </w:rPr>
        <w:t>收益</w:t>
      </w:r>
      <w:r>
        <w:rPr>
          <w:rFonts w:hint="eastAsia" w:cs="宋体" w:asciiTheme="minorEastAsia" w:hAnsiTheme="minorEastAsia" w:eastAsiaTheme="minorEastAsia"/>
          <w:b/>
          <w:bCs/>
          <w:color w:val="auto"/>
          <w:szCs w:val="21"/>
          <w:highlight w:val="none"/>
        </w:rPr>
        <w:t>分配前会依据基金合同的约定计提业绩报酬，计提方法为：（1）对自基金投资者认购或申购本基金份额申请日（首次计提时，如为启用日前参与份额，则为启用日）开始至</w:t>
      </w:r>
      <w:r>
        <w:rPr>
          <w:rFonts w:hint="eastAsia" w:cs="宋体" w:asciiTheme="minorEastAsia" w:hAnsiTheme="minorEastAsia" w:eastAsiaTheme="minorEastAsia"/>
          <w:b/>
          <w:bCs/>
          <w:color w:val="auto"/>
          <w:szCs w:val="21"/>
          <w:highlight w:val="none"/>
          <w:lang w:val="en-US" w:eastAsia="zh-CN"/>
        </w:rPr>
        <w:t>分红</w:t>
      </w:r>
      <w:r>
        <w:rPr>
          <w:rFonts w:hint="eastAsia" w:cs="宋体" w:asciiTheme="minorEastAsia" w:hAnsiTheme="minorEastAsia" w:eastAsiaTheme="minorEastAsia"/>
          <w:b/>
          <w:bCs/>
          <w:color w:val="auto"/>
          <w:szCs w:val="21"/>
          <w:highlight w:val="none"/>
        </w:rPr>
        <w:t>日（适用首次计提业绩报酬情况）；（2）最近一个业绩报酬计提日至</w:t>
      </w:r>
      <w:r>
        <w:rPr>
          <w:rFonts w:hint="eastAsia" w:cs="宋体" w:asciiTheme="minorEastAsia" w:hAnsiTheme="minorEastAsia" w:eastAsiaTheme="minorEastAsia"/>
          <w:b/>
          <w:bCs/>
          <w:color w:val="auto"/>
          <w:szCs w:val="21"/>
          <w:highlight w:val="none"/>
          <w:lang w:val="en-US" w:eastAsia="zh-CN"/>
        </w:rPr>
        <w:t>分红</w:t>
      </w:r>
      <w:r>
        <w:rPr>
          <w:rFonts w:hint="eastAsia" w:cs="宋体" w:asciiTheme="minorEastAsia" w:hAnsiTheme="minorEastAsia" w:eastAsiaTheme="minorEastAsia"/>
          <w:b/>
          <w:bCs/>
          <w:color w:val="auto"/>
          <w:szCs w:val="21"/>
          <w:highlight w:val="none"/>
        </w:rPr>
        <w:t>日（适用已发生过业绩报酬计提情况），对应的基金份额相对于基准指数的年化增值部分按照既定比例计提业绩报酬，并在每一基金投资者拟</w:t>
      </w:r>
      <w:r>
        <w:rPr>
          <w:rFonts w:hint="eastAsia" w:cs="宋体" w:asciiTheme="minorEastAsia" w:hAnsiTheme="minorEastAsia" w:eastAsiaTheme="minorEastAsia"/>
          <w:b/>
          <w:bCs/>
          <w:color w:val="auto"/>
          <w:szCs w:val="21"/>
          <w:highlight w:val="none"/>
          <w:lang w:val="en-US" w:eastAsia="zh-CN"/>
        </w:rPr>
        <w:t>分红</w:t>
      </w:r>
      <w:r>
        <w:rPr>
          <w:rFonts w:hint="eastAsia" w:cs="宋体" w:asciiTheme="minorEastAsia" w:hAnsiTheme="minorEastAsia" w:eastAsiaTheme="minorEastAsia"/>
          <w:b/>
          <w:bCs/>
          <w:color w:val="auto"/>
          <w:szCs w:val="21"/>
          <w:highlight w:val="none"/>
        </w:rPr>
        <w:t>金额中予以扣除，不足部分不再弥补。该等情况下可能存在拟</w:t>
      </w:r>
      <w:r>
        <w:rPr>
          <w:rFonts w:hint="eastAsia" w:cs="宋体" w:asciiTheme="minorEastAsia" w:hAnsiTheme="minorEastAsia" w:eastAsiaTheme="minorEastAsia"/>
          <w:b/>
          <w:bCs/>
          <w:color w:val="auto"/>
          <w:szCs w:val="21"/>
          <w:highlight w:val="none"/>
          <w:lang w:val="en-US" w:eastAsia="zh-CN"/>
        </w:rPr>
        <w:t>分红</w:t>
      </w:r>
      <w:r>
        <w:rPr>
          <w:rFonts w:hint="eastAsia" w:cs="宋体" w:asciiTheme="minorEastAsia" w:hAnsiTheme="minorEastAsia" w:eastAsiaTheme="minorEastAsia"/>
          <w:b/>
          <w:bCs/>
          <w:color w:val="auto"/>
          <w:szCs w:val="21"/>
          <w:highlight w:val="none"/>
        </w:rPr>
        <w:t>金额小于业绩报酬计提金额，拟</w:t>
      </w:r>
      <w:r>
        <w:rPr>
          <w:rFonts w:hint="eastAsia" w:cs="宋体" w:asciiTheme="minorEastAsia" w:hAnsiTheme="minorEastAsia" w:eastAsiaTheme="minorEastAsia"/>
          <w:b/>
          <w:bCs/>
          <w:color w:val="auto"/>
          <w:szCs w:val="21"/>
          <w:highlight w:val="none"/>
          <w:lang w:val="en-US" w:eastAsia="zh-CN"/>
        </w:rPr>
        <w:t>分红</w:t>
      </w:r>
      <w:r>
        <w:rPr>
          <w:rFonts w:hint="eastAsia" w:cs="宋体" w:asciiTheme="minorEastAsia" w:hAnsiTheme="minorEastAsia" w:eastAsiaTheme="minorEastAsia"/>
          <w:b/>
          <w:bCs/>
          <w:color w:val="auto"/>
          <w:szCs w:val="21"/>
          <w:highlight w:val="none"/>
        </w:rPr>
        <w:t>金额全部作为业绩报酬支付给私募基金管理人，即基金虽发生</w:t>
      </w:r>
      <w:r>
        <w:rPr>
          <w:rFonts w:hint="eastAsia" w:cs="宋体" w:asciiTheme="minorEastAsia" w:hAnsiTheme="minorEastAsia" w:eastAsiaTheme="minorEastAsia"/>
          <w:b/>
          <w:bCs/>
          <w:color w:val="auto"/>
          <w:szCs w:val="21"/>
          <w:highlight w:val="none"/>
          <w:lang w:val="en-US" w:eastAsia="zh-CN"/>
        </w:rPr>
        <w:t>分红</w:t>
      </w:r>
      <w:r>
        <w:rPr>
          <w:rFonts w:hint="eastAsia" w:cs="宋体" w:asciiTheme="minorEastAsia" w:hAnsiTheme="minorEastAsia" w:eastAsiaTheme="minorEastAsia"/>
          <w:b/>
          <w:bCs/>
          <w:color w:val="auto"/>
          <w:szCs w:val="21"/>
          <w:highlight w:val="none"/>
        </w:rPr>
        <w:t>行为但基金投资者可能不能获得实际的现金，仅提升了本基金业绩报酬计提对应的基金份额水位线标准。</w:t>
      </w:r>
    </w:p>
    <w:p w14:paraId="0A3B82A7">
      <w:pPr>
        <w:adjustRightInd w:val="0"/>
        <w:snapToGrid w:val="0"/>
        <w:spacing w:before="93" w:beforeLines="30" w:after="93" w:afterLines="30" w:line="372"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1</w:t>
      </w:r>
      <w:r>
        <w:rPr>
          <w:rFonts w:hint="eastAsia" w:cs="宋体" w:asciiTheme="minorEastAsia" w:hAnsiTheme="minorEastAsia" w:eastAsiaTheme="minorEastAsia"/>
          <w:b/>
          <w:bCs/>
          <w:color w:val="auto"/>
          <w:szCs w:val="21"/>
          <w:highlight w:val="none"/>
          <w:lang w:val="en-US" w:eastAsia="zh-CN"/>
        </w:rPr>
        <w:t>7</w:t>
      </w:r>
      <w:r>
        <w:rPr>
          <w:rFonts w:hint="eastAsia" w:cs="宋体" w:asciiTheme="minorEastAsia" w:hAnsiTheme="minorEastAsia" w:eastAsiaTheme="minorEastAsia"/>
          <w:b/>
          <w:bCs/>
          <w:color w:val="auto"/>
          <w:szCs w:val="21"/>
          <w:highlight w:val="none"/>
        </w:rPr>
        <w:t>、业绩报酬安排可能引起的风险</w:t>
      </w:r>
    </w:p>
    <w:p w14:paraId="69E4A8C8">
      <w:pPr>
        <w:adjustRightInd w:val="0"/>
        <w:snapToGrid w:val="0"/>
        <w:spacing w:before="93" w:beforeLines="30" w:after="93" w:afterLines="30" w:line="372"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本基金业绩报酬的计提方式详见“私募基金的费用与税收”章节中关于业绩报酬的表述，其中：</w:t>
      </w:r>
    </w:p>
    <w:p w14:paraId="6F9768FE">
      <w:pPr>
        <w:adjustRightInd w:val="0"/>
        <w:snapToGrid w:val="0"/>
        <w:spacing w:before="93" w:beforeLines="30" w:after="93" w:afterLines="30" w:line="372"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1）在业绩报酬计提的时点，基金份额持有人持有的因合同约定（例如（如有）：该笔份额处于封闭期、基金份额最短持有期限内、非赎回开放日的分红权益登记日等）而无法赎回的份额，仍将按照合同约定的方式计提业绩报酬。</w:t>
      </w:r>
    </w:p>
    <w:p w14:paraId="1F53EA36">
      <w:pPr>
        <w:adjustRightInd w:val="0"/>
        <w:snapToGrid w:val="0"/>
        <w:spacing w:before="93" w:beforeLines="30" w:after="93" w:afterLines="30" w:line="372"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2）本基金仅在合同约定的时点计提业绩报酬，即本基金按照相关要求披露的基金份额净值时，该份额净值可能尚未扣除或有业绩报酬；本基金投资者在赎回或本基金清算时，基金投资者获得的金额是扣除业绩报酬（如有）之后的金额。</w:t>
      </w:r>
    </w:p>
    <w:p w14:paraId="505DAECA">
      <w:pPr>
        <w:adjustRightInd w:val="0"/>
        <w:snapToGrid w:val="0"/>
        <w:spacing w:before="93" w:beforeLines="30" w:after="93" w:afterLines="30" w:line="372"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（3）根据指数相对收益计提业绩报酬的风险</w:t>
      </w:r>
    </w:p>
    <w:p w14:paraId="326E2BE9">
      <w:pPr>
        <w:adjustRightInd w:val="0"/>
        <w:snapToGrid w:val="0"/>
        <w:spacing w:before="93" w:beforeLines="30" w:after="93" w:afterLines="30" w:line="372"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本基金根据指数相对收益计提业绩报酬，即在业绩报酬计提基准日（基金份额持有人赎回申请日、本基金清算日、</w:t>
      </w:r>
      <w:r>
        <w:rPr>
          <w:rFonts w:hint="eastAsia" w:cs="宋体" w:asciiTheme="minorEastAsia" w:hAnsiTheme="minorEastAsia" w:eastAsiaTheme="minorEastAsia"/>
          <w:b/>
          <w:bCs/>
          <w:color w:val="auto"/>
          <w:szCs w:val="21"/>
          <w:highlight w:val="none"/>
          <w:lang w:val="en-US" w:eastAsia="zh-CN"/>
        </w:rPr>
        <w:t>分红</w:t>
      </w:r>
      <w:r>
        <w:rPr>
          <w:rFonts w:hint="eastAsia" w:cs="宋体" w:asciiTheme="minorEastAsia" w:hAnsiTheme="minorEastAsia" w:eastAsiaTheme="minorEastAsia"/>
          <w:b/>
          <w:bCs/>
          <w:color w:val="auto"/>
          <w:szCs w:val="21"/>
          <w:highlight w:val="none"/>
        </w:rPr>
        <w:t>权益登记日），当且仅当单个基金份额持有人单笔投资收益r大于0%，并且单个基金份额持有人单笔投资相对于同期中证500指数（基准指数代码：【000905】）的超额年化收益率Re大于0%时（Re =同期基金份额年化收益率–同期中证500指数年化收益率（收盘价计），管理人可按照超额年化收益率Re的20%计提业绩报酬，实际提取值以期间单笔份额对应的盈利部分为限。</w:t>
      </w:r>
    </w:p>
    <w:p w14:paraId="435A974B">
      <w:pPr>
        <w:adjustRightInd w:val="0"/>
        <w:snapToGrid w:val="0"/>
        <w:spacing w:before="93" w:beforeLines="30" w:after="93" w:afterLines="30" w:line="372"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该等情况下可能存在以中证500指数的超额收益作为业绩报酬计提基准，本基金存在净值下跌或亏损仍计提业绩报酬的可能，可能存在本基金份额被计提业绩报酬后无收益甚至亏损，导致基金份额净值进一步走低的风险。请投资人知晓该风险。</w:t>
      </w:r>
    </w:p>
    <w:p w14:paraId="78DE840D">
      <w:pPr>
        <w:adjustRightInd w:val="0"/>
        <w:snapToGrid w:val="0"/>
        <w:spacing w:before="93" w:beforeLines="30" w:after="93" w:afterLines="30" w:line="372"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4）业绩报酬首次计提时，如为启用日前（含启用日）参与份额，则首次业绩报酬计提从启用日起算，本基金存在启用日的份额累计净值低于份额参与日的份额累计净值的可能，从而使业绩报酬计算相较于份额参与日起算存在业绩报酬金额更高的风险。请投资人知晓该风险。</w:t>
      </w:r>
    </w:p>
    <w:p w14:paraId="44885487">
      <w:pPr>
        <w:adjustRightInd w:val="0"/>
        <w:snapToGrid w:val="0"/>
        <w:spacing w:before="93" w:beforeLines="30" w:after="93" w:afterLines="30" w:line="348" w:lineRule="auto"/>
        <w:ind w:firstLine="422" w:firstLineChars="200"/>
        <w:rPr>
          <w:rFonts w:hint="eastAsia" w:cs="宋体"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综上，本基金业绩报酬的安排可能会对基金份额的投资收益产生影响，请基金投资者详阅本基金合同“私募基金的费用与税收”章节，并知晓该风险。</w:t>
      </w:r>
    </w:p>
    <w:p w14:paraId="2296D4CC">
      <w:pPr>
        <w:adjustRightInd w:val="0"/>
        <w:snapToGrid w:val="0"/>
        <w:spacing w:before="93" w:beforeLines="30" w:after="93" w:afterLines="30" w:line="348" w:lineRule="auto"/>
        <w:ind w:firstLine="422" w:firstLineChars="200"/>
        <w:rPr>
          <w:rFonts w:asciiTheme="minorEastAsia" w:hAnsiTheme="minorEastAsia" w:eastAsiaTheme="minorEastAsia"/>
          <w:b/>
          <w:bCs/>
          <w:color w:val="auto"/>
          <w:szCs w:val="21"/>
          <w:highlight w:val="none"/>
        </w:rPr>
      </w:pPr>
      <w:r>
        <w:rPr>
          <w:rFonts w:hint="eastAsia" w:cs="宋体" w:asciiTheme="minorEastAsia" w:hAnsiTheme="minorEastAsia" w:eastAsiaTheme="minorEastAsia"/>
          <w:b/>
          <w:bCs/>
          <w:color w:val="auto"/>
          <w:szCs w:val="21"/>
          <w:highlight w:val="none"/>
        </w:rPr>
        <w:t>1</w:t>
      </w:r>
      <w:r>
        <w:rPr>
          <w:rFonts w:hint="eastAsia" w:cs="宋体" w:asciiTheme="minorEastAsia" w:hAnsiTheme="minorEastAsia" w:eastAsiaTheme="minorEastAsia"/>
          <w:b/>
          <w:bCs/>
          <w:color w:val="auto"/>
          <w:szCs w:val="21"/>
          <w:highlight w:val="none"/>
          <w:lang w:val="en-US" w:eastAsia="zh-CN"/>
        </w:rPr>
        <w:t>8</w:t>
      </w:r>
      <w:r>
        <w:rPr>
          <w:rFonts w:hint="eastAsia" w:cs="宋体" w:asciiTheme="minorEastAsia" w:hAnsiTheme="minorEastAsia" w:eastAsiaTheme="minorEastAsia"/>
          <w:b/>
          <w:bCs/>
          <w:color w:val="auto"/>
          <w:szCs w:val="21"/>
          <w:highlight w:val="none"/>
        </w:rPr>
        <w:t>、</w:t>
      </w:r>
      <w:r>
        <w:rPr>
          <w:rFonts w:hint="eastAsia" w:asciiTheme="minorEastAsia" w:hAnsiTheme="minorEastAsia" w:eastAsiaTheme="minorEastAsia"/>
          <w:b/>
          <w:bCs/>
          <w:color w:val="auto"/>
          <w:szCs w:val="21"/>
          <w:highlight w:val="none"/>
        </w:rPr>
        <w:t>其他风险</w:t>
      </w:r>
    </w:p>
    <w:p w14:paraId="6E1B09A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战争、自然灾害等不可抗力因素的出现，将会严重影响证券市场的运行，可能导致基金资产的损失。金融市场危机、行业竞争、代理机构违约等超出基金管理人自身直接控制能力之外的风险，可能导致基金份额持有人利益受损。</w:t>
      </w:r>
    </w:p>
    <w:p w14:paraId="483E2F3C">
      <w:pPr>
        <w:adjustRightInd w:val="0"/>
        <w:snapToGrid w:val="0"/>
        <w:spacing w:before="93" w:beforeLines="30" w:after="93" w:afterLines="30" w:line="348" w:lineRule="auto"/>
        <w:ind w:firstLine="422" w:firstLineChars="200"/>
        <w:rPr>
          <w:rFonts w:ascii="宋体" w:hAnsi="宋体"/>
          <w:b/>
          <w:bCs/>
          <w:color w:val="auto"/>
          <w:szCs w:val="21"/>
          <w:highlight w:val="none"/>
        </w:rPr>
      </w:pPr>
      <w:r>
        <w:rPr>
          <w:rFonts w:hint="eastAsia" w:ascii="宋体" w:hAnsi="宋体"/>
          <w:b/>
          <w:bCs/>
          <w:color w:val="auto"/>
          <w:szCs w:val="21"/>
          <w:highlight w:val="none"/>
        </w:rPr>
        <w:t>特别提示：</w:t>
      </w:r>
      <w:r>
        <w:rPr>
          <w:rFonts w:hint="default" w:ascii="Times New Roman" w:hAnsi="Times New Roman"/>
          <w:b/>
          <w:bCs/>
          <w:color w:val="auto"/>
          <w:szCs w:val="24"/>
          <w:highlight w:val="none"/>
        </w:rPr>
        <w:t>即使管理人已对可能存在的风险进行了揭示</w:t>
      </w:r>
      <w:r>
        <w:rPr>
          <w:rFonts w:hint="default" w:ascii="Times New Roman" w:hAnsi="Times New Roman"/>
          <w:b/>
          <w:bCs/>
          <w:color w:val="auto"/>
          <w:szCs w:val="24"/>
          <w:highlight w:val="none"/>
          <w:lang w:eastAsia="zh-CN"/>
        </w:rPr>
        <w:t>，</w:t>
      </w:r>
      <w:r>
        <w:rPr>
          <w:rFonts w:hint="default" w:ascii="Times New Roman" w:hAnsi="Times New Roman"/>
          <w:b/>
          <w:bCs/>
          <w:color w:val="auto"/>
          <w:szCs w:val="24"/>
          <w:highlight w:val="none"/>
          <w:lang w:val="en-US" w:eastAsia="zh-CN"/>
        </w:rPr>
        <w:t>但有关风险</w:t>
      </w:r>
      <w:r>
        <w:rPr>
          <w:rFonts w:hint="default" w:ascii="Times New Roman" w:hAnsi="Times New Roman" w:eastAsia="宋体" w:cs="Times New Roman"/>
          <w:b/>
          <w:bCs/>
          <w:color w:val="auto"/>
          <w:kern w:val="2"/>
          <w:sz w:val="21"/>
          <w:szCs w:val="24"/>
          <w:highlight w:val="none"/>
          <w:lang w:val="en-US" w:eastAsia="zh-CN" w:bidi="ar-SA"/>
        </w:rPr>
        <w:t>揭示事项仅为列举性质，未能详尽列明投资者参与本私募基金投资所面临的全部风险和可能导致投资者资产损失的所有因素，</w:t>
      </w:r>
      <w:r>
        <w:rPr>
          <w:rFonts w:hint="default" w:ascii="Times New Roman" w:hAnsi="Times New Roman" w:eastAsia="宋体" w:cs="Times New Roman"/>
          <w:b/>
          <w:bCs/>
          <w:color w:val="auto"/>
          <w:kern w:val="2"/>
          <w:sz w:val="21"/>
          <w:szCs w:val="24"/>
          <w:highlight w:val="none"/>
          <w:lang w:val="en-US" w:eastAsia="zh-CN" w:bidi="ar"/>
        </w:rPr>
        <w:t>投资者在参与私募基金投资并签署本</w:t>
      </w:r>
      <w:r>
        <w:rPr>
          <w:rFonts w:hint="eastAsia" w:cs="Times New Roman"/>
          <w:b/>
          <w:bCs/>
          <w:color w:val="auto"/>
          <w:kern w:val="2"/>
          <w:sz w:val="21"/>
          <w:szCs w:val="24"/>
          <w:highlight w:val="none"/>
          <w:lang w:val="en-US" w:eastAsia="zh-CN" w:bidi="ar"/>
        </w:rPr>
        <w:t>基金</w:t>
      </w:r>
      <w:r>
        <w:rPr>
          <w:rFonts w:hint="default" w:ascii="Times New Roman" w:hAnsi="Times New Roman" w:eastAsia="宋体" w:cs="Times New Roman"/>
          <w:b/>
          <w:bCs/>
          <w:color w:val="auto"/>
          <w:kern w:val="2"/>
          <w:sz w:val="21"/>
          <w:szCs w:val="24"/>
          <w:highlight w:val="none"/>
          <w:lang w:val="en-US" w:eastAsia="zh-CN" w:bidi="ar"/>
        </w:rPr>
        <w:t>合同前，应认真阅读并理解相关业务规则、基金合同及风险揭示书的全部内容</w:t>
      </w:r>
      <w:r>
        <w:rPr>
          <w:rFonts w:hint="default" w:ascii="Times New Roman" w:hAnsi="Times New Roman" w:eastAsia="宋体" w:cs="Times New Roman"/>
          <w:b/>
          <w:bCs/>
          <w:color w:val="auto"/>
          <w:kern w:val="2"/>
          <w:sz w:val="21"/>
          <w:szCs w:val="24"/>
          <w:highlight w:val="none"/>
          <w:lang w:val="en-US" w:eastAsia="zh-CN" w:bidi="ar-SA"/>
        </w:rPr>
        <w:t>，并确信自己已做好足够的风险评估与财务安排，避免因参与本私募基金投资遭受难以承受的损失。</w:t>
      </w:r>
      <w:r>
        <w:rPr>
          <w:rFonts w:hint="default" w:ascii="Times New Roman" w:hAnsi="Times New Roman" w:eastAsia="宋体"/>
          <w:b/>
          <w:bCs/>
          <w:color w:val="auto"/>
          <w:kern w:val="2"/>
          <w:szCs w:val="24"/>
          <w:highlight w:val="none"/>
        </w:rPr>
        <w:t>管理人不保证最低收益或</w:t>
      </w:r>
      <w:r>
        <w:rPr>
          <w:rFonts w:hint="default" w:ascii="Times New Roman" w:hAnsi="Times New Roman" w:eastAsia="宋体"/>
          <w:b/>
          <w:bCs/>
          <w:color w:val="auto"/>
          <w:kern w:val="2"/>
          <w:szCs w:val="24"/>
          <w:highlight w:val="none"/>
          <w:lang w:val="en-US" w:eastAsia="zh-CN"/>
        </w:rPr>
        <w:t>私募</w:t>
      </w:r>
      <w:r>
        <w:rPr>
          <w:rFonts w:hint="default" w:ascii="Times New Roman" w:hAnsi="Times New Roman" w:eastAsia="宋体"/>
          <w:b/>
          <w:bCs/>
          <w:color w:val="auto"/>
          <w:kern w:val="2"/>
          <w:szCs w:val="24"/>
          <w:highlight w:val="none"/>
        </w:rPr>
        <w:t>基金本金不受损</w:t>
      </w:r>
      <w:r>
        <w:rPr>
          <w:rFonts w:hint="default" w:ascii="Times New Roman" w:hAnsi="Times New Roman" w:eastAsia="宋体"/>
          <w:b/>
          <w:bCs/>
          <w:color w:val="auto"/>
          <w:kern w:val="2"/>
          <w:szCs w:val="24"/>
          <w:highlight w:val="none"/>
          <w:lang w:val="en-US" w:eastAsia="zh-CN"/>
        </w:rPr>
        <w:t>失</w:t>
      </w:r>
      <w:r>
        <w:rPr>
          <w:rFonts w:hint="eastAsia" w:ascii="宋体" w:hAnsi="宋体"/>
          <w:b/>
          <w:bCs/>
          <w:color w:val="auto"/>
          <w:szCs w:val="21"/>
          <w:highlight w:val="none"/>
        </w:rPr>
        <w:t>。</w:t>
      </w:r>
    </w:p>
    <w:p w14:paraId="37153BA6">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97" w:name="_Toc381953538"/>
      <w:bookmarkStart w:id="98" w:name="_Toc23584"/>
      <w:bookmarkStart w:id="99" w:name="_Toc110605422"/>
      <w:bookmarkStart w:id="100" w:name="_Toc459392423"/>
      <w:bookmarkStart w:id="101" w:name="_Toc334185942"/>
      <w:bookmarkStart w:id="102" w:name="_Toc344102751"/>
      <w:bookmarkStart w:id="103" w:name="_Toc361382983"/>
      <w:bookmarkStart w:id="104" w:name="_Toc340763865"/>
      <w:r>
        <w:rPr>
          <w:rFonts w:hint="eastAsia" w:asciiTheme="minorEastAsia" w:hAnsiTheme="minorEastAsia" w:eastAsiaTheme="minorEastAsia"/>
          <w:b/>
          <w:color w:val="auto"/>
          <w:sz w:val="28"/>
          <w:szCs w:val="28"/>
          <w:highlight w:val="none"/>
        </w:rPr>
        <w:t>二十一、基金份额的非交易过户和冻结、解冻</w:t>
      </w:r>
      <w:bookmarkEnd w:id="97"/>
      <w:bookmarkEnd w:id="98"/>
      <w:bookmarkEnd w:id="99"/>
      <w:bookmarkEnd w:id="100"/>
    </w:p>
    <w:p w14:paraId="7F9555B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（一）基金份额的非交易过户</w:t>
      </w:r>
    </w:p>
    <w:p w14:paraId="104AD19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非交易过户是指不采用申购、赎回等交易方式，将一定数量的基金份额按照一定的规则从某一基金份额持有人账户转移到另一基金份额持有人账户的行为。非交易过户包括继承、捐赠、司法执行以及基金份额登记机构认可、符合法律法规的其他</w:t>
      </w:r>
      <w:r>
        <w:rPr>
          <w:rFonts w:hint="eastAsia" w:asciiTheme="minorEastAsia" w:hAnsiTheme="minorEastAsia" w:eastAsiaTheme="minorEastAsia"/>
          <w:color w:val="auto"/>
          <w:szCs w:val="21"/>
          <w:highlight w:val="none"/>
        </w:rPr>
        <w:t>类型</w:t>
      </w:r>
      <w:r>
        <w:rPr>
          <w:rFonts w:asciiTheme="minorEastAsia" w:hAnsiTheme="minorEastAsia" w:eastAsiaTheme="minorEastAsia"/>
          <w:color w:val="auto"/>
          <w:szCs w:val="21"/>
          <w:highlight w:val="none"/>
        </w:rPr>
        <w:t>。办理非交易过户必须提供基金</w:t>
      </w:r>
      <w:r>
        <w:rPr>
          <w:rFonts w:hint="eastAsia" w:asciiTheme="minorEastAsia" w:hAnsiTheme="minorEastAsia" w:eastAsiaTheme="minorEastAsia"/>
          <w:color w:val="auto"/>
          <w:szCs w:val="21"/>
          <w:highlight w:val="none"/>
        </w:rPr>
        <w:t>份额登记机构</w:t>
      </w:r>
      <w:r>
        <w:rPr>
          <w:rFonts w:asciiTheme="minorEastAsia" w:hAnsiTheme="minorEastAsia" w:eastAsiaTheme="minorEastAsia"/>
          <w:color w:val="auto"/>
          <w:szCs w:val="21"/>
          <w:highlight w:val="none"/>
        </w:rPr>
        <w:t>要求提供的相关资料，接收划转的主体必须是依法可以持有本基金份额的投资者。</w:t>
      </w:r>
    </w:p>
    <w:p w14:paraId="603FDD7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继承是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份额登记机构要求提供的相关资料，对于符合条件的非交易过户申请按基金份额登记机构的规定办理，并按基金份额登记机构规定的标准收费。</w:t>
      </w:r>
    </w:p>
    <w:p w14:paraId="63B04FB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（二）基金份额的冻结与解冻</w:t>
      </w:r>
    </w:p>
    <w:p w14:paraId="428F5E6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本基金的基金份额冻结与解冻只包括人民法院、人民检察院、公安机关及其他国家有权机构依法要求的基金份额冻结与解冻事项，以及基金份额登记机构认可、符合法律法规的其他情况下的冻结与解冻。</w:t>
      </w:r>
    </w:p>
    <w:bookmarkEnd w:id="101"/>
    <w:bookmarkEnd w:id="102"/>
    <w:bookmarkEnd w:id="103"/>
    <w:bookmarkEnd w:id="104"/>
    <w:p w14:paraId="1D461BE4">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105" w:name="_Toc18470"/>
      <w:bookmarkStart w:id="106" w:name="_Toc459392424"/>
      <w:bookmarkStart w:id="107" w:name="_Toc110605423"/>
      <w:bookmarkStart w:id="108" w:name="_Toc277321602"/>
      <w:r>
        <w:rPr>
          <w:rFonts w:hint="eastAsia" w:asciiTheme="minorEastAsia" w:hAnsiTheme="minorEastAsia" w:eastAsiaTheme="minorEastAsia"/>
          <w:b/>
          <w:color w:val="auto"/>
          <w:sz w:val="28"/>
          <w:szCs w:val="28"/>
          <w:highlight w:val="none"/>
        </w:rPr>
        <w:t>二十二、基金合同的成立、生效及签署</w:t>
      </w:r>
      <w:bookmarkEnd w:id="105"/>
      <w:bookmarkEnd w:id="106"/>
      <w:bookmarkEnd w:id="107"/>
    </w:p>
    <w:p w14:paraId="64EDC41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（一）合同的成立、生效</w:t>
      </w:r>
    </w:p>
    <w:p w14:paraId="52E8C2A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、合同成立</w:t>
      </w:r>
    </w:p>
    <w:p w14:paraId="2F5E3FD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本合同文本由基金管理人、基金托管人、基金投资者共同签署后合同即告成立。</w:t>
      </w:r>
    </w:p>
    <w:p w14:paraId="7B5EF3B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2</w:t>
      </w:r>
      <w:r>
        <w:rPr>
          <w:rFonts w:hint="eastAsia" w:asciiTheme="minorEastAsia" w:hAnsiTheme="minorEastAsia" w:eastAsiaTheme="minorEastAsia"/>
          <w:color w:val="auto"/>
          <w:szCs w:val="21"/>
          <w:highlight w:val="none"/>
        </w:rPr>
        <w:t>、合同生效</w:t>
      </w:r>
    </w:p>
    <w:p w14:paraId="5F123C2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本合同生效应当同时满足如下条件：</w:t>
      </w:r>
    </w:p>
    <w:p w14:paraId="1C45B4E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）本合同经基金投资者、基金管理人与基金托管人合法签署；</w:t>
      </w:r>
    </w:p>
    <w:p w14:paraId="7C63D8B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（2）基金投资者认购或申购资金实际交付并经基金管理人确认成功，基金投资者获得基金份额；</w:t>
      </w:r>
    </w:p>
    <w:p w14:paraId="16899EC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w:t>
      </w:r>
      <w:r>
        <w:rPr>
          <w:rFonts w:asciiTheme="minorEastAsia" w:hAnsiTheme="minorEastAsia" w:eastAsiaTheme="minorEastAsia"/>
          <w:color w:val="auto"/>
          <w:szCs w:val="21"/>
          <w:highlight w:val="none"/>
        </w:rPr>
        <w:t>3</w:t>
      </w:r>
      <w:r>
        <w:rPr>
          <w:rFonts w:hint="eastAsia" w:asciiTheme="minorEastAsia" w:hAnsiTheme="minorEastAsia" w:eastAsiaTheme="minorEastAsia"/>
          <w:color w:val="auto"/>
          <w:szCs w:val="21"/>
          <w:highlight w:val="none"/>
        </w:rPr>
        <w:t>）本基金依法有效成立。</w:t>
      </w:r>
    </w:p>
    <w:p w14:paraId="11E66E1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本合同生效后，对本合同各方具有法律效力，任何一方都不得单方解除。</w:t>
      </w:r>
    </w:p>
    <w:p w14:paraId="566F5E34">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（二）合同的签署</w:t>
      </w:r>
    </w:p>
    <w:p w14:paraId="2F138642">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1</w:t>
      </w:r>
      <w:r>
        <w:rPr>
          <w:rFonts w:hint="eastAsia" w:asciiTheme="minorEastAsia" w:hAnsiTheme="minorEastAsia" w:eastAsiaTheme="minorEastAsia"/>
          <w:color w:val="auto"/>
          <w:szCs w:val="21"/>
          <w:highlight w:val="none"/>
        </w:rPr>
        <w:t>、本合同的签署应当采用纸质合同和/或电子合同的方式进行，由基金管理人、基金托管人、基金投资者共同签署。</w:t>
      </w:r>
    </w:p>
    <w:p w14:paraId="3C26B2B0">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基金管理人、基金托管人及基金投资者签署纸质合同时，应签署一式三份。基金管理人应在基金募集期或基金开放期完成后的十个工作日内，将基金投资者签署的其中一份纸质合同寄送给基金托管人，基金托管人在收到基金管理人寄送的本合同的前提下，尽合理努力保管投资者签署的纸质合同。因基金托管人收集基金投资者签署的纸质合同存在客观局限性，保管投资者签署的纸质合同不构成基金托管人的义务。</w:t>
      </w:r>
    </w:p>
    <w:p w14:paraId="003A17CB">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基金管理人、基金托管人及基金投资者通过电子合同方式签署本合同，基金管理人、基金托管人及基金投资者认可电子合同的法律效力。若本基金使用的电子合同平台完成基金电子合同签署的，并不代表电子合同平台提供方承担基金销售、募集以及合同的订立、效力、履行等相关职责。</w:t>
      </w:r>
    </w:p>
    <w:p w14:paraId="71B0837E">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2、基金投资者在签署合同后方可进行认购、申购。</w:t>
      </w:r>
    </w:p>
    <w:p w14:paraId="0816C577">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经基金管理人确认有效的基金投资者认购、申购、赎回本基金的申请材料或数据电文和各推广机构出具的本基金认购、申购、赎回业务受理有关凭证等为本合同的附件，是本合同的有效组成部分，与本合同具有同等的法律效力。</w:t>
      </w:r>
    </w:p>
    <w:p w14:paraId="3096ACCB">
      <w:pPr>
        <w:adjustRightInd w:val="0"/>
        <w:snapToGrid w:val="0"/>
        <w:spacing w:before="312" w:beforeLines="100" w:after="312" w:afterLines="100" w:line="348" w:lineRule="auto"/>
        <w:jc w:val="center"/>
        <w:outlineLvl w:val="0"/>
        <w:rPr>
          <w:rFonts w:asciiTheme="minorEastAsia" w:hAnsiTheme="minorEastAsia" w:eastAsiaTheme="minorEastAsia"/>
          <w:b/>
          <w:color w:val="auto"/>
          <w:sz w:val="28"/>
          <w:szCs w:val="28"/>
          <w:highlight w:val="none"/>
        </w:rPr>
      </w:pPr>
      <w:bookmarkStart w:id="109" w:name="_Toc459392425"/>
      <w:bookmarkStart w:id="110" w:name="_Toc110605424"/>
      <w:bookmarkStart w:id="111" w:name="_Toc16580"/>
      <w:r>
        <w:rPr>
          <w:rFonts w:hint="eastAsia" w:asciiTheme="minorEastAsia" w:hAnsiTheme="minorEastAsia" w:eastAsiaTheme="minorEastAsia"/>
          <w:b/>
          <w:color w:val="auto"/>
          <w:sz w:val="28"/>
          <w:szCs w:val="28"/>
          <w:highlight w:val="none"/>
        </w:rPr>
        <w:t>二十三、基金合同的效力</w:t>
      </w:r>
      <w:bookmarkEnd w:id="109"/>
      <w:bookmarkEnd w:id="110"/>
      <w:bookmarkEnd w:id="111"/>
    </w:p>
    <w:p w14:paraId="0AD21501">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本合同是约定基金合同当事人之间权利义务关系的法律文件。基金份额持有人为法人的，本合同自基金份额持有人、基金管理人和基金托管人加盖公章（或合同专用章）以及三方法定代表人或授权代表签章或盖章之日起成立；基金份额持有人为自然人的，本合同自基金份额持有人本人签章或授权的代理人签章、基金管理人和基金托管人加盖公章（或合同专用章）以及双方法定代表人或授权代表签章之日起成立。当满足第二十二章中本合同生效的条件后，本合同生效。</w:t>
      </w:r>
    </w:p>
    <w:p w14:paraId="311E6E79">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（二）本合同自生效之日起对基金份额持有人、基金管理人、基金托管人具有同等的法律约束力。</w:t>
      </w:r>
    </w:p>
    <w:p w14:paraId="418F82B2">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（三）在本基金存续期，基金投资者自全部赎回其持有基金份额之日起，不再是本基金的份额持有人和本合同的当事人。</w:t>
      </w:r>
    </w:p>
    <w:p w14:paraId="79A7E1AC">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（四）本合同有效期为本合同生效日至本合同终止日。</w:t>
      </w:r>
    </w:p>
    <w:p w14:paraId="2550E9B0">
      <w:pPr>
        <w:adjustRightInd w:val="0"/>
        <w:snapToGrid w:val="0"/>
        <w:spacing w:before="249" w:beforeLines="80" w:after="249" w:afterLines="80" w:line="348" w:lineRule="auto"/>
        <w:jc w:val="center"/>
        <w:outlineLvl w:val="0"/>
        <w:rPr>
          <w:rFonts w:asciiTheme="minorEastAsia" w:hAnsiTheme="minorEastAsia" w:eastAsiaTheme="minorEastAsia"/>
          <w:b/>
          <w:color w:val="auto"/>
          <w:sz w:val="28"/>
          <w:szCs w:val="28"/>
          <w:highlight w:val="none"/>
        </w:rPr>
      </w:pPr>
      <w:bookmarkStart w:id="112" w:name="_Toc19464"/>
      <w:bookmarkStart w:id="113" w:name="_Toc110605425"/>
      <w:bookmarkStart w:id="114" w:name="_Toc459392426"/>
      <w:r>
        <w:rPr>
          <w:rFonts w:hint="eastAsia" w:asciiTheme="minorEastAsia" w:hAnsiTheme="minorEastAsia" w:eastAsiaTheme="minorEastAsia"/>
          <w:b/>
          <w:color w:val="auto"/>
          <w:sz w:val="28"/>
          <w:szCs w:val="28"/>
          <w:highlight w:val="none"/>
        </w:rPr>
        <w:t>二十四、基金合同的变更、解除与终止</w:t>
      </w:r>
      <w:bookmarkEnd w:id="108"/>
      <w:bookmarkEnd w:id="112"/>
      <w:bookmarkEnd w:id="113"/>
      <w:bookmarkEnd w:id="114"/>
    </w:p>
    <w:p w14:paraId="0259061A">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bookmarkStart w:id="115" w:name="_Toc459392427"/>
      <w:bookmarkStart w:id="116" w:name="_Toc277321603"/>
      <w:r>
        <w:rPr>
          <w:rFonts w:hint="eastAsia" w:asciiTheme="minorEastAsia" w:hAnsiTheme="minorEastAsia" w:eastAsiaTheme="minorEastAsia"/>
          <w:color w:val="auto"/>
          <w:szCs w:val="21"/>
          <w:highlight w:val="none"/>
        </w:rPr>
        <w:t>（一）非因法律、法规及有关政策发生变化的原因而导致合同变更时，可采用以下方式中的</w:t>
      </w:r>
      <w:r>
        <w:rPr>
          <w:rFonts w:hint="eastAsia" w:asciiTheme="minorEastAsia" w:hAnsiTheme="minorEastAsia" w:eastAsiaTheme="minorEastAsia"/>
          <w:color w:val="auto"/>
          <w:szCs w:val="21"/>
          <w:highlight w:val="none"/>
          <w:lang w:val="en-US" w:eastAsia="zh-CN"/>
        </w:rPr>
        <w:t>任何</w:t>
      </w:r>
      <w:r>
        <w:rPr>
          <w:rFonts w:hint="eastAsia" w:asciiTheme="minorEastAsia" w:hAnsiTheme="minorEastAsia" w:eastAsiaTheme="minorEastAsia"/>
          <w:color w:val="auto"/>
          <w:szCs w:val="21"/>
          <w:highlight w:val="none"/>
        </w:rPr>
        <w:t>一种进行本合同变更。</w:t>
      </w:r>
    </w:p>
    <w:p w14:paraId="69BE15E2">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如基金合同的变更不涉及本基金合同当事人权利义务发生变化或对基金份额持有人利益无实质不利影响的或本合同另行约定的，私募基金管理人可与私募基金托管人协商一致后修改基金合同，并由私募基金管理人按照本合同的约定向基金份额持有人披露变更的具体内容。</w:t>
      </w:r>
    </w:p>
    <w:p w14:paraId="74CDA949">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2、全体基金份额持有人、基金管理人和基金托管人协商一致并签署补充协议后对本合同内容进行变更。</w:t>
      </w:r>
    </w:p>
    <w:p w14:paraId="5A01577A">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当本合同各方当事人完成补充协议签署后，基金管理人应当出具书面函件通知基金托管人补充协议生效。</w:t>
      </w:r>
      <w:r>
        <w:rPr>
          <w:rFonts w:hint="eastAsia" w:asciiTheme="minorEastAsia" w:hAnsiTheme="minorEastAsia" w:eastAsiaTheme="minorEastAsia"/>
          <w:b/>
          <w:bCs/>
          <w:color w:val="auto"/>
          <w:szCs w:val="21"/>
          <w:highlight w:val="none"/>
        </w:rPr>
        <w:t>因基金托管人未及时收悉书面函件，导致合同变更未及时生效的，基金托管人对由此造成的基金财产损失不承担赔偿责任。</w:t>
      </w:r>
    </w:p>
    <w:p w14:paraId="208B5009">
      <w:pPr>
        <w:adjustRightInd w:val="0"/>
        <w:snapToGrid w:val="0"/>
        <w:spacing w:before="93" w:beforeLines="30" w:after="93" w:afterLines="30" w:line="372" w:lineRule="auto"/>
        <w:ind w:firstLine="420" w:firstLineChars="200"/>
        <w:rPr>
          <w:rFonts w:asciiTheme="minorEastAsia" w:hAnsiTheme="minorEastAsia" w:eastAsiaTheme="minorEastAsia"/>
          <w:b/>
          <w:bCs/>
          <w:color w:val="auto"/>
          <w:szCs w:val="21"/>
          <w:highlight w:val="none"/>
        </w:rPr>
      </w:pPr>
      <w:r>
        <w:rPr>
          <w:rFonts w:hint="eastAsia" w:asciiTheme="minorEastAsia" w:hAnsiTheme="minorEastAsia" w:eastAsiaTheme="minorEastAsia"/>
          <w:color w:val="auto"/>
          <w:szCs w:val="21"/>
          <w:highlight w:val="none"/>
        </w:rPr>
        <w:t>补充协议生效时，基金管理人有义务确保全体基金份额持有人均已签署补充协议并且相关签署真实、有效，基金托管人对此不承担任何审核、监督义务。</w:t>
      </w:r>
      <w:r>
        <w:rPr>
          <w:rFonts w:hint="eastAsia" w:asciiTheme="minorEastAsia" w:hAnsiTheme="minorEastAsia" w:eastAsiaTheme="minorEastAsia"/>
          <w:b/>
          <w:bCs/>
          <w:color w:val="auto"/>
          <w:szCs w:val="21"/>
          <w:highlight w:val="none"/>
        </w:rPr>
        <w:t>若发生任何基金份额持有人未签署或其签署的真实性、有效性存在问题，对本基金、任何基金份额持有人或基金管理人造成损失的，基金托管人不承担赔偿责任。</w:t>
      </w:r>
    </w:p>
    <w:p w14:paraId="4B0E179E">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于根据法律法规和本合同的规定可不经基金份额持有人大会决议通过的事项，基金管理人、基金托管人首先就本合同拟变更事项达成一致。基金管理人就本合同变更事项以约定的方式向基金份额持有人发布合同变更征询意见函（或通知）。基金份额持有人应在征询意见函（或通知）指定的日期内按指定的形式回复意见。基金份额持有人不同意变更的，应在征询意见函（或通知）指定的日期内赎回本基金（基金管理人可设置临时开放日</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lang w:val="en-US" w:eastAsia="zh-CN"/>
        </w:rPr>
        <w:t>如有</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，且本条约定不受本合同“基金的申购、赎回与转让”中关于基金开放日的限制</w:t>
      </w:r>
      <w:r>
        <w:rPr>
          <w:rFonts w:hint="eastAsia" w:asciiTheme="minorEastAsia" w:hAnsiTheme="minorEastAsia" w:eastAsiaTheme="minorEastAsia"/>
          <w:b w:val="0"/>
          <w:bCs w:val="0"/>
          <w:color w:val="auto"/>
          <w:szCs w:val="21"/>
          <w:highlight w:val="none"/>
        </w:rPr>
        <w:t>（但本基金的管理人及其员工的份额持有期低于6个月（</w:t>
      </w:r>
      <w:r>
        <w:rPr>
          <w:rFonts w:hint="eastAsia" w:asciiTheme="minorEastAsia" w:hAnsiTheme="minorEastAsia" w:eastAsiaTheme="minorEastAsia"/>
          <w:b w:val="0"/>
          <w:bCs w:val="0"/>
          <w:color w:val="auto"/>
          <w:szCs w:val="21"/>
          <w:highlight w:val="none"/>
          <w:lang w:eastAsia="zh-CN"/>
        </w:rPr>
        <w:t>180个自然日</w:t>
      </w:r>
      <w:r>
        <w:rPr>
          <w:rFonts w:hint="eastAsia" w:asciiTheme="minorEastAsia" w:hAnsiTheme="minorEastAsia" w:eastAsiaTheme="minorEastAsia"/>
          <w:b w:val="0"/>
          <w:bCs w:val="0"/>
          <w:color w:val="auto"/>
          <w:szCs w:val="21"/>
          <w:highlight w:val="none"/>
        </w:rPr>
        <w:t>）、其他投资者的份额持有期低于3个月（</w:t>
      </w:r>
      <w:r>
        <w:rPr>
          <w:rFonts w:hint="eastAsia" w:asciiTheme="minorEastAsia" w:hAnsiTheme="minorEastAsia" w:eastAsiaTheme="minorEastAsia"/>
          <w:b w:val="0"/>
          <w:bCs w:val="0"/>
          <w:color w:val="auto"/>
          <w:szCs w:val="21"/>
          <w:highlight w:val="none"/>
          <w:lang w:eastAsia="zh-CN"/>
        </w:rPr>
        <w:t>90个自然日</w:t>
      </w:r>
      <w:r>
        <w:rPr>
          <w:rFonts w:hint="eastAsia" w:asciiTheme="minorEastAsia" w:hAnsiTheme="minorEastAsia" w:eastAsiaTheme="minorEastAsia"/>
          <w:b w:val="0"/>
          <w:bCs w:val="0"/>
          <w:color w:val="auto"/>
          <w:szCs w:val="21"/>
          <w:highlight w:val="none"/>
        </w:rPr>
        <w:t>）</w:t>
      </w:r>
      <w:r>
        <w:rPr>
          <w:rFonts w:hint="eastAsia" w:ascii="宋体" w:hAnsi="宋体"/>
          <w:b w:val="0"/>
          <w:bCs w:val="0"/>
          <w:color w:val="auto"/>
          <w:szCs w:val="21"/>
          <w:highlight w:val="none"/>
          <w:lang w:eastAsia="zh-CN"/>
        </w:rPr>
        <w:t>（</w:t>
      </w:r>
      <w:r>
        <w:rPr>
          <w:rFonts w:hint="eastAsia" w:ascii="宋体" w:hAnsi="宋体"/>
          <w:b w:val="0"/>
          <w:bCs w:val="0"/>
          <w:color w:val="auto"/>
          <w:szCs w:val="21"/>
          <w:highlight w:val="none"/>
          <w:lang w:val="en-US" w:eastAsia="zh-CN"/>
        </w:rPr>
        <w:t>如本基金对其他投资者设置份额锁定期</w:t>
      </w:r>
      <w:r>
        <w:rPr>
          <w:rFonts w:hint="eastAsia" w:ascii="宋体" w:hAnsi="宋体"/>
          <w:b w:val="0"/>
          <w:bCs w:val="0"/>
          <w:color w:val="auto"/>
          <w:szCs w:val="21"/>
          <w:highlight w:val="none"/>
          <w:lang w:eastAsia="zh-CN"/>
        </w:rPr>
        <w:t>）</w:t>
      </w:r>
      <w:r>
        <w:rPr>
          <w:rFonts w:hint="eastAsia" w:asciiTheme="minorEastAsia" w:hAnsiTheme="minorEastAsia" w:eastAsiaTheme="minorEastAsia"/>
          <w:b w:val="0"/>
          <w:bCs w:val="0"/>
          <w:color w:val="auto"/>
          <w:szCs w:val="21"/>
          <w:highlight w:val="none"/>
        </w:rPr>
        <w:t>的，不得赎回该等基金份额）</w:t>
      </w:r>
      <w:r>
        <w:rPr>
          <w:rFonts w:hint="eastAsia" w:asciiTheme="minorEastAsia" w:hAnsiTheme="minorEastAsia" w:eastAsiaTheme="minorEastAsia"/>
          <w:color w:val="auto"/>
          <w:szCs w:val="21"/>
          <w:highlight w:val="none"/>
        </w:rPr>
        <w:t>）；基金份额持有人未在指定日期内回复意见或未在指定的日期内赎回本基金的，视为基金份额持有人同意合同变更。变更事项自征询意见函（或通知）指定的日期届满的次工作日开始生效，对合同各方均具有法律效力。</w:t>
      </w:r>
    </w:p>
    <w:p w14:paraId="34F5DDBF">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w:t>
      </w:r>
      <w:r>
        <w:rPr>
          <w:rFonts w:hint="eastAsia" w:asciiTheme="minorEastAsia" w:hAnsiTheme="minorEastAsia" w:eastAsiaTheme="minorEastAsia"/>
          <w:color w:val="auto"/>
          <w:szCs w:val="21"/>
          <w:highlight w:val="none"/>
          <w:lang w:val="en-US" w:eastAsia="zh-CN"/>
        </w:rPr>
        <w:t>因</w:t>
      </w:r>
      <w:r>
        <w:rPr>
          <w:rFonts w:asciiTheme="minorEastAsia" w:hAnsiTheme="minorEastAsia" w:eastAsiaTheme="minorEastAsia"/>
          <w:color w:val="auto"/>
          <w:szCs w:val="21"/>
          <w:highlight w:val="none"/>
        </w:rPr>
        <w:t>法律法规</w:t>
      </w:r>
      <w:r>
        <w:rPr>
          <w:rFonts w:hint="eastAsia" w:asciiTheme="minorEastAsia" w:hAnsiTheme="minorEastAsia" w:eastAsiaTheme="minorEastAsia"/>
          <w:color w:val="auto"/>
          <w:szCs w:val="21"/>
          <w:highlight w:val="none"/>
          <w:lang w:eastAsia="zh-CN"/>
        </w:rPr>
        <w:t>、</w:t>
      </w:r>
      <w:r>
        <w:rPr>
          <w:rFonts w:asciiTheme="minorEastAsia" w:hAnsiTheme="minorEastAsia" w:eastAsiaTheme="minorEastAsia"/>
          <w:color w:val="auto"/>
          <w:szCs w:val="21"/>
          <w:highlight w:val="none"/>
        </w:rPr>
        <w:t>中国证监会的相关规定</w:t>
      </w:r>
      <w:r>
        <w:rPr>
          <w:rFonts w:hint="eastAsia" w:asciiTheme="minorEastAsia" w:hAnsiTheme="minorEastAsia" w:eastAsiaTheme="minorEastAsia"/>
          <w:color w:val="auto"/>
          <w:szCs w:val="21"/>
          <w:highlight w:val="none"/>
          <w:lang w:val="en-US" w:eastAsia="zh-CN"/>
        </w:rPr>
        <w:t>、</w:t>
      </w:r>
      <w:r>
        <w:rPr>
          <w:rFonts w:hint="eastAsia" w:ascii="宋体" w:hAnsi="宋体"/>
          <w:color w:val="auto"/>
          <w:highlight w:val="none"/>
        </w:rPr>
        <w:t>行业指引、</w:t>
      </w:r>
      <w:r>
        <w:rPr>
          <w:rFonts w:hint="eastAsia" w:asciiTheme="minorEastAsia" w:hAnsiTheme="minorEastAsia" w:eastAsiaTheme="minorEastAsia"/>
          <w:color w:val="auto"/>
          <w:szCs w:val="21"/>
          <w:highlight w:val="none"/>
          <w:lang w:val="en-US" w:eastAsia="zh-CN"/>
        </w:rPr>
        <w:t>自律规则</w:t>
      </w:r>
      <w:r>
        <w:rPr>
          <w:rFonts w:hint="eastAsia" w:ascii="宋体" w:hAnsi="宋体"/>
          <w:color w:val="auto"/>
          <w:highlight w:val="none"/>
        </w:rPr>
        <w:t>及有关政策</w:t>
      </w:r>
      <w:r>
        <w:rPr>
          <w:rFonts w:asciiTheme="minorEastAsia" w:hAnsiTheme="minorEastAsia" w:eastAsiaTheme="minorEastAsia"/>
          <w:color w:val="auto"/>
          <w:szCs w:val="21"/>
          <w:highlight w:val="none"/>
        </w:rPr>
        <w:t>发生变化需要对本合同进行变更的，</w:t>
      </w:r>
      <w:r>
        <w:rPr>
          <w:rFonts w:hint="eastAsia" w:asciiTheme="minorEastAsia" w:hAnsiTheme="minorEastAsia" w:eastAsiaTheme="minorEastAsia"/>
          <w:color w:val="auto"/>
          <w:szCs w:val="21"/>
          <w:highlight w:val="none"/>
        </w:rPr>
        <w:t>基金管理人</w:t>
      </w:r>
      <w:r>
        <w:rPr>
          <w:rFonts w:asciiTheme="minorEastAsia" w:hAnsiTheme="minorEastAsia" w:eastAsiaTheme="minorEastAsia"/>
          <w:color w:val="auto"/>
          <w:szCs w:val="21"/>
          <w:highlight w:val="none"/>
        </w:rPr>
        <w:t>可与基金托管人协商后修改</w:t>
      </w:r>
      <w:r>
        <w:rPr>
          <w:rFonts w:hint="eastAsia" w:asciiTheme="minorEastAsia" w:hAnsiTheme="minorEastAsia" w:eastAsiaTheme="minorEastAsia"/>
          <w:color w:val="auto"/>
          <w:szCs w:val="21"/>
          <w:highlight w:val="none"/>
        </w:rPr>
        <w:t>本</w:t>
      </w:r>
      <w:r>
        <w:rPr>
          <w:rFonts w:asciiTheme="minorEastAsia" w:hAnsiTheme="minorEastAsia" w:eastAsiaTheme="minorEastAsia"/>
          <w:color w:val="auto"/>
          <w:szCs w:val="21"/>
          <w:highlight w:val="none"/>
        </w:rPr>
        <w:t>合同</w:t>
      </w:r>
      <w:r>
        <w:rPr>
          <w:rFonts w:hint="eastAsia" w:asciiTheme="minorEastAsia" w:hAnsiTheme="minorEastAsia" w:eastAsiaTheme="minorEastAsia"/>
          <w:color w:val="auto"/>
          <w:szCs w:val="21"/>
          <w:highlight w:val="none"/>
        </w:rPr>
        <w:t>。在此种情况下，本合同的变更无需私募基金份额持有人同意。但</w:t>
      </w:r>
      <w:r>
        <w:rPr>
          <w:rFonts w:asciiTheme="minorEastAsia" w:hAnsiTheme="minorEastAsia" w:eastAsiaTheme="minorEastAsia"/>
          <w:color w:val="auto"/>
          <w:szCs w:val="21"/>
          <w:highlight w:val="none"/>
        </w:rPr>
        <w:t>基金管理人</w:t>
      </w:r>
      <w:r>
        <w:rPr>
          <w:rFonts w:hint="eastAsia" w:asciiTheme="minorEastAsia" w:hAnsiTheme="minorEastAsia" w:eastAsiaTheme="minorEastAsia"/>
          <w:color w:val="auto"/>
          <w:szCs w:val="21"/>
          <w:highlight w:val="none"/>
        </w:rPr>
        <w:t>应当按照本合同的约定</w:t>
      </w:r>
      <w:r>
        <w:rPr>
          <w:rFonts w:asciiTheme="minorEastAsia" w:hAnsiTheme="minorEastAsia" w:eastAsiaTheme="minorEastAsia"/>
          <w:color w:val="auto"/>
          <w:szCs w:val="21"/>
          <w:highlight w:val="none"/>
        </w:rPr>
        <w:t>向基金份额持有人</w:t>
      </w:r>
      <w:r>
        <w:rPr>
          <w:rFonts w:hint="eastAsia" w:asciiTheme="minorEastAsia" w:hAnsiTheme="minorEastAsia" w:eastAsiaTheme="minorEastAsia"/>
          <w:color w:val="auto"/>
          <w:szCs w:val="21"/>
          <w:highlight w:val="none"/>
        </w:rPr>
        <w:t>披露变更的具体内容</w:t>
      </w:r>
      <w:r>
        <w:rPr>
          <w:rFonts w:asciiTheme="minorEastAsia" w:hAnsiTheme="minorEastAsia" w:eastAsiaTheme="minorEastAsia"/>
          <w:color w:val="auto"/>
          <w:szCs w:val="21"/>
          <w:highlight w:val="none"/>
        </w:rPr>
        <w:t>。</w:t>
      </w:r>
    </w:p>
    <w:p w14:paraId="55A18A9B">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如本基金合同根据前述条款约定发生任何变更，且存在新增投资者拟申购本基金份额，私募基金管理人应当确保新增投资者签署变更后的基金合同或附有变更文件的原基金合同。如果新增投资者签署的基金合同条款与变更后的基金合同不一致，私募基金托管人对此不承担任何责任。</w:t>
      </w:r>
    </w:p>
    <w:p w14:paraId="5A28721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w:t>
      </w:r>
      <w:r>
        <w:rPr>
          <w:rFonts w:hint="eastAsia" w:cs="Times New Roman" w:asciiTheme="minorEastAsia" w:hAnsiTheme="minorEastAsia" w:eastAsiaTheme="minorEastAsia"/>
          <w:color w:val="auto"/>
          <w:sz w:val="21"/>
          <w:szCs w:val="21"/>
          <w:highlight w:val="none"/>
        </w:rPr>
        <w:t>本基金发生《私募投资基金登记备案办法》第五十五条规定的信息变更的，私募基金管理人应当按照相关规定及时向基金业协会报送相关变更材料，履行变更手续，同时应当向基金投资者披露并采取设置临时开放日或者其他保障基金投资者赎回私募证券基金权利的措施，但变更内容有利于基金投资者或本合同另有约定的除外。</w:t>
      </w:r>
    </w:p>
    <w:p w14:paraId="644EC4F6">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（五）合同的解除</w:t>
      </w:r>
    </w:p>
    <w:p w14:paraId="3BC6EE6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基金通过私募基金管理人直接募集的，本基金为投资者设置二十四小时的投资冷静期，冷静期自基金合同签署完毕且投资者交纳购买基金的款项之时起算，投资者在冷静期内有权解除基金合同。出现前述情形时，募集机构应当按合同约定及时【无息】退还投资者的全部购买款项。</w:t>
      </w:r>
    </w:p>
    <w:p w14:paraId="2EFECAE9">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在中国基金业协会要求正式实施《私募投资基金募集行为管理办法》规定的回访制度后，投资者在募集机构回访确认成功前有权解除本合同。出现前述情形时，募集机构应当及时退还投资者的全部认购款项。但是，</w:t>
      </w:r>
      <w:r>
        <w:rPr>
          <w:rFonts w:hint="eastAsia" w:ascii="宋体" w:hAnsi="宋体"/>
          <w:color w:val="auto"/>
          <w:szCs w:val="21"/>
          <w:highlight w:val="none"/>
        </w:rPr>
        <w:t>根据法律法规规定、部门规章、行业自律指引规定等可豁免适用</w:t>
      </w:r>
      <w:r>
        <w:rPr>
          <w:rFonts w:hint="eastAsia" w:ascii="宋体" w:hAnsi="宋体"/>
          <w:color w:val="auto"/>
          <w:szCs w:val="21"/>
          <w:highlight w:val="none"/>
          <w:lang w:val="en-US" w:eastAsia="zh-CN"/>
        </w:rPr>
        <w:t>回访制度</w:t>
      </w:r>
      <w:r>
        <w:rPr>
          <w:rFonts w:hint="eastAsia" w:ascii="宋体" w:hAnsi="宋体"/>
          <w:color w:val="auto"/>
          <w:szCs w:val="21"/>
          <w:highlight w:val="none"/>
        </w:rPr>
        <w:t>的个人、机构或资产管理产品</w:t>
      </w:r>
      <w:r>
        <w:rPr>
          <w:rFonts w:hint="eastAsia" w:ascii="宋体" w:hAnsi="宋体"/>
          <w:color w:val="auto"/>
          <w:szCs w:val="21"/>
          <w:highlight w:val="none"/>
          <w:lang w:val="en-US" w:eastAsia="zh-CN"/>
        </w:rPr>
        <w:t>除外</w:t>
      </w:r>
      <w:r>
        <w:rPr>
          <w:rFonts w:hint="eastAsia" w:asciiTheme="minorEastAsia" w:hAnsiTheme="minorEastAsia" w:eastAsiaTheme="minorEastAsia"/>
          <w:color w:val="auto"/>
          <w:szCs w:val="21"/>
          <w:highlight w:val="none"/>
        </w:rPr>
        <w:t>。</w:t>
      </w:r>
    </w:p>
    <w:p w14:paraId="5E79278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（六）合同终止的情形包括下列事项：</w:t>
      </w:r>
    </w:p>
    <w:p w14:paraId="1F6650B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1、基金管理人、基金托管人职责终止,且在六个月内没有新基金管理人、新基金托管人承接的，导致基金管理人、基金托管人职责终止的原因包括但不限于以下：</w:t>
      </w:r>
    </w:p>
    <w:p w14:paraId="042E1FB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（1）基金管理人依法解散、被依法撤销或被依法宣告破产的；</w:t>
      </w:r>
    </w:p>
    <w:p w14:paraId="464FE675">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（2）基金管理人被依法取消私募投资基金管理人相关资质的；</w:t>
      </w:r>
    </w:p>
    <w:p w14:paraId="7E3D67A2">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（3）基金托管人依法解散、被依法撤销或被依法宣告破产的；</w:t>
      </w:r>
    </w:p>
    <w:p w14:paraId="3419BDEE">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（4）基金托管人被依法取消基金托管资格的；</w:t>
      </w:r>
    </w:p>
    <w:p w14:paraId="1CCCB03C">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2、本合同期限届满而未延期的；</w:t>
      </w:r>
    </w:p>
    <w:p w14:paraId="6EAC191A">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3、基金份额持有人大会决定终止的；</w:t>
      </w:r>
    </w:p>
    <w:p w14:paraId="4323B84A">
      <w:pPr>
        <w:adjustRightInd w:val="0"/>
        <w:snapToGrid w:val="0"/>
        <w:spacing w:before="93" w:beforeLines="30" w:after="93" w:afterLines="30" w:line="372"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w:t>
      </w:r>
      <w:r>
        <w:rPr>
          <w:rFonts w:hint="eastAsia" w:asciiTheme="minorEastAsia" w:hAnsiTheme="minorEastAsia" w:eastAsiaTheme="minorEastAsia"/>
          <w:color w:val="auto"/>
          <w:szCs w:val="21"/>
          <w:highlight w:val="none"/>
          <w:lang w:val="en-US" w:eastAsia="zh-CN"/>
        </w:rPr>
        <w:t>基金</w:t>
      </w:r>
      <w:r>
        <w:rPr>
          <w:rFonts w:hint="eastAsia" w:asciiTheme="minorEastAsia" w:hAnsiTheme="minorEastAsia" w:eastAsiaTheme="minorEastAsia"/>
          <w:color w:val="auto"/>
          <w:szCs w:val="21"/>
          <w:highlight w:val="none"/>
        </w:rPr>
        <w:t>管理人因基金出现“</w:t>
      </w:r>
      <w:r>
        <w:rPr>
          <w:rFonts w:asciiTheme="minorEastAsia" w:hAnsiTheme="minorEastAsia" w:eastAsiaTheme="minorEastAsia"/>
          <w:color w:val="auto"/>
          <w:szCs w:val="21"/>
          <w:highlight w:val="none"/>
        </w:rPr>
        <w:t>基金上一年度日均基金资产净值低于500万元，或者</w:t>
      </w:r>
      <w:r>
        <w:rPr>
          <w:rFonts w:hint="eastAsia" w:asciiTheme="minorEastAsia" w:hAnsiTheme="minorEastAsia" w:eastAsiaTheme="minorEastAsia"/>
          <w:color w:val="auto"/>
          <w:szCs w:val="21"/>
          <w:highlight w:val="none"/>
        </w:rPr>
        <w:t>基金资产净值</w:t>
      </w:r>
      <w:r>
        <w:rPr>
          <w:rFonts w:asciiTheme="minorEastAsia" w:hAnsiTheme="minorEastAsia" w:eastAsiaTheme="minorEastAsia"/>
          <w:color w:val="auto"/>
          <w:szCs w:val="21"/>
          <w:highlight w:val="none"/>
        </w:rPr>
        <w:t>连续60个交易日低于500万元</w:t>
      </w:r>
      <w:r>
        <w:rPr>
          <w:rFonts w:hint="eastAsia" w:asciiTheme="minorEastAsia" w:hAnsiTheme="minorEastAsia" w:eastAsiaTheme="minorEastAsia"/>
          <w:color w:val="auto"/>
          <w:szCs w:val="21"/>
          <w:highlight w:val="none"/>
        </w:rPr>
        <w:t>的</w:t>
      </w:r>
      <w:r>
        <w:rPr>
          <w:rFonts w:asciiTheme="minorEastAsia" w:hAnsiTheme="minorEastAsia" w:eastAsiaTheme="minorEastAsia"/>
          <w:color w:val="auto"/>
          <w:szCs w:val="21"/>
          <w:highlight w:val="none"/>
        </w:rPr>
        <w:t>情形</w:t>
      </w:r>
      <w:r>
        <w:rPr>
          <w:rFonts w:hint="eastAsia" w:asciiTheme="minorEastAsia" w:hAnsiTheme="minorEastAsia" w:eastAsiaTheme="minorEastAsia"/>
          <w:color w:val="auto"/>
          <w:szCs w:val="21"/>
          <w:highlight w:val="none"/>
        </w:rPr>
        <w:t>”</w:t>
      </w:r>
      <w:r>
        <w:rPr>
          <w:rFonts w:hint="eastAsia" w:asciiTheme="minorEastAsia" w:hAnsiTheme="minorEastAsia" w:eastAsiaTheme="minorEastAsia"/>
          <w:color w:val="auto"/>
          <w:szCs w:val="21"/>
          <w:highlight w:val="none"/>
          <w:lang w:val="en-US" w:eastAsia="zh-CN"/>
        </w:rPr>
        <w:t>停止</w:t>
      </w:r>
      <w:r>
        <w:rPr>
          <w:rFonts w:hint="eastAsia" w:asciiTheme="minorEastAsia" w:hAnsiTheme="minorEastAsia" w:eastAsiaTheme="minorEastAsia"/>
          <w:color w:val="auto"/>
          <w:szCs w:val="21"/>
          <w:highlight w:val="none"/>
        </w:rPr>
        <w:t>申购之日起，</w:t>
      </w:r>
      <w:r>
        <w:rPr>
          <w:rFonts w:asciiTheme="minorEastAsia" w:hAnsiTheme="minorEastAsia" w:eastAsiaTheme="minorEastAsia"/>
          <w:color w:val="auto"/>
          <w:szCs w:val="21"/>
          <w:highlight w:val="none"/>
        </w:rPr>
        <w:t>基金资产净值连续120个交易日低于500万元的</w:t>
      </w:r>
      <w:r>
        <w:rPr>
          <w:rFonts w:hint="eastAsia" w:asciiTheme="minorEastAsia" w:hAnsiTheme="minorEastAsia" w:eastAsiaTheme="minorEastAsia"/>
          <w:color w:val="auto"/>
          <w:szCs w:val="21"/>
          <w:highlight w:val="none"/>
        </w:rPr>
        <w:t>；</w:t>
      </w:r>
    </w:p>
    <w:p w14:paraId="13A7D18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5、</w:t>
      </w:r>
      <w:r>
        <w:rPr>
          <w:rFonts w:hint="eastAsia" w:asciiTheme="minorEastAsia" w:hAnsiTheme="minorEastAsia" w:eastAsiaTheme="minorEastAsia"/>
          <w:color w:val="auto"/>
          <w:szCs w:val="21"/>
          <w:highlight w:val="none"/>
        </w:rPr>
        <w:t>法律法规和本合同规定的其他情形。</w:t>
      </w:r>
    </w:p>
    <w:p w14:paraId="5290D457">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（七）基金维持运作机制</w:t>
      </w:r>
    </w:p>
    <w:p w14:paraId="71416DEC">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lang w:val="en-US" w:eastAsia="zh-CN"/>
        </w:rPr>
        <w:t>私募</w:t>
      </w:r>
      <w:r>
        <w:rPr>
          <w:rFonts w:hint="eastAsia" w:asciiTheme="minorEastAsia" w:hAnsiTheme="minorEastAsia" w:eastAsiaTheme="minorEastAsia"/>
          <w:color w:val="auto"/>
          <w:szCs w:val="21"/>
          <w:highlight w:val="none"/>
        </w:rPr>
        <w:t>基金管理人被基金业协会列为失联（异常）机构、</w:t>
      </w:r>
      <w:r>
        <w:rPr>
          <w:rFonts w:hint="eastAsia" w:ascii="宋体" w:hAnsi="宋体" w:eastAsia="宋体" w:cs="Times New Roman"/>
          <w:color w:val="auto"/>
          <w:sz w:val="21"/>
          <w:szCs w:val="21"/>
          <w:highlight w:val="none"/>
        </w:rPr>
        <w:t>依法解散、被依法撤销、被依法宣告破产、</w:t>
      </w:r>
      <w:r>
        <w:rPr>
          <w:rFonts w:hint="eastAsia" w:asciiTheme="minorEastAsia" w:hAnsiTheme="minorEastAsia" w:eastAsiaTheme="minorEastAsia"/>
          <w:color w:val="auto"/>
          <w:szCs w:val="21"/>
          <w:highlight w:val="none"/>
        </w:rPr>
        <w:t>被基金业协会注销私募基金管理人</w:t>
      </w:r>
      <w:r>
        <w:rPr>
          <w:rFonts w:hint="eastAsia" w:asciiTheme="minorEastAsia" w:hAnsiTheme="minorEastAsia" w:eastAsiaTheme="minorEastAsia"/>
          <w:color w:val="auto"/>
          <w:szCs w:val="21"/>
          <w:highlight w:val="none"/>
          <w:lang w:val="en-US" w:eastAsia="zh-CN"/>
        </w:rPr>
        <w:t>登记等</w:t>
      </w:r>
      <w:r>
        <w:rPr>
          <w:rFonts w:hint="eastAsia" w:ascii="宋体" w:hAnsi="宋体"/>
          <w:color w:val="auto"/>
          <w:szCs w:val="21"/>
          <w:highlight w:val="none"/>
          <w:lang w:val="en-US" w:eastAsia="zh-CN"/>
        </w:rPr>
        <w:t>原因导致私募基金管理人</w:t>
      </w:r>
      <w:r>
        <w:rPr>
          <w:rFonts w:hint="eastAsia" w:asciiTheme="minorEastAsia" w:hAnsiTheme="minorEastAsia" w:eastAsiaTheme="minorEastAsia"/>
          <w:color w:val="auto"/>
          <w:szCs w:val="21"/>
          <w:highlight w:val="none"/>
        </w:rPr>
        <w:t>客观上丧失继续管理本基金的能力</w:t>
      </w:r>
      <w:r>
        <w:rPr>
          <w:rFonts w:hint="eastAsia" w:ascii="宋体" w:hAnsi="宋体"/>
          <w:color w:val="auto"/>
          <w:szCs w:val="21"/>
          <w:highlight w:val="none"/>
          <w:lang w:val="en-US" w:eastAsia="zh-CN"/>
        </w:rPr>
        <w:t>或私募基金管理人怠于履行管理职责，</w:t>
      </w:r>
      <w:r>
        <w:rPr>
          <w:rFonts w:hint="eastAsia" w:asciiTheme="minorEastAsia" w:hAnsiTheme="minorEastAsia" w:eastAsiaTheme="minorEastAsia"/>
          <w:color w:val="auto"/>
          <w:szCs w:val="21"/>
          <w:highlight w:val="none"/>
        </w:rPr>
        <w:t>且管理人未按合同约定履行义务组织清算的，基金份额持有人可按照法律法规规定及本合同约定召开份额持有人大会</w:t>
      </w:r>
      <w:r>
        <w:rPr>
          <w:rFonts w:hint="eastAsia" w:ascii="宋体" w:hAnsi="宋体"/>
          <w:color w:val="auto"/>
          <w:szCs w:val="21"/>
          <w:highlight w:val="none"/>
          <w:lang w:val="en-US" w:eastAsia="zh-CN"/>
        </w:rPr>
        <w:t>变更管理人或</w:t>
      </w:r>
      <w:r>
        <w:rPr>
          <w:rFonts w:hint="eastAsia" w:asciiTheme="minorEastAsia" w:hAnsiTheme="minorEastAsia" w:eastAsiaTheme="minorEastAsia"/>
          <w:color w:val="auto"/>
          <w:szCs w:val="21"/>
          <w:highlight w:val="none"/>
        </w:rPr>
        <w:t>组织成立清算小组</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清算小组可由基金份额持有人大会推举代表、基金托管人组成。在清算过程中涉及基金托管人的相关事宜，基金托管人应提供必要的协助与配合。</w:t>
      </w:r>
    </w:p>
    <w:p w14:paraId="1D55135A">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若管理人被基金业协会从失联（异常）机构名单中移除或恢复继续管理本基金能力的，对于在其被认定为失联（异常）机构或客观上丧失继续管理本基金能力</w:t>
      </w:r>
      <w:r>
        <w:rPr>
          <w:rFonts w:hint="eastAsia" w:ascii="宋体" w:hAnsi="宋体"/>
          <w:color w:val="auto"/>
          <w:szCs w:val="21"/>
          <w:highlight w:val="none"/>
          <w:lang w:val="en-US" w:eastAsia="zh-CN"/>
        </w:rPr>
        <w:t>或怠于履行管理人职责</w:t>
      </w:r>
      <w:r>
        <w:rPr>
          <w:rFonts w:hint="eastAsia" w:asciiTheme="minorEastAsia" w:hAnsiTheme="minorEastAsia" w:eastAsiaTheme="minorEastAsia"/>
          <w:color w:val="auto"/>
          <w:szCs w:val="21"/>
          <w:highlight w:val="none"/>
        </w:rPr>
        <w:t>期间，对基金份额持有人大会、清算小组签署的与本基金相关的协议文件、行使诉讼权利、处分基金财产或者实施其他有关的法律行为均予以认可。</w:t>
      </w:r>
    </w:p>
    <w:p w14:paraId="0324F500">
      <w:pPr>
        <w:adjustRightInd w:val="0"/>
        <w:snapToGrid w:val="0"/>
        <w:spacing w:before="93" w:beforeLines="30" w:after="93" w:afterLines="30" w:line="372"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基金托管人应按照法律法规规定和本基金合同约定履行托管职责，维护基金份额持有人合法权益。</w:t>
      </w:r>
    </w:p>
    <w:p w14:paraId="70D79DD8">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117" w:name="_Toc2389"/>
      <w:bookmarkStart w:id="118" w:name="_Toc110605426"/>
      <w:r>
        <w:rPr>
          <w:rFonts w:hint="eastAsia" w:asciiTheme="minorEastAsia" w:hAnsiTheme="minorEastAsia" w:eastAsiaTheme="minorEastAsia"/>
          <w:b/>
          <w:color w:val="auto"/>
          <w:sz w:val="28"/>
          <w:szCs w:val="28"/>
          <w:highlight w:val="none"/>
        </w:rPr>
        <w:t>二十五、基金的清算</w:t>
      </w:r>
      <w:bookmarkEnd w:id="115"/>
      <w:bookmarkEnd w:id="116"/>
      <w:bookmarkEnd w:id="117"/>
      <w:bookmarkEnd w:id="118"/>
    </w:p>
    <w:p w14:paraId="497DD1D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（一）基金财产清算小组</w:t>
      </w:r>
    </w:p>
    <w:p w14:paraId="4A6DEB2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1、自本合同终止之日起30个工作日内成立基金财产清算小组。</w:t>
      </w:r>
    </w:p>
    <w:p w14:paraId="16321742">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2、基金财产清算小组成员由基金管理人、基金托管人等相关人员组成。清算小组可以聘用必要的工作人员。</w:t>
      </w:r>
    </w:p>
    <w:p w14:paraId="4535D84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3、基金财产清算小组负责基金财产的保管、清理、估价、变现和分配。基金财产清算小组可以依法进行必要的民事活动。</w:t>
      </w:r>
    </w:p>
    <w:p w14:paraId="2C8ED14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（二）基金财产清算程序</w:t>
      </w:r>
    </w:p>
    <w:p w14:paraId="085E4459">
      <w:pPr>
        <w:adjustRightInd w:val="0"/>
        <w:snapToGrid w:val="0"/>
        <w:spacing w:before="93" w:beforeLines="30" w:after="93" w:afterLines="30" w:line="360" w:lineRule="auto"/>
        <w:ind w:firstLine="422" w:firstLineChars="200"/>
        <w:rPr>
          <w:rFonts w:hint="eastAsia" w:asciiTheme="minorEastAsia" w:hAnsiTheme="minorEastAsia" w:eastAsiaTheme="minorEastAsia"/>
          <w:b/>
          <w:bCs/>
          <w:color w:val="auto"/>
          <w:szCs w:val="21"/>
          <w:highlight w:val="none"/>
        </w:rPr>
      </w:pPr>
      <w:r>
        <w:rPr>
          <w:rFonts w:hint="eastAsia" w:asciiTheme="minorEastAsia" w:hAnsiTheme="minorEastAsia" w:eastAsiaTheme="minorEastAsia"/>
          <w:b/>
          <w:bCs/>
          <w:color w:val="auto"/>
          <w:szCs w:val="21"/>
          <w:highlight w:val="none"/>
        </w:rPr>
        <w:t>私募证券投资基金进入清算程序后，不得新增募集、不得新增投资，具体程序如下：</w:t>
      </w:r>
    </w:p>
    <w:p w14:paraId="21AB2E6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1、本合同终止后，由基金财产清算小组统一接管基金财产；</w:t>
      </w:r>
    </w:p>
    <w:p w14:paraId="1AA7EEE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2、对基金财产和债权债务进行清理和确认；</w:t>
      </w:r>
    </w:p>
    <w:p w14:paraId="277A169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3、对基金财产进行估值和变现；</w:t>
      </w:r>
    </w:p>
    <w:p w14:paraId="054FFA3A">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4、制作清算报告；</w:t>
      </w:r>
    </w:p>
    <w:p w14:paraId="4729B61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5、对基金财产进行分配。</w:t>
      </w:r>
    </w:p>
    <w:p w14:paraId="2BA0BCA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w:t>
      </w:r>
      <w:r>
        <w:rPr>
          <w:rFonts w:asciiTheme="minorEastAsia" w:hAnsiTheme="minorEastAsia" w:eastAsiaTheme="minorEastAsia"/>
          <w:color w:val="auto"/>
          <w:szCs w:val="21"/>
          <w:highlight w:val="none"/>
        </w:rPr>
        <w:t>清算费用</w:t>
      </w:r>
    </w:p>
    <w:p w14:paraId="050AA7FE">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清算费用是指</w:t>
      </w:r>
      <w:r>
        <w:rPr>
          <w:rFonts w:hint="eastAsia" w:asciiTheme="minorEastAsia" w:hAnsiTheme="minorEastAsia" w:eastAsiaTheme="minorEastAsia"/>
          <w:color w:val="auto"/>
          <w:szCs w:val="21"/>
          <w:highlight w:val="none"/>
        </w:rPr>
        <w:t>基金财产</w:t>
      </w:r>
      <w:r>
        <w:rPr>
          <w:rFonts w:asciiTheme="minorEastAsia" w:hAnsiTheme="minorEastAsia" w:eastAsiaTheme="minorEastAsia"/>
          <w:color w:val="auto"/>
          <w:szCs w:val="21"/>
          <w:highlight w:val="none"/>
        </w:rPr>
        <w:t>清算小组在进行基金财产清算过程中发生的所有合理费用，清算费用由</w:t>
      </w:r>
      <w:r>
        <w:rPr>
          <w:rFonts w:hint="eastAsia" w:asciiTheme="minorEastAsia" w:hAnsiTheme="minorEastAsia" w:eastAsiaTheme="minorEastAsia"/>
          <w:color w:val="auto"/>
          <w:szCs w:val="21"/>
          <w:highlight w:val="none"/>
        </w:rPr>
        <w:t>基金财产</w:t>
      </w:r>
      <w:r>
        <w:rPr>
          <w:rFonts w:asciiTheme="minorEastAsia" w:hAnsiTheme="minorEastAsia" w:eastAsiaTheme="minorEastAsia"/>
          <w:color w:val="auto"/>
          <w:szCs w:val="21"/>
          <w:highlight w:val="none"/>
        </w:rPr>
        <w:t>清算小组优先从基金</w:t>
      </w:r>
      <w:r>
        <w:rPr>
          <w:rFonts w:hint="eastAsia" w:asciiTheme="minorEastAsia" w:hAnsiTheme="minorEastAsia" w:eastAsiaTheme="minorEastAsia"/>
          <w:color w:val="auto"/>
          <w:szCs w:val="21"/>
          <w:highlight w:val="none"/>
        </w:rPr>
        <w:t>财产</w:t>
      </w:r>
      <w:r>
        <w:rPr>
          <w:rFonts w:asciiTheme="minorEastAsia" w:hAnsiTheme="minorEastAsia" w:eastAsiaTheme="minorEastAsia"/>
          <w:color w:val="auto"/>
          <w:szCs w:val="21"/>
          <w:highlight w:val="none"/>
        </w:rPr>
        <w:t>中支付。</w:t>
      </w:r>
    </w:p>
    <w:p w14:paraId="2D6378C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w:t>
      </w:r>
      <w:r>
        <w:rPr>
          <w:rFonts w:asciiTheme="minorEastAsia" w:hAnsiTheme="minorEastAsia" w:eastAsiaTheme="minorEastAsia"/>
          <w:color w:val="auto"/>
          <w:szCs w:val="21"/>
          <w:highlight w:val="none"/>
        </w:rPr>
        <w:t>基金财产清算过程中剩余</w:t>
      </w:r>
      <w:r>
        <w:rPr>
          <w:rFonts w:hint="eastAsia" w:asciiTheme="minorEastAsia" w:hAnsiTheme="minorEastAsia" w:eastAsiaTheme="minorEastAsia"/>
          <w:color w:val="auto"/>
          <w:szCs w:val="21"/>
          <w:highlight w:val="none"/>
        </w:rPr>
        <w:t>财产</w:t>
      </w:r>
      <w:r>
        <w:rPr>
          <w:rFonts w:asciiTheme="minorEastAsia" w:hAnsiTheme="minorEastAsia" w:eastAsiaTheme="minorEastAsia"/>
          <w:color w:val="auto"/>
          <w:szCs w:val="21"/>
          <w:highlight w:val="none"/>
        </w:rPr>
        <w:t>的分配</w:t>
      </w:r>
    </w:p>
    <w:p w14:paraId="195C1F0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依据基金财产清算的分配方案，</w:t>
      </w:r>
      <w:r>
        <w:rPr>
          <w:rFonts w:hint="eastAsia" w:asciiTheme="minorEastAsia" w:hAnsiTheme="minorEastAsia" w:eastAsiaTheme="minorEastAsia"/>
          <w:color w:val="auto"/>
          <w:szCs w:val="21"/>
          <w:highlight w:val="none"/>
        </w:rPr>
        <w:t>将基金财产清算后的全部剩余财产扣除基金财产清算费用及各项负债后</w:t>
      </w:r>
      <w:r>
        <w:rPr>
          <w:rFonts w:hint="eastAsia" w:asciiTheme="minorEastAsia" w:hAnsiTheme="minorEastAsia" w:eastAsiaTheme="minorEastAsia"/>
          <w:color w:val="auto"/>
          <w:szCs w:val="21"/>
          <w:highlight w:val="none"/>
          <w:lang w:eastAsia="zh-CN"/>
        </w:rPr>
        <w:t>，</w:t>
      </w:r>
      <w:r>
        <w:rPr>
          <w:rFonts w:hint="eastAsia" w:asciiTheme="minorEastAsia" w:hAnsiTheme="minorEastAsia" w:eastAsiaTheme="minorEastAsia"/>
          <w:color w:val="auto"/>
          <w:szCs w:val="21"/>
          <w:highlight w:val="none"/>
        </w:rPr>
        <w:t>如有余额，按各类份额各自的资产净值占基金资产净值的比例进行分配后，再按照按各类基金份额持有人持有的该类份额占该类基金份额总份额数的占比进行分配并分别扣除单个投资者所持每笔份额应计提业绩报酬（如有）、浮动投资顾问费（如有）。其中，在基金清算时免收基金份额持有人的赎回费用（如有）。如本基金清算时出现基金财产不足以支付各项费用及负债的情况，基金管理人应当向基金托管人和私募基金服务机构补足本基金应支付而未支付的托管费和外包服务费。</w:t>
      </w:r>
    </w:p>
    <w:p w14:paraId="6CD11992">
      <w:pPr>
        <w:adjustRightInd w:val="0"/>
        <w:snapToGrid w:val="0"/>
        <w:spacing w:before="93" w:beforeLines="30" w:after="93" w:afterLines="30" w:line="353" w:lineRule="auto"/>
        <w:ind w:firstLine="420" w:firstLineChars="200"/>
        <w:rPr>
          <w:rFonts w:hint="eastAsia"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因持有流通受限证券、投资的产品封闭期（含限售期、锁定期）超过基金存续期等原因导致本基金财产无法及时变现的，基金管理人应当于本基金终止后对基金财产进行清算并先行分配已变现部分。待上述资产可以变现时，基金管理人及时完成剩余可变现基金资产的变现操作后进行二次清算，并将该部分财产另行分配给全体基金份额持有人。本基金持有多个流通受限的证券及投资产品的，基金管理人按本款约定进行多次变现及清算。二次及多次清算期间，基金管理人、基金托管人、私募基金服务机构不计提管理费、托管费、外包服务费。二次及多次清算流程同一次清算。</w:t>
      </w:r>
    </w:p>
    <w:p w14:paraId="0BFF1D72">
      <w:pPr>
        <w:adjustRightInd w:val="0"/>
        <w:snapToGrid w:val="0"/>
        <w:spacing w:before="93" w:beforeLines="30" w:after="93" w:afterLines="30" w:line="360" w:lineRule="auto"/>
        <w:ind w:firstLine="420" w:firstLineChars="200"/>
        <w:rPr>
          <w:rFonts w:hint="eastAsia" w:asciiTheme="minorEastAsia" w:hAnsiTheme="minorEastAsia" w:eastAsiaTheme="minorEastAsia"/>
          <w:color w:val="auto"/>
          <w:szCs w:val="21"/>
          <w:highlight w:val="none"/>
          <w:lang w:eastAsia="zh-CN"/>
        </w:rPr>
      </w:pPr>
      <w:r>
        <w:rPr>
          <w:rFonts w:hint="eastAsia" w:asciiTheme="minorEastAsia" w:hAnsiTheme="minorEastAsia" w:eastAsiaTheme="minorEastAsia"/>
          <w:color w:val="auto"/>
          <w:szCs w:val="21"/>
          <w:highlight w:val="none"/>
        </w:rPr>
        <w:t>私募证券基金完成清算，剩余基金财产可以以货币资金方式分配给投资者，或者经投资者同意，以实物资产方式分配给投资者</w:t>
      </w:r>
      <w:r>
        <w:rPr>
          <w:rFonts w:hint="eastAsia" w:asciiTheme="minorEastAsia" w:hAnsiTheme="minorEastAsia" w:eastAsiaTheme="minorEastAsia"/>
          <w:color w:val="auto"/>
          <w:szCs w:val="21"/>
          <w:highlight w:val="none"/>
          <w:lang w:eastAsia="zh-CN"/>
        </w:rPr>
        <w:t>。</w:t>
      </w:r>
    </w:p>
    <w:p w14:paraId="5C61E36C">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w:t>
      </w:r>
      <w:r>
        <w:rPr>
          <w:rFonts w:asciiTheme="minorEastAsia" w:hAnsiTheme="minorEastAsia" w:eastAsiaTheme="minorEastAsia"/>
          <w:color w:val="auto"/>
          <w:szCs w:val="21"/>
          <w:highlight w:val="none"/>
        </w:rPr>
        <w:t>清算未尽事宜</w:t>
      </w:r>
    </w:p>
    <w:p w14:paraId="33A0749B">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t>本合同中关于基金清算的未尽事宜以清算报告或基金管理人</w:t>
      </w:r>
      <w:r>
        <w:rPr>
          <w:rFonts w:hint="eastAsia" w:asciiTheme="minorEastAsia" w:hAnsiTheme="minorEastAsia" w:eastAsiaTheme="minorEastAsia"/>
          <w:color w:val="auto"/>
          <w:szCs w:val="21"/>
          <w:highlight w:val="none"/>
        </w:rPr>
        <w:t>的通知</w:t>
      </w:r>
      <w:r>
        <w:rPr>
          <w:rFonts w:asciiTheme="minorEastAsia" w:hAnsiTheme="minorEastAsia" w:eastAsiaTheme="minorEastAsia"/>
          <w:color w:val="auto"/>
          <w:szCs w:val="21"/>
          <w:highlight w:val="none"/>
        </w:rPr>
        <w:t>为准。</w:t>
      </w:r>
    </w:p>
    <w:p w14:paraId="44A3DF71">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（六）基金财产清算报告</w:t>
      </w:r>
    </w:p>
    <w:p w14:paraId="40CFE7A4">
      <w:pPr>
        <w:adjustRightInd w:val="0"/>
        <w:snapToGrid w:val="0"/>
        <w:spacing w:before="93" w:beforeLines="30" w:after="93" w:afterLines="30" w:line="348" w:lineRule="auto"/>
        <w:ind w:firstLine="420" w:firstLineChars="200"/>
        <w:rPr>
          <w:rFonts w:hint="eastAsia" w:ascii="Times New Roman" w:hAnsi="Times New Roman" w:eastAsia="宋体"/>
          <w:color w:val="auto"/>
          <w:szCs w:val="24"/>
          <w:highlight w:val="none"/>
        </w:rPr>
      </w:pPr>
      <w:r>
        <w:rPr>
          <w:rFonts w:hint="eastAsia" w:asciiTheme="minorEastAsia" w:hAnsiTheme="minorEastAsia" w:eastAsiaTheme="minorEastAsia"/>
          <w:color w:val="auto"/>
          <w:szCs w:val="21"/>
          <w:highlight w:val="none"/>
          <w:lang w:val="en-US" w:eastAsia="zh-CN"/>
        </w:rPr>
        <w:t>基金清算程序开始后，</w:t>
      </w:r>
      <w:r>
        <w:rPr>
          <w:rFonts w:hint="eastAsia" w:asciiTheme="minorEastAsia" w:hAnsiTheme="minorEastAsia" w:eastAsiaTheme="minorEastAsia"/>
          <w:color w:val="auto"/>
          <w:szCs w:val="21"/>
          <w:highlight w:val="none"/>
        </w:rPr>
        <w:t>基金</w:t>
      </w:r>
      <w:r>
        <w:rPr>
          <w:rFonts w:hint="eastAsia" w:asciiTheme="minorEastAsia" w:hAnsiTheme="minorEastAsia" w:eastAsiaTheme="minorEastAsia"/>
          <w:color w:val="auto"/>
          <w:szCs w:val="21"/>
          <w:highlight w:val="none"/>
          <w:lang w:val="en-US" w:eastAsia="zh-CN"/>
        </w:rPr>
        <w:t>管理人</w:t>
      </w:r>
      <w:r>
        <w:rPr>
          <w:rFonts w:hint="eastAsia" w:asciiTheme="minorEastAsia" w:hAnsiTheme="minorEastAsia" w:eastAsiaTheme="minorEastAsia"/>
          <w:color w:val="auto"/>
          <w:szCs w:val="21"/>
          <w:highlight w:val="none"/>
        </w:rPr>
        <w:t>（或其委托的</w:t>
      </w:r>
      <w:r>
        <w:rPr>
          <w:rFonts w:hint="eastAsia" w:asciiTheme="minorEastAsia" w:hAnsiTheme="minorEastAsia" w:eastAsiaTheme="minorEastAsia"/>
          <w:color w:val="auto"/>
          <w:highlight w:val="none"/>
          <w:lang w:val="en-US" w:eastAsia="zh-CN"/>
        </w:rPr>
        <w:t>私募基金</w:t>
      </w:r>
      <w:r>
        <w:rPr>
          <w:rFonts w:hint="eastAsia" w:asciiTheme="minorEastAsia" w:hAnsiTheme="minorEastAsia" w:eastAsiaTheme="minorEastAsia"/>
          <w:color w:val="auto"/>
          <w:szCs w:val="21"/>
          <w:highlight w:val="none"/>
        </w:rPr>
        <w:t>服务机构）应</w:t>
      </w:r>
      <w:r>
        <w:rPr>
          <w:rFonts w:hint="eastAsia" w:asciiTheme="minorEastAsia" w:hAnsiTheme="minorEastAsia" w:eastAsiaTheme="minorEastAsia"/>
          <w:color w:val="auto"/>
          <w:szCs w:val="21"/>
          <w:highlight w:val="none"/>
          <w:lang w:val="en-US" w:eastAsia="zh-CN"/>
        </w:rPr>
        <w:t>及时</w:t>
      </w:r>
      <w:r>
        <w:rPr>
          <w:rFonts w:hint="eastAsia" w:asciiTheme="minorEastAsia" w:hAnsiTheme="minorEastAsia" w:eastAsiaTheme="minorEastAsia"/>
          <w:color w:val="auto"/>
          <w:szCs w:val="21"/>
          <w:highlight w:val="none"/>
        </w:rPr>
        <w:t>编制基金财产清算报告，</w:t>
      </w:r>
      <w:r>
        <w:rPr>
          <w:rFonts w:hint="eastAsia" w:asciiTheme="minorEastAsia" w:hAnsiTheme="minorEastAsia" w:eastAsiaTheme="minorEastAsia"/>
          <w:color w:val="auto"/>
          <w:szCs w:val="21"/>
          <w:highlight w:val="none"/>
          <w:lang w:val="en-US" w:eastAsia="zh-CN"/>
        </w:rPr>
        <w:t>并由基金管理人将</w:t>
      </w:r>
      <w:r>
        <w:rPr>
          <w:rFonts w:hint="eastAsia" w:asciiTheme="minorEastAsia" w:hAnsiTheme="minorEastAsia" w:eastAsiaTheme="minorEastAsia"/>
          <w:color w:val="auto"/>
          <w:szCs w:val="21"/>
          <w:highlight w:val="none"/>
        </w:rPr>
        <w:t>加盖基金管理人和基金托管人公章或业务章后</w:t>
      </w:r>
      <w:r>
        <w:rPr>
          <w:rFonts w:hint="eastAsia" w:asciiTheme="minorEastAsia" w:hAnsiTheme="minorEastAsia" w:eastAsiaTheme="minorEastAsia"/>
          <w:color w:val="auto"/>
          <w:szCs w:val="21"/>
          <w:highlight w:val="none"/>
          <w:lang w:val="en-US" w:eastAsia="zh-CN"/>
        </w:rPr>
        <w:t>的清算报告</w:t>
      </w:r>
      <w:r>
        <w:rPr>
          <w:rFonts w:hint="default" w:asciiTheme="minorEastAsia" w:hAnsiTheme="minorEastAsia" w:eastAsiaTheme="minorEastAsia"/>
          <w:color w:val="auto"/>
          <w:szCs w:val="21"/>
          <w:highlight w:val="none"/>
        </w:rPr>
        <w:t>以约定的方式通知</w:t>
      </w:r>
      <w:r>
        <w:rPr>
          <w:rFonts w:hint="eastAsia" w:asciiTheme="minorEastAsia" w:hAnsiTheme="minorEastAsia" w:eastAsiaTheme="minorEastAsia"/>
          <w:color w:val="auto"/>
          <w:szCs w:val="21"/>
          <w:highlight w:val="none"/>
        </w:rPr>
        <w:t>基金份额持有人。</w:t>
      </w:r>
    </w:p>
    <w:p w14:paraId="706883C8">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（七）基金财产清算账册及文件由私募基金管理人保存10年以上。</w:t>
      </w:r>
    </w:p>
    <w:p w14:paraId="1A6913B5">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（八）基金财产相关账户的注销</w:t>
      </w:r>
    </w:p>
    <w:p w14:paraId="62FF5DF1">
      <w:pPr>
        <w:adjustRightInd w:val="0"/>
        <w:snapToGrid w:val="0"/>
        <w:spacing w:before="93" w:beforeLines="30" w:after="93" w:afterLines="30" w:line="353"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基金财产清算完毕后，基金托管人及基金管理人应按照交易所、银行的有关规定注销托管资金专门账户、证券账户和期货账户、证券资金账户等投资所需账户。</w:t>
      </w:r>
    </w:p>
    <w:p w14:paraId="3E5DAEBF">
      <w:pPr>
        <w:adjustRightInd w:val="0"/>
        <w:snapToGrid w:val="0"/>
        <w:spacing w:before="312" w:beforeLines="100" w:after="312" w:afterLines="100" w:line="353" w:lineRule="auto"/>
        <w:jc w:val="center"/>
        <w:outlineLvl w:val="0"/>
        <w:rPr>
          <w:rFonts w:asciiTheme="minorEastAsia" w:hAnsiTheme="minorEastAsia" w:eastAsiaTheme="minorEastAsia"/>
          <w:b/>
          <w:color w:val="auto"/>
          <w:sz w:val="28"/>
          <w:szCs w:val="28"/>
          <w:highlight w:val="none"/>
        </w:rPr>
      </w:pPr>
      <w:bookmarkStart w:id="119" w:name="_Toc459392428"/>
      <w:bookmarkStart w:id="120" w:name="_Toc14546"/>
      <w:bookmarkStart w:id="121" w:name="_Toc110605427"/>
      <w:r>
        <w:rPr>
          <w:rFonts w:hint="eastAsia" w:asciiTheme="minorEastAsia" w:hAnsiTheme="minorEastAsia" w:eastAsiaTheme="minorEastAsia"/>
          <w:b/>
          <w:color w:val="auto"/>
          <w:sz w:val="28"/>
          <w:szCs w:val="28"/>
          <w:highlight w:val="none"/>
        </w:rPr>
        <w:t>二十六、违约责任</w:t>
      </w:r>
      <w:bookmarkEnd w:id="119"/>
      <w:bookmarkEnd w:id="120"/>
      <w:bookmarkEnd w:id="121"/>
    </w:p>
    <w:p w14:paraId="47B66AB4">
      <w:pPr>
        <w:adjustRightInd w:val="0"/>
        <w:snapToGrid w:val="0"/>
        <w:spacing w:before="93" w:beforeLines="30" w:after="93" w:afterLines="30" w:line="353" w:lineRule="auto"/>
        <w:ind w:firstLine="420"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color w:val="auto"/>
          <w:szCs w:val="21"/>
          <w:highlight w:val="none"/>
        </w:rPr>
        <w:t>（一）当事人违反本合同，应当承担违约责任，给合同其他当事人造成损失的，应当承担赔偿责任；如属本合同当事人双方或多方当事人的违约，根据实际情况，由违约方分别承担各自应负的违约责任。</w:t>
      </w:r>
      <w:r>
        <w:rPr>
          <w:rFonts w:hint="eastAsia" w:asciiTheme="minorEastAsia" w:hAnsiTheme="minorEastAsia" w:eastAsiaTheme="minorEastAsia"/>
          <w:b/>
          <w:color w:val="auto"/>
          <w:szCs w:val="21"/>
          <w:highlight w:val="none"/>
        </w:rPr>
        <w:t>但是发生下列情况，当事人应当免责：</w:t>
      </w:r>
    </w:p>
    <w:p w14:paraId="7ABF51D9">
      <w:pPr>
        <w:adjustRightInd w:val="0"/>
        <w:snapToGrid w:val="0"/>
        <w:spacing w:before="93" w:beforeLines="30" w:after="93" w:afterLines="30" w:line="353"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1、基金管理人及和/或基金托管人按照中国证监会的规定或当时有效的法律法规的作为或不作为而造成的损失等。</w:t>
      </w:r>
    </w:p>
    <w:p w14:paraId="5B690595">
      <w:pPr>
        <w:adjustRightInd w:val="0"/>
        <w:snapToGrid w:val="0"/>
        <w:spacing w:before="93" w:beforeLines="30" w:after="93" w:afterLines="30" w:line="353"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2、基金管理人由于按照本合同规定的投资原则而行使或不行使其投资权而造成的损失等。</w:t>
      </w:r>
    </w:p>
    <w:p w14:paraId="35ADE48E">
      <w:pPr>
        <w:adjustRightInd w:val="0"/>
        <w:snapToGrid w:val="0"/>
        <w:spacing w:before="93" w:beforeLines="30" w:after="93" w:afterLines="30" w:line="353" w:lineRule="auto"/>
        <w:ind w:firstLine="422" w:firstLineChars="200"/>
        <w:rPr>
          <w:rFonts w:asciiTheme="minorEastAsia" w:hAnsiTheme="minorEastAsia" w:eastAsiaTheme="minorEastAsia"/>
          <w:b/>
          <w:color w:val="auto"/>
          <w:szCs w:val="21"/>
          <w:highlight w:val="none"/>
          <w:lang w:val="zh-CN"/>
        </w:rPr>
      </w:pPr>
      <w:r>
        <w:rPr>
          <w:rFonts w:asciiTheme="minorEastAsia" w:hAnsiTheme="minorEastAsia" w:eastAsiaTheme="minorEastAsia"/>
          <w:b/>
          <w:color w:val="auto"/>
          <w:szCs w:val="21"/>
          <w:highlight w:val="none"/>
          <w:lang w:val="zh-CN"/>
        </w:rPr>
        <w:t>3、基金托管人由于按照基金管理人符合本合同约定的有效指令执行而造成的损失等。</w:t>
      </w:r>
    </w:p>
    <w:p w14:paraId="259A80B5">
      <w:pPr>
        <w:adjustRightInd w:val="0"/>
        <w:snapToGrid w:val="0"/>
        <w:spacing w:before="93" w:beforeLines="30" w:after="93" w:afterLines="30" w:line="353"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4、基金托管人对存放或存管在基金托管人以外机构的基金</w:t>
      </w:r>
      <w:r>
        <w:rPr>
          <w:rFonts w:hint="eastAsia" w:asciiTheme="minorEastAsia" w:hAnsiTheme="minorEastAsia" w:eastAsiaTheme="minorEastAsia"/>
          <w:b/>
          <w:color w:val="auto"/>
          <w:szCs w:val="21"/>
          <w:highlight w:val="none"/>
        </w:rPr>
        <w:t>财产，或交由商业银行、期货公司、证券公司等其他机构负责清算交收的委托财产（包括但不限于保证金账户内的资金、期货合约等）及其收益，因该等机构欺诈、疏忽、过失、破产等原因给委托财产带来的损失等。</w:t>
      </w:r>
    </w:p>
    <w:p w14:paraId="7AA211E6">
      <w:pPr>
        <w:adjustRightInd w:val="0"/>
        <w:snapToGrid w:val="0"/>
        <w:spacing w:before="93" w:beforeLines="30" w:after="93" w:afterLines="30" w:line="353"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5、</w:t>
      </w:r>
      <w:r>
        <w:rPr>
          <w:rFonts w:hint="eastAsia" w:asciiTheme="minorEastAsia" w:hAnsiTheme="minorEastAsia" w:eastAsiaTheme="minorEastAsia"/>
          <w:b/>
          <w:color w:val="auto"/>
          <w:kern w:val="0"/>
          <w:szCs w:val="21"/>
          <w:highlight w:val="none"/>
        </w:rPr>
        <w:t>本协议各方对由于第三方（包括但不限于交易所、中登公司、经纪商等）发送或提供的数据错误给本基金财产造成的损失等。</w:t>
      </w:r>
    </w:p>
    <w:p w14:paraId="790A499D">
      <w:pPr>
        <w:adjustRightInd w:val="0"/>
        <w:snapToGrid w:val="0"/>
        <w:spacing w:before="93" w:beforeLines="30" w:after="93" w:afterLines="30" w:line="353" w:lineRule="auto"/>
        <w:ind w:firstLine="422" w:firstLineChars="200"/>
        <w:rPr>
          <w:rFonts w:asciiTheme="minorEastAsia" w:hAnsiTheme="minorEastAsia" w:eastAsiaTheme="minorEastAsia"/>
          <w:b/>
          <w:color w:val="auto"/>
          <w:szCs w:val="21"/>
          <w:highlight w:val="none"/>
        </w:rPr>
      </w:pPr>
      <w:r>
        <w:rPr>
          <w:rFonts w:asciiTheme="minorEastAsia" w:hAnsiTheme="minorEastAsia" w:eastAsiaTheme="minorEastAsia"/>
          <w:b/>
          <w:color w:val="auto"/>
          <w:szCs w:val="21"/>
          <w:highlight w:val="none"/>
        </w:rPr>
        <w:t>6、不可抗力。</w:t>
      </w:r>
    </w:p>
    <w:p w14:paraId="47179CD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在发生一方或多方违约的情况下，在最大限度地保护基金份额持有人利益的前提下，本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02CF9748">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三）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p>
    <w:p w14:paraId="7235BA1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（四）一方依据本合同向另一方赔偿的损失，仅限于直接损失。</w:t>
      </w:r>
    </w:p>
    <w:p w14:paraId="5DA3789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（五）基金托管人仅承担本合同约定的相关责任及义务，基金管理人不得对基金托管人所承担的责任进行虚假宣传，更不得以基金托管人名义或利用基金托管人商誉进行非法募集资金、承诺投资收益等违规活动。</w:t>
      </w:r>
    </w:p>
    <w:p w14:paraId="60072405">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122" w:name="_Toc9758"/>
      <w:bookmarkStart w:id="123" w:name="_Toc459392429"/>
      <w:bookmarkStart w:id="124" w:name="_Toc110605428"/>
      <w:r>
        <w:rPr>
          <w:rFonts w:hint="eastAsia" w:asciiTheme="minorEastAsia" w:hAnsiTheme="minorEastAsia" w:eastAsiaTheme="minorEastAsia"/>
          <w:b/>
          <w:color w:val="auto"/>
          <w:sz w:val="28"/>
          <w:szCs w:val="28"/>
          <w:highlight w:val="none"/>
        </w:rPr>
        <w:t>二十七、通知与送达</w:t>
      </w:r>
      <w:bookmarkEnd w:id="122"/>
      <w:bookmarkEnd w:id="123"/>
      <w:bookmarkEnd w:id="124"/>
    </w:p>
    <w:p w14:paraId="7D109DB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的规定需要发出的任何通知、要求、需要、主张和其他联络内容等，基金管理人除了可通过管理人或代销机构的网站以公告的方式进行通知的事项外，还可以当面递交、传真、快递、挂号信、电子邮件或短信的方式送至本合同各方当事人。</w:t>
      </w:r>
    </w:p>
    <w:p w14:paraId="7437F701">
      <w:pPr>
        <w:adjustRightInd w:val="0"/>
        <w:snapToGrid w:val="0"/>
        <w:spacing w:before="93" w:beforeLines="30" w:after="93" w:afterLines="30" w:line="348"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被送达方为基金管理人的，</w:t>
      </w:r>
      <w:r>
        <w:rPr>
          <w:rFonts w:hint="eastAsia" w:asciiTheme="minorEastAsia" w:hAnsiTheme="minorEastAsia" w:eastAsiaTheme="minorEastAsia"/>
          <w:color w:val="auto"/>
          <w:szCs w:val="21"/>
          <w:highlight w:val="none"/>
          <w:lang w:val="en-US" w:eastAsia="zh-CN"/>
        </w:rPr>
        <w:t>以</w:t>
      </w:r>
      <w:r>
        <w:rPr>
          <w:rFonts w:hint="eastAsia" w:asciiTheme="minorEastAsia" w:hAnsiTheme="minorEastAsia" w:eastAsiaTheme="minorEastAsia"/>
          <w:color w:val="auto"/>
          <w:szCs w:val="21"/>
          <w:highlight w:val="none"/>
        </w:rPr>
        <w:t>本合同当事人信息页</w:t>
      </w:r>
      <w:r>
        <w:rPr>
          <w:rFonts w:hint="eastAsia" w:asciiTheme="minorEastAsia" w:hAnsiTheme="minorEastAsia" w:eastAsiaTheme="minorEastAsia"/>
          <w:color w:val="auto"/>
          <w:szCs w:val="21"/>
          <w:highlight w:val="none"/>
          <w:lang w:val="en-US" w:eastAsia="zh-CN"/>
        </w:rPr>
        <w:t>约</w:t>
      </w:r>
      <w:r>
        <w:rPr>
          <w:rFonts w:hint="eastAsia" w:asciiTheme="minorEastAsia" w:hAnsiTheme="minorEastAsia" w:eastAsiaTheme="minorEastAsia"/>
          <w:color w:val="auto"/>
          <w:szCs w:val="21"/>
          <w:highlight w:val="none"/>
        </w:rPr>
        <w:t>定的基金管理人</w:t>
      </w:r>
      <w:r>
        <w:rPr>
          <w:rFonts w:hint="eastAsia" w:asciiTheme="minorEastAsia" w:hAnsiTheme="minorEastAsia" w:eastAsiaTheme="minorEastAsia"/>
          <w:color w:val="auto"/>
          <w:szCs w:val="21"/>
          <w:highlight w:val="none"/>
          <w:lang w:val="en-US" w:eastAsia="zh-CN"/>
        </w:rPr>
        <w:t>多种</w:t>
      </w:r>
      <w:r>
        <w:rPr>
          <w:rFonts w:hint="eastAsia" w:asciiTheme="minorEastAsia" w:hAnsiTheme="minorEastAsia" w:eastAsiaTheme="minorEastAsia"/>
          <w:color w:val="auto"/>
          <w:szCs w:val="21"/>
          <w:highlight w:val="none"/>
        </w:rPr>
        <w:t>联系</w:t>
      </w:r>
      <w:r>
        <w:rPr>
          <w:rFonts w:hint="eastAsia" w:asciiTheme="minorEastAsia" w:hAnsiTheme="minorEastAsia" w:eastAsiaTheme="minorEastAsia"/>
          <w:color w:val="auto"/>
          <w:szCs w:val="21"/>
          <w:highlight w:val="none"/>
          <w:lang w:val="en-US" w:eastAsia="zh-CN"/>
        </w:rPr>
        <w:t>方式中的一种联系方式</w:t>
      </w:r>
      <w:r>
        <w:rPr>
          <w:rFonts w:hint="eastAsia" w:asciiTheme="minorEastAsia" w:hAnsiTheme="minorEastAsia" w:eastAsiaTheme="minorEastAsia"/>
          <w:color w:val="auto"/>
          <w:szCs w:val="21"/>
          <w:highlight w:val="none"/>
        </w:rPr>
        <w:t>或基金管理人按本合同的</w:t>
      </w:r>
      <w:r>
        <w:rPr>
          <w:rFonts w:hint="eastAsia" w:asciiTheme="minorEastAsia" w:hAnsiTheme="minorEastAsia" w:eastAsiaTheme="minorEastAsia"/>
          <w:color w:val="auto"/>
          <w:szCs w:val="21"/>
          <w:highlight w:val="none"/>
          <w:lang w:val="en-US" w:eastAsia="zh-CN"/>
        </w:rPr>
        <w:t>约</w:t>
      </w:r>
      <w:r>
        <w:rPr>
          <w:rFonts w:hint="eastAsia" w:asciiTheme="minorEastAsia" w:hAnsiTheme="minorEastAsia" w:eastAsiaTheme="minorEastAsia"/>
          <w:color w:val="auto"/>
          <w:szCs w:val="21"/>
          <w:highlight w:val="none"/>
        </w:rPr>
        <w:t>定变更后的</w:t>
      </w:r>
      <w:r>
        <w:rPr>
          <w:rFonts w:hint="eastAsia" w:asciiTheme="minorEastAsia" w:hAnsiTheme="minorEastAsia" w:eastAsiaTheme="minorEastAsia"/>
          <w:color w:val="auto"/>
          <w:szCs w:val="21"/>
          <w:highlight w:val="none"/>
          <w:lang w:val="en-US" w:eastAsia="zh-CN"/>
        </w:rPr>
        <w:t>多种</w:t>
      </w:r>
      <w:r>
        <w:rPr>
          <w:rFonts w:hint="eastAsia" w:asciiTheme="minorEastAsia" w:hAnsiTheme="minorEastAsia" w:eastAsiaTheme="minorEastAsia"/>
          <w:color w:val="auto"/>
          <w:szCs w:val="21"/>
          <w:highlight w:val="none"/>
        </w:rPr>
        <w:t>联系</w:t>
      </w:r>
      <w:r>
        <w:rPr>
          <w:rFonts w:hint="eastAsia" w:asciiTheme="minorEastAsia" w:hAnsiTheme="minorEastAsia" w:eastAsiaTheme="minorEastAsia"/>
          <w:color w:val="auto"/>
          <w:szCs w:val="21"/>
          <w:highlight w:val="none"/>
          <w:lang w:val="en-US" w:eastAsia="zh-CN"/>
        </w:rPr>
        <w:t>方式中的一种联系方式完成送达的</w:t>
      </w:r>
      <w:r>
        <w:rPr>
          <w:rFonts w:hint="eastAsia" w:asciiTheme="minorEastAsia" w:hAnsiTheme="minorEastAsia" w:eastAsiaTheme="minorEastAsia"/>
          <w:color w:val="auto"/>
          <w:szCs w:val="21"/>
          <w:highlight w:val="none"/>
        </w:rPr>
        <w:t>，即视为送达；被送达方为基金托管人的，</w:t>
      </w:r>
      <w:r>
        <w:rPr>
          <w:rFonts w:hint="eastAsia" w:asciiTheme="minorEastAsia" w:hAnsiTheme="minorEastAsia" w:eastAsiaTheme="minorEastAsia"/>
          <w:color w:val="auto"/>
          <w:szCs w:val="21"/>
          <w:highlight w:val="none"/>
          <w:lang w:val="en-US" w:eastAsia="zh-CN"/>
        </w:rPr>
        <w:t>以</w:t>
      </w:r>
      <w:r>
        <w:rPr>
          <w:rFonts w:hint="eastAsia" w:asciiTheme="minorEastAsia" w:hAnsiTheme="minorEastAsia" w:eastAsiaTheme="minorEastAsia"/>
          <w:color w:val="auto"/>
          <w:szCs w:val="21"/>
          <w:highlight w:val="none"/>
        </w:rPr>
        <w:t>本合同当事人信息页</w:t>
      </w:r>
      <w:r>
        <w:rPr>
          <w:rFonts w:hint="eastAsia" w:asciiTheme="minorEastAsia" w:hAnsiTheme="minorEastAsia" w:eastAsiaTheme="minorEastAsia"/>
          <w:color w:val="auto"/>
          <w:szCs w:val="21"/>
          <w:highlight w:val="none"/>
          <w:lang w:val="en-US" w:eastAsia="zh-CN"/>
        </w:rPr>
        <w:t>约</w:t>
      </w:r>
      <w:r>
        <w:rPr>
          <w:rFonts w:hint="eastAsia" w:asciiTheme="minorEastAsia" w:hAnsiTheme="minorEastAsia" w:eastAsiaTheme="minorEastAsia"/>
          <w:color w:val="auto"/>
          <w:szCs w:val="21"/>
          <w:highlight w:val="none"/>
        </w:rPr>
        <w:t>定的基金托管人的</w:t>
      </w:r>
      <w:r>
        <w:rPr>
          <w:rFonts w:hint="eastAsia" w:asciiTheme="minorEastAsia" w:hAnsiTheme="minorEastAsia" w:eastAsiaTheme="minorEastAsia"/>
          <w:color w:val="auto"/>
          <w:szCs w:val="21"/>
          <w:highlight w:val="none"/>
          <w:lang w:val="en-US" w:eastAsia="zh-CN"/>
        </w:rPr>
        <w:t>多种</w:t>
      </w:r>
      <w:r>
        <w:rPr>
          <w:rFonts w:hint="eastAsia" w:asciiTheme="minorEastAsia" w:hAnsiTheme="minorEastAsia" w:eastAsiaTheme="minorEastAsia"/>
          <w:color w:val="auto"/>
          <w:szCs w:val="21"/>
          <w:highlight w:val="none"/>
        </w:rPr>
        <w:t>联系</w:t>
      </w:r>
      <w:r>
        <w:rPr>
          <w:rFonts w:hint="eastAsia" w:asciiTheme="minorEastAsia" w:hAnsiTheme="minorEastAsia" w:eastAsiaTheme="minorEastAsia"/>
          <w:color w:val="auto"/>
          <w:szCs w:val="21"/>
          <w:highlight w:val="none"/>
          <w:lang w:val="en-US" w:eastAsia="zh-CN"/>
        </w:rPr>
        <w:t>方式中的一种联系方式</w:t>
      </w:r>
      <w:r>
        <w:rPr>
          <w:rFonts w:hint="eastAsia" w:asciiTheme="minorEastAsia" w:hAnsiTheme="minorEastAsia" w:eastAsiaTheme="minorEastAsia"/>
          <w:color w:val="auto"/>
          <w:szCs w:val="21"/>
          <w:highlight w:val="none"/>
        </w:rPr>
        <w:t>或基金托管人按本合同的</w:t>
      </w:r>
      <w:r>
        <w:rPr>
          <w:rFonts w:hint="eastAsia" w:asciiTheme="minorEastAsia" w:hAnsiTheme="minorEastAsia" w:eastAsiaTheme="minorEastAsia"/>
          <w:color w:val="auto"/>
          <w:szCs w:val="21"/>
          <w:highlight w:val="none"/>
          <w:lang w:val="en-US" w:eastAsia="zh-CN"/>
        </w:rPr>
        <w:t>约</w:t>
      </w:r>
      <w:r>
        <w:rPr>
          <w:rFonts w:hint="eastAsia" w:asciiTheme="minorEastAsia" w:hAnsiTheme="minorEastAsia" w:eastAsiaTheme="minorEastAsia"/>
          <w:color w:val="auto"/>
          <w:szCs w:val="21"/>
          <w:highlight w:val="none"/>
        </w:rPr>
        <w:t>定变更后的</w:t>
      </w:r>
      <w:r>
        <w:rPr>
          <w:rFonts w:hint="eastAsia" w:asciiTheme="minorEastAsia" w:hAnsiTheme="minorEastAsia" w:eastAsiaTheme="minorEastAsia"/>
          <w:color w:val="auto"/>
          <w:szCs w:val="21"/>
          <w:highlight w:val="none"/>
          <w:lang w:val="en-US" w:eastAsia="zh-CN"/>
        </w:rPr>
        <w:t>多种</w:t>
      </w:r>
      <w:r>
        <w:rPr>
          <w:rFonts w:hint="eastAsia" w:asciiTheme="minorEastAsia" w:hAnsiTheme="minorEastAsia" w:eastAsiaTheme="minorEastAsia"/>
          <w:color w:val="auto"/>
          <w:szCs w:val="21"/>
          <w:highlight w:val="none"/>
        </w:rPr>
        <w:t>联系</w:t>
      </w:r>
      <w:r>
        <w:rPr>
          <w:rFonts w:hint="eastAsia" w:asciiTheme="minorEastAsia" w:hAnsiTheme="minorEastAsia" w:eastAsiaTheme="minorEastAsia"/>
          <w:color w:val="auto"/>
          <w:szCs w:val="21"/>
          <w:highlight w:val="none"/>
          <w:lang w:val="en-US" w:eastAsia="zh-CN"/>
        </w:rPr>
        <w:t>方式中的一种联系方式完成送达的</w:t>
      </w:r>
      <w:r>
        <w:rPr>
          <w:rFonts w:hint="eastAsia" w:asciiTheme="minorEastAsia" w:hAnsiTheme="minorEastAsia" w:eastAsiaTheme="minorEastAsia"/>
          <w:color w:val="auto"/>
          <w:szCs w:val="21"/>
          <w:highlight w:val="none"/>
        </w:rPr>
        <w:t>，即视为送达；被送达方为基金份额持有人的，送达至其在募集机构预留的</w:t>
      </w:r>
      <w:r>
        <w:rPr>
          <w:rFonts w:hint="eastAsia" w:asciiTheme="minorEastAsia" w:hAnsiTheme="minorEastAsia" w:eastAsiaTheme="minorEastAsia"/>
          <w:color w:val="auto"/>
          <w:szCs w:val="21"/>
          <w:highlight w:val="none"/>
          <w:lang w:val="en-US" w:eastAsia="zh-CN"/>
        </w:rPr>
        <w:t>多种</w:t>
      </w:r>
      <w:r>
        <w:rPr>
          <w:rFonts w:hint="eastAsia" w:asciiTheme="minorEastAsia" w:hAnsiTheme="minorEastAsia" w:eastAsiaTheme="minorEastAsia"/>
          <w:color w:val="auto"/>
          <w:szCs w:val="21"/>
          <w:highlight w:val="none"/>
        </w:rPr>
        <w:t>联系</w:t>
      </w:r>
      <w:r>
        <w:rPr>
          <w:rFonts w:hint="eastAsia" w:asciiTheme="minorEastAsia" w:hAnsiTheme="minorEastAsia" w:eastAsiaTheme="minorEastAsia"/>
          <w:color w:val="auto"/>
          <w:szCs w:val="21"/>
          <w:highlight w:val="none"/>
          <w:lang w:val="en-US" w:eastAsia="zh-CN"/>
        </w:rPr>
        <w:t>方式中的一种联系方式</w:t>
      </w:r>
      <w:r>
        <w:rPr>
          <w:rFonts w:hint="eastAsia" w:asciiTheme="minorEastAsia" w:hAnsiTheme="minorEastAsia" w:eastAsiaTheme="minorEastAsia"/>
          <w:color w:val="auto"/>
          <w:szCs w:val="21"/>
          <w:highlight w:val="none"/>
        </w:rPr>
        <w:t>或其按照本合同</w:t>
      </w:r>
      <w:r>
        <w:rPr>
          <w:rFonts w:hint="eastAsia" w:asciiTheme="minorEastAsia" w:hAnsiTheme="minorEastAsia" w:eastAsiaTheme="minorEastAsia"/>
          <w:color w:val="auto"/>
          <w:szCs w:val="21"/>
          <w:highlight w:val="none"/>
          <w:lang w:val="en-US" w:eastAsia="zh-CN"/>
        </w:rPr>
        <w:t>约</w:t>
      </w:r>
      <w:r>
        <w:rPr>
          <w:rFonts w:hint="eastAsia" w:asciiTheme="minorEastAsia" w:hAnsiTheme="minorEastAsia" w:eastAsiaTheme="minorEastAsia"/>
          <w:color w:val="auto"/>
          <w:szCs w:val="21"/>
          <w:highlight w:val="none"/>
        </w:rPr>
        <w:t>定变更后的</w:t>
      </w:r>
      <w:r>
        <w:rPr>
          <w:rFonts w:hint="eastAsia" w:asciiTheme="minorEastAsia" w:hAnsiTheme="minorEastAsia" w:eastAsiaTheme="minorEastAsia"/>
          <w:color w:val="auto"/>
          <w:szCs w:val="21"/>
          <w:highlight w:val="none"/>
          <w:lang w:val="en-US" w:eastAsia="zh-CN"/>
        </w:rPr>
        <w:t>多种</w:t>
      </w:r>
      <w:r>
        <w:rPr>
          <w:rFonts w:hint="eastAsia" w:asciiTheme="minorEastAsia" w:hAnsiTheme="minorEastAsia" w:eastAsiaTheme="minorEastAsia"/>
          <w:color w:val="auto"/>
          <w:szCs w:val="21"/>
          <w:highlight w:val="none"/>
        </w:rPr>
        <w:t>联系</w:t>
      </w:r>
      <w:r>
        <w:rPr>
          <w:rFonts w:hint="eastAsia" w:asciiTheme="minorEastAsia" w:hAnsiTheme="minorEastAsia" w:eastAsiaTheme="minorEastAsia"/>
          <w:color w:val="auto"/>
          <w:szCs w:val="21"/>
          <w:highlight w:val="none"/>
          <w:lang w:val="en-US" w:eastAsia="zh-CN"/>
        </w:rPr>
        <w:t>方式中的一种联系方式完成送达的</w:t>
      </w:r>
      <w:r>
        <w:rPr>
          <w:rFonts w:hint="eastAsia" w:asciiTheme="minorEastAsia" w:hAnsiTheme="minorEastAsia" w:eastAsiaTheme="minorEastAsia"/>
          <w:color w:val="auto"/>
          <w:szCs w:val="21"/>
          <w:highlight w:val="none"/>
        </w:rPr>
        <w:t>，即视为送达。</w:t>
      </w:r>
    </w:p>
    <w:p w14:paraId="416918F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任何一方在任何时间改变接收通知所用的地址、电子邮箱、传真号码或手机号码都应立即将该变更书面通知另一方；如果该变更通知未能送达，递交给上述收件人或地址的通知或联络应视为被正常发送和接收。</w:t>
      </w:r>
    </w:p>
    <w:p w14:paraId="5AB43F3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所有该等通知和其他联络均应视为已被收到：（1）当面递交的，于递交时收到；（2）邮寄或快递的，则寄出五个工作日视为收到；（3）传真递交的，传真机报告确认时视为收到；（4）电子邮件发送的，收件方服务器接收视为收到；（5）短信发送的，发送方发送成功视为收到。</w:t>
      </w:r>
    </w:p>
    <w:p w14:paraId="728D26A9">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125" w:name="_Toc459392430"/>
      <w:bookmarkStart w:id="126" w:name="_Toc5405"/>
      <w:bookmarkStart w:id="127" w:name="_Toc110605429"/>
      <w:r>
        <w:rPr>
          <w:rFonts w:hint="eastAsia" w:asciiTheme="minorEastAsia" w:hAnsiTheme="minorEastAsia" w:eastAsiaTheme="minorEastAsia"/>
          <w:b/>
          <w:color w:val="auto"/>
          <w:sz w:val="28"/>
          <w:szCs w:val="28"/>
          <w:highlight w:val="none"/>
        </w:rPr>
        <w:t>二十八、法律适用和争议的处理</w:t>
      </w:r>
      <w:bookmarkEnd w:id="125"/>
      <w:bookmarkEnd w:id="126"/>
      <w:bookmarkEnd w:id="127"/>
    </w:p>
    <w:p w14:paraId="571DC56D">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有关本合同的签署和履行而产生的任何争议及对本合同项下条款的解释，均适用中华人民共和国法律法规（为本合同之目的，在此不包括香港、澳门特别行政区及台湾地区法律法规），并按其解释。</w:t>
      </w:r>
    </w:p>
    <w:p w14:paraId="5886B55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各方当事人同意，因本合同而产生的或与本合同有关的一切争议，合同当事人应尽量通过协商、调解途径解决。合同当事人不愿通过协商、调解解决或者协商、调解未能解决的，应提交基金托管人住所地有权受理法院通过诉讼方式解决。</w:t>
      </w:r>
    </w:p>
    <w:p w14:paraId="76F31BA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争议处理期间，合同当事人应恪守各自的职责，继续忠实、勤勉、尽责地履行本合同规定的义务，维护基金份额持有人的合法权益。</w:t>
      </w:r>
    </w:p>
    <w:p w14:paraId="28935EEB">
      <w:pPr>
        <w:adjustRightInd w:val="0"/>
        <w:snapToGrid w:val="0"/>
        <w:spacing w:before="312" w:beforeLines="100" w:after="312" w:afterLines="100" w:line="360" w:lineRule="auto"/>
        <w:jc w:val="center"/>
        <w:outlineLvl w:val="0"/>
        <w:rPr>
          <w:rFonts w:asciiTheme="minorEastAsia" w:hAnsiTheme="minorEastAsia" w:eastAsiaTheme="minorEastAsia"/>
          <w:b/>
          <w:color w:val="auto"/>
          <w:sz w:val="28"/>
          <w:szCs w:val="28"/>
          <w:highlight w:val="none"/>
        </w:rPr>
      </w:pPr>
      <w:bookmarkStart w:id="128" w:name="_Toc194741925"/>
      <w:bookmarkStart w:id="129" w:name="_Toc459392431"/>
      <w:bookmarkStart w:id="130" w:name="_Toc25836"/>
      <w:bookmarkStart w:id="131" w:name="_Toc110605430"/>
      <w:r>
        <w:rPr>
          <w:rFonts w:hint="eastAsia" w:asciiTheme="minorEastAsia" w:hAnsiTheme="minorEastAsia" w:eastAsiaTheme="minorEastAsia"/>
          <w:b/>
          <w:color w:val="auto"/>
          <w:sz w:val="28"/>
          <w:szCs w:val="28"/>
          <w:highlight w:val="none"/>
        </w:rPr>
        <w:t>二十九、其他事项</w:t>
      </w:r>
      <w:bookmarkEnd w:id="128"/>
      <w:bookmarkEnd w:id="129"/>
      <w:bookmarkEnd w:id="130"/>
      <w:bookmarkEnd w:id="131"/>
    </w:p>
    <w:p w14:paraId="4BE21DC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本合同如有未尽事宜，由合同当事人各方按有关法律法规和规定协商解决。</w:t>
      </w:r>
    </w:p>
    <w:p w14:paraId="5AC8435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（以下无正文）</w:t>
      </w:r>
    </w:p>
    <w:p w14:paraId="74CE9474">
      <w:pPr>
        <w:widowControl/>
        <w:jc w:val="left"/>
        <w:rPr>
          <w:rFonts w:asciiTheme="minorEastAsia" w:hAnsiTheme="minorEastAsia" w:eastAsiaTheme="minorEastAsia"/>
          <w:color w:val="auto"/>
          <w:szCs w:val="21"/>
          <w:highlight w:val="none"/>
        </w:rPr>
      </w:pPr>
    </w:p>
    <w:p w14:paraId="0C5A15F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（请基金份额持有人务必确保填写的资料正确有效，如因填写错误导致的任何损失，基金管理人和基金托管人不承担任何责任）</w:t>
      </w:r>
    </w:p>
    <w:p w14:paraId="0348FF56">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基金投资者请填写：</w:t>
      </w:r>
    </w:p>
    <w:p w14:paraId="3F6891A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（一）基金投资者</w:t>
      </w:r>
    </w:p>
    <w:p w14:paraId="2F0B9156">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1、自然人</w:t>
      </w:r>
    </w:p>
    <w:p w14:paraId="11179DA4">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 xml:space="preserve">姓名：                     </w:t>
      </w:r>
    </w:p>
    <w:p w14:paraId="3FCD33DF">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证件名称：□身份证、□军官证、□护照、□其他</w:t>
      </w:r>
      <w:r>
        <w:rPr>
          <w:rFonts w:hint="eastAsia" w:asciiTheme="minorEastAsia" w:hAnsiTheme="minorEastAsia" w:eastAsiaTheme="minorEastAsia"/>
          <w:color w:val="auto"/>
          <w:szCs w:val="21"/>
          <w:highlight w:val="none"/>
          <w:u w:val="single"/>
        </w:rPr>
        <w:t xml:space="preserve">        </w:t>
      </w:r>
    </w:p>
    <w:p w14:paraId="6BD4B32B">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证件号码：</w:t>
      </w:r>
      <w:r>
        <w:rPr>
          <w:rFonts w:hint="eastAsia" w:asciiTheme="minorEastAsia" w:hAnsiTheme="minorEastAsia" w:eastAsiaTheme="minorEastAsia"/>
          <w:color w:val="auto"/>
          <w:sz w:val="36"/>
          <w:szCs w:val="36"/>
          <w:highlight w:val="none"/>
        </w:rPr>
        <w:t>□□□□□□□□□□□□□□□□□□</w:t>
      </w:r>
    </w:p>
    <w:p w14:paraId="294D704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2、法人或其他组织</w:t>
      </w:r>
    </w:p>
    <w:p w14:paraId="02E95AA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名称：</w:t>
      </w:r>
    </w:p>
    <w:p w14:paraId="30B5F56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营业执照号码/统一社会信用代码：</w:t>
      </w:r>
    </w:p>
    <w:p w14:paraId="17B1A087">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组织机构代码证号码：</w:t>
      </w:r>
    </w:p>
    <w:p w14:paraId="16D29A3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法定代表人或负责人：</w:t>
      </w:r>
    </w:p>
    <w:p w14:paraId="30B8E8F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（二）基金投资者账户</w:t>
      </w:r>
    </w:p>
    <w:p w14:paraId="0D4D54B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基金投资者认购、申购基金的划出账户与赎回基金的划入账户，必须为以基金投资者名义开立的同一个账户。特殊情况导致认购、申购和赎回基金的账户名称不一致时，基金份额持有人应出具符合相关法律法规规定的书面说明并提供相关证明。账户信息如下：</w:t>
      </w:r>
    </w:p>
    <w:p w14:paraId="1DC138E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账户名称：</w:t>
      </w:r>
    </w:p>
    <w:p w14:paraId="6E5C74A5">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账号：</w:t>
      </w:r>
    </w:p>
    <w:p w14:paraId="3D59881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开户银行名称：</w:t>
      </w:r>
    </w:p>
    <w:p w14:paraId="22E4E05C">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（三）认购/初始申购金额</w:t>
      </w:r>
    </w:p>
    <w:p w14:paraId="3292824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签署本合同之基金投资者，承诺认购/初始申购如下金额（不含额外缴纳认</w:t>
      </w:r>
      <w:r>
        <w:rPr>
          <w:rFonts w:hint="eastAsia" w:asciiTheme="minorEastAsia" w:hAnsiTheme="minorEastAsia" w:eastAsiaTheme="minorEastAsia"/>
          <w:color w:val="auto"/>
          <w:kern w:val="0"/>
          <w:szCs w:val="21"/>
          <w:highlight w:val="none"/>
        </w:rPr>
        <w:t>/申</w:t>
      </w:r>
      <w:r>
        <w:rPr>
          <w:rFonts w:hint="eastAsia" w:asciiTheme="minorEastAsia" w:hAnsiTheme="minorEastAsia" w:eastAsiaTheme="minorEastAsia"/>
          <w:color w:val="auto"/>
          <w:szCs w:val="21"/>
          <w:highlight w:val="none"/>
        </w:rPr>
        <w:t>购费）：</w:t>
      </w:r>
    </w:p>
    <w:p w14:paraId="4E6EEE4D">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lang w:eastAsia="zh-CN"/>
        </w:rPr>
        <w:t>□</w:t>
      </w:r>
      <w:r>
        <w:rPr>
          <w:rFonts w:hint="eastAsia" w:ascii="宋体" w:hAnsi="宋体"/>
          <w:b/>
          <w:bCs/>
          <w:color w:val="auto"/>
          <w:szCs w:val="21"/>
          <w:highlight w:val="none"/>
        </w:rPr>
        <w:t xml:space="preserve"> A类份额</w:t>
      </w:r>
    </w:p>
    <w:tbl>
      <w:tblPr>
        <w:tblStyle w:val="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6924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7E9C3C32">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51CB3C46">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018A01DB">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B类份额</w:t>
      </w:r>
    </w:p>
    <w:tbl>
      <w:tblPr>
        <w:tblStyle w:val="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39E8B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0C364FE8">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1EFE222B">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42009690">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lang w:eastAsia="zh-CN"/>
        </w:rPr>
        <w:t>□</w:t>
      </w:r>
      <w:r>
        <w:rPr>
          <w:rFonts w:hint="eastAsia" w:ascii="宋体" w:hAnsi="宋体"/>
          <w:b/>
          <w:bCs/>
          <w:color w:val="auto"/>
          <w:szCs w:val="21"/>
          <w:highlight w:val="none"/>
        </w:rPr>
        <w:t xml:space="preserve"> </w:t>
      </w:r>
      <w:r>
        <w:rPr>
          <w:rFonts w:hint="eastAsia" w:ascii="宋体" w:hAnsi="宋体"/>
          <w:b/>
          <w:bCs/>
          <w:color w:val="auto"/>
          <w:szCs w:val="21"/>
          <w:highlight w:val="none"/>
          <w:lang w:val="en-US" w:eastAsia="zh-CN"/>
        </w:rPr>
        <w:t>C</w:t>
      </w:r>
      <w:r>
        <w:rPr>
          <w:rFonts w:hint="eastAsia" w:ascii="宋体" w:hAnsi="宋体"/>
          <w:b/>
          <w:bCs/>
          <w:color w:val="auto"/>
          <w:szCs w:val="21"/>
          <w:highlight w:val="none"/>
        </w:rPr>
        <w:t>类份额</w:t>
      </w:r>
    </w:p>
    <w:tbl>
      <w:tblPr>
        <w:tblStyle w:val="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4A1A8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5DB75BBF">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5390D2BA">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6F67F80E">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lang w:eastAsia="zh-CN"/>
        </w:rPr>
        <w:t>□</w:t>
      </w:r>
      <w:r>
        <w:rPr>
          <w:rFonts w:hint="eastAsia" w:ascii="宋体" w:hAnsi="宋体"/>
          <w:b/>
          <w:bCs/>
          <w:color w:val="auto"/>
          <w:szCs w:val="21"/>
          <w:highlight w:val="none"/>
        </w:rPr>
        <w:t xml:space="preserve"> </w:t>
      </w:r>
      <w:r>
        <w:rPr>
          <w:rFonts w:hint="eastAsia" w:ascii="宋体" w:hAnsi="宋体"/>
          <w:b/>
          <w:bCs/>
          <w:color w:val="auto"/>
          <w:szCs w:val="21"/>
          <w:highlight w:val="none"/>
          <w:lang w:val="en-US" w:eastAsia="zh-CN"/>
        </w:rPr>
        <w:t>D</w:t>
      </w:r>
      <w:r>
        <w:rPr>
          <w:rFonts w:hint="eastAsia" w:ascii="宋体" w:hAnsi="宋体"/>
          <w:b/>
          <w:bCs/>
          <w:color w:val="auto"/>
          <w:szCs w:val="21"/>
          <w:highlight w:val="none"/>
        </w:rPr>
        <w:t>类份额</w:t>
      </w:r>
    </w:p>
    <w:tbl>
      <w:tblPr>
        <w:tblStyle w:val="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271B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6B6AA926">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54BCE91B">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7F2971E1">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5AE76069">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hint="eastAsia" w:asciiTheme="minorEastAsia" w:hAnsiTheme="minorEastAsia" w:eastAsiaTheme="minorEastAsia"/>
          <w:color w:val="auto"/>
          <w:szCs w:val="21"/>
          <w:highlight w:val="none"/>
        </w:rPr>
        <w:t>如涉及额外缴纳认</w:t>
      </w:r>
      <w:r>
        <w:rPr>
          <w:rFonts w:hint="eastAsia" w:asciiTheme="minorEastAsia" w:hAnsiTheme="minorEastAsia" w:eastAsiaTheme="minorEastAsia"/>
          <w:color w:val="auto"/>
          <w:kern w:val="0"/>
          <w:szCs w:val="21"/>
          <w:highlight w:val="none"/>
        </w:rPr>
        <w:t>/申</w:t>
      </w:r>
      <w:r>
        <w:rPr>
          <w:rFonts w:hint="eastAsia" w:asciiTheme="minorEastAsia" w:hAnsiTheme="minorEastAsia" w:eastAsiaTheme="minorEastAsia"/>
          <w:color w:val="auto"/>
          <w:szCs w:val="21"/>
          <w:highlight w:val="none"/>
        </w:rPr>
        <w:t>购费，则额外缴纳的认</w:t>
      </w:r>
      <w:r>
        <w:rPr>
          <w:rFonts w:hint="eastAsia" w:asciiTheme="minorEastAsia" w:hAnsiTheme="minorEastAsia" w:eastAsiaTheme="minorEastAsia"/>
          <w:color w:val="auto"/>
          <w:kern w:val="0"/>
          <w:szCs w:val="21"/>
          <w:highlight w:val="none"/>
        </w:rPr>
        <w:t>/申</w:t>
      </w:r>
      <w:r>
        <w:rPr>
          <w:rFonts w:hint="eastAsia" w:asciiTheme="minorEastAsia" w:hAnsiTheme="minorEastAsia" w:eastAsiaTheme="minorEastAsia"/>
          <w:color w:val="auto"/>
          <w:szCs w:val="21"/>
          <w:highlight w:val="none"/>
        </w:rPr>
        <w:t>购费为：</w:t>
      </w:r>
    </w:p>
    <w:p w14:paraId="342BE603">
      <w:pPr>
        <w:adjustRightInd w:val="0"/>
        <w:snapToGrid w:val="0"/>
        <w:spacing w:before="93" w:beforeLines="30" w:after="93" w:afterLines="30" w:line="360" w:lineRule="auto"/>
        <w:ind w:firstLine="420" w:firstLineChars="200"/>
        <w:rPr>
          <w:rFonts w:hint="eastAsia" w:ascii="宋体" w:hAnsi="宋体"/>
          <w:color w:val="auto"/>
          <w:szCs w:val="21"/>
          <w:highlight w:val="none"/>
        </w:rPr>
      </w:pPr>
    </w:p>
    <w:p w14:paraId="4C6F62EA">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A类份额</w:t>
      </w:r>
    </w:p>
    <w:tbl>
      <w:tblPr>
        <w:tblStyle w:val="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7AA5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712B2612">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1A94A017">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2C2A33FE">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B类份额</w:t>
      </w:r>
    </w:p>
    <w:tbl>
      <w:tblPr>
        <w:tblStyle w:val="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6610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2D0EE97B">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00F74485">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5F010DA5">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xml:space="preserve">□ </w:t>
      </w:r>
      <w:r>
        <w:rPr>
          <w:rFonts w:hint="eastAsia" w:ascii="宋体" w:hAnsi="宋体"/>
          <w:b/>
          <w:bCs/>
          <w:color w:val="auto"/>
          <w:szCs w:val="21"/>
          <w:highlight w:val="none"/>
          <w:lang w:val="en-US" w:eastAsia="zh-CN"/>
        </w:rPr>
        <w:t>C</w:t>
      </w:r>
      <w:r>
        <w:rPr>
          <w:rFonts w:hint="eastAsia" w:ascii="宋体" w:hAnsi="宋体"/>
          <w:b/>
          <w:bCs/>
          <w:color w:val="auto"/>
          <w:szCs w:val="21"/>
          <w:highlight w:val="none"/>
        </w:rPr>
        <w:t>类份额</w:t>
      </w:r>
    </w:p>
    <w:tbl>
      <w:tblPr>
        <w:tblStyle w:val="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45F5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36CB1558">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0EC4F8A3">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645CC721">
      <w:pPr>
        <w:spacing w:line="360" w:lineRule="auto"/>
        <w:ind w:firstLine="422" w:firstLineChars="200"/>
        <w:rPr>
          <w:rFonts w:ascii="宋体" w:hAnsi="宋体"/>
          <w:b/>
          <w:bCs/>
          <w:color w:val="auto"/>
          <w:szCs w:val="21"/>
          <w:highlight w:val="none"/>
        </w:rPr>
      </w:pPr>
      <w:r>
        <w:rPr>
          <w:rFonts w:hint="eastAsia" w:ascii="宋体" w:hAnsi="宋体"/>
          <w:b/>
          <w:bCs/>
          <w:color w:val="auto"/>
          <w:szCs w:val="21"/>
          <w:highlight w:val="none"/>
        </w:rPr>
        <w:t xml:space="preserve">□ </w:t>
      </w:r>
      <w:r>
        <w:rPr>
          <w:rFonts w:hint="eastAsia" w:ascii="宋体" w:hAnsi="宋体"/>
          <w:b/>
          <w:bCs/>
          <w:color w:val="auto"/>
          <w:szCs w:val="21"/>
          <w:highlight w:val="none"/>
          <w:lang w:val="en-US" w:eastAsia="zh-CN"/>
        </w:rPr>
        <w:t>D</w:t>
      </w:r>
      <w:r>
        <w:rPr>
          <w:rFonts w:hint="eastAsia" w:ascii="宋体" w:hAnsi="宋体"/>
          <w:b/>
          <w:bCs/>
          <w:color w:val="auto"/>
          <w:szCs w:val="21"/>
          <w:highlight w:val="none"/>
        </w:rPr>
        <w:t>类份额</w:t>
      </w:r>
    </w:p>
    <w:tbl>
      <w:tblPr>
        <w:tblStyle w:val="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5393"/>
      </w:tblGrid>
      <w:tr w14:paraId="5602B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9" w:type="dxa"/>
          </w:tcPr>
          <w:p w14:paraId="157A2339">
            <w:pPr>
              <w:spacing w:line="360" w:lineRule="auto"/>
              <w:rPr>
                <w:rFonts w:ascii="宋体" w:hAnsi="宋体"/>
                <w:color w:val="auto"/>
                <w:szCs w:val="21"/>
                <w:highlight w:val="none"/>
              </w:rPr>
            </w:pPr>
            <w:r>
              <w:rPr>
                <w:rFonts w:hint="eastAsia" w:ascii="宋体" w:hAnsi="宋体"/>
                <w:color w:val="auto"/>
                <w:szCs w:val="21"/>
                <w:highlight w:val="none"/>
              </w:rPr>
              <w:t>小写（¥）：</w:t>
            </w:r>
          </w:p>
        </w:tc>
        <w:tc>
          <w:tcPr>
            <w:tcW w:w="5393" w:type="dxa"/>
          </w:tcPr>
          <w:p w14:paraId="07FB5BD9">
            <w:pPr>
              <w:spacing w:line="360" w:lineRule="auto"/>
              <w:rPr>
                <w:rFonts w:ascii="宋体" w:hAnsi="宋体"/>
                <w:color w:val="auto"/>
                <w:szCs w:val="21"/>
                <w:highlight w:val="none"/>
              </w:rPr>
            </w:pPr>
            <w:r>
              <w:rPr>
                <w:rFonts w:hint="eastAsia" w:ascii="宋体" w:hAnsi="宋体"/>
                <w:color w:val="auto"/>
                <w:szCs w:val="21"/>
                <w:highlight w:val="none"/>
              </w:rPr>
              <w:t>大写（人民币）：</w:t>
            </w:r>
          </w:p>
        </w:tc>
      </w:tr>
    </w:tbl>
    <w:p w14:paraId="27BC10C3">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r>
        <w:rPr>
          <w:rFonts w:asciiTheme="minorEastAsia" w:hAnsiTheme="minorEastAsia" w:eastAsiaTheme="minorEastAsia"/>
          <w:color w:val="auto"/>
          <w:szCs w:val="21"/>
          <w:highlight w:val="none"/>
        </w:rPr>
        <w:br w:type="page"/>
      </w:r>
      <w:r>
        <w:rPr>
          <w:rFonts w:hint="eastAsia" w:asciiTheme="minorEastAsia" w:hAnsiTheme="minorEastAsia" w:eastAsiaTheme="minorEastAsia"/>
          <w:color w:val="auto"/>
          <w:szCs w:val="21"/>
          <w:highlight w:val="none"/>
        </w:rPr>
        <w:t>（本页无正文，为</w:t>
      </w:r>
      <w:r>
        <w:rPr>
          <w:rFonts w:hint="eastAsia" w:asciiTheme="minorEastAsia" w:hAnsiTheme="minorEastAsia" w:eastAsiaTheme="minorEastAsia"/>
          <w:b/>
          <w:color w:val="auto"/>
          <w:szCs w:val="21"/>
          <w:highlight w:val="none"/>
          <w:lang w:eastAsia="zh-CN"/>
        </w:rPr>
        <w:t>石云福禄1000指数增强一号私募证券投资基金</w:t>
      </w:r>
      <w:r>
        <w:rPr>
          <w:rFonts w:hint="eastAsia" w:asciiTheme="minorEastAsia" w:hAnsiTheme="minorEastAsia" w:eastAsiaTheme="minorEastAsia"/>
          <w:color w:val="auto"/>
          <w:szCs w:val="21"/>
          <w:highlight w:val="none"/>
        </w:rPr>
        <w:t>基金合同签署页。）</w:t>
      </w:r>
    </w:p>
    <w:p w14:paraId="5DAEE040">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43AEAC1A">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基金投资者：                      </w:t>
      </w:r>
    </w:p>
    <w:p w14:paraId="7D0E11F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694966C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自然人（签字）：             或          法人或其他组织（盖章）：                                 </w:t>
      </w:r>
    </w:p>
    <w:p w14:paraId="4BA492D4">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272EB0CD">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                                         法定代表人或授权代表（签字）：</w:t>
      </w:r>
    </w:p>
    <w:p w14:paraId="27EF8934">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012F42F7">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签署日期：      年    月    日           签署日期：      年    月    日                              </w:t>
      </w:r>
    </w:p>
    <w:p w14:paraId="28A22ED7">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7601FF37">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74987EA2">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013985D8">
      <w:pPr>
        <w:adjustRightInd w:val="0"/>
        <w:snapToGrid w:val="0"/>
        <w:spacing w:before="93" w:beforeLines="30" w:after="93" w:afterLines="30" w:line="360" w:lineRule="auto"/>
        <w:ind w:firstLine="420" w:firstLineChars="200"/>
        <w:rPr>
          <w:rFonts w:asciiTheme="minorEastAsia" w:hAnsiTheme="minorEastAsia" w:eastAsiaTheme="minorEastAsia"/>
          <w:color w:val="auto"/>
          <w:szCs w:val="21"/>
          <w:highlight w:val="none"/>
        </w:rPr>
      </w:pPr>
    </w:p>
    <w:p w14:paraId="71FA8756">
      <w:pPr>
        <w:adjustRightInd w:val="0"/>
        <w:snapToGrid w:val="0"/>
        <w:spacing w:before="93" w:beforeLines="30" w:after="93" w:afterLines="30" w:line="360" w:lineRule="auto"/>
        <w:ind w:firstLine="422" w:firstLineChars="200"/>
        <w:rPr>
          <w:rFonts w:hint="eastAsia" w:asciiTheme="minorEastAsia" w:hAnsiTheme="minorEastAsia" w:eastAsiaTheme="minorEastAsia"/>
          <w:b/>
          <w:color w:val="auto"/>
          <w:szCs w:val="21"/>
          <w:highlight w:val="none"/>
          <w:lang w:eastAsia="zh-CN"/>
        </w:rPr>
      </w:pPr>
      <w:r>
        <w:rPr>
          <w:rFonts w:hint="eastAsia" w:asciiTheme="minorEastAsia" w:hAnsiTheme="minorEastAsia" w:eastAsiaTheme="minorEastAsia"/>
          <w:b/>
          <w:color w:val="auto"/>
          <w:szCs w:val="21"/>
          <w:highlight w:val="none"/>
        </w:rPr>
        <w:t>基金管理人：</w:t>
      </w:r>
      <w:r>
        <w:rPr>
          <w:rFonts w:hint="eastAsia" w:asciiTheme="minorEastAsia" w:hAnsiTheme="minorEastAsia" w:eastAsiaTheme="minorEastAsia"/>
          <w:b/>
          <w:color w:val="auto"/>
          <w:szCs w:val="21"/>
          <w:highlight w:val="none"/>
          <w:lang w:eastAsia="zh-CN"/>
        </w:rPr>
        <w:t>石云科技股份有限公司</w:t>
      </w:r>
    </w:p>
    <w:p w14:paraId="0162C931">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7344B6C2">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法定代表人或授权代理人：        </w:t>
      </w:r>
    </w:p>
    <w:p w14:paraId="3E3671D3">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39EA535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签署日期：      年    月    日</w:t>
      </w:r>
    </w:p>
    <w:p w14:paraId="336BE09C">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7D665426">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7660B42D">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4E8A6236">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5DE5E61F">
      <w:pPr>
        <w:adjustRightInd w:val="0"/>
        <w:snapToGrid w:val="0"/>
        <w:spacing w:before="93" w:beforeLines="30" w:after="93" w:afterLines="30" w:line="360" w:lineRule="auto"/>
        <w:ind w:firstLine="422" w:firstLineChars="200"/>
        <w:rPr>
          <w:rFonts w:hint="eastAsia" w:asciiTheme="minorEastAsia" w:hAnsiTheme="minorEastAsia" w:eastAsiaTheme="minorEastAsia"/>
          <w:b/>
          <w:color w:val="auto"/>
          <w:szCs w:val="21"/>
          <w:highlight w:val="none"/>
          <w:lang w:eastAsia="zh-CN"/>
        </w:rPr>
      </w:pPr>
      <w:r>
        <w:rPr>
          <w:rFonts w:hint="eastAsia" w:asciiTheme="minorEastAsia" w:hAnsiTheme="minorEastAsia" w:eastAsiaTheme="minorEastAsia"/>
          <w:b/>
          <w:color w:val="auto"/>
          <w:szCs w:val="21"/>
          <w:highlight w:val="none"/>
        </w:rPr>
        <w:t>基金托管人：</w:t>
      </w:r>
      <w:r>
        <w:rPr>
          <w:rFonts w:hint="eastAsia" w:asciiTheme="minorEastAsia" w:hAnsiTheme="minorEastAsia" w:eastAsiaTheme="minorEastAsia"/>
          <w:b/>
          <w:color w:val="auto"/>
          <w:szCs w:val="21"/>
          <w:highlight w:val="none"/>
          <w:lang w:eastAsia="zh-CN"/>
        </w:rPr>
        <w:t>招商证券股份有限公司</w:t>
      </w:r>
    </w:p>
    <w:p w14:paraId="38074DC4">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4BDCCDB5">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 xml:space="preserve">法定代表人或授权代理人：                 </w:t>
      </w:r>
    </w:p>
    <w:p w14:paraId="1BA38439">
      <w:pPr>
        <w:adjustRightInd w:val="0"/>
        <w:snapToGrid w:val="0"/>
        <w:spacing w:before="93" w:beforeLines="30" w:after="93" w:afterLines="30" w:line="360" w:lineRule="auto"/>
        <w:ind w:firstLine="422" w:firstLineChars="200"/>
        <w:rPr>
          <w:rFonts w:asciiTheme="minorEastAsia" w:hAnsiTheme="minorEastAsia" w:eastAsiaTheme="minorEastAsia"/>
          <w:b/>
          <w:color w:val="auto"/>
          <w:szCs w:val="21"/>
          <w:highlight w:val="none"/>
        </w:rPr>
      </w:pPr>
    </w:p>
    <w:p w14:paraId="171733FE">
      <w:pPr>
        <w:adjustRightInd w:val="0"/>
        <w:snapToGrid w:val="0"/>
        <w:spacing w:before="93" w:beforeLines="30" w:after="93" w:afterLines="30" w:line="360" w:lineRule="auto"/>
        <w:ind w:firstLine="422" w:firstLineChars="200"/>
        <w:rPr>
          <w:rFonts w:hint="eastAsia" w:asciiTheme="minorEastAsia" w:hAnsiTheme="minorEastAsia" w:eastAsiaTheme="minorEastAsia"/>
          <w:b/>
          <w:color w:val="auto"/>
          <w:szCs w:val="21"/>
          <w:highlight w:val="none"/>
        </w:rPr>
      </w:pPr>
      <w:r>
        <w:rPr>
          <w:rFonts w:hint="eastAsia" w:asciiTheme="minorEastAsia" w:hAnsiTheme="minorEastAsia" w:eastAsiaTheme="minorEastAsia"/>
          <w:b/>
          <w:color w:val="auto"/>
          <w:szCs w:val="21"/>
          <w:highlight w:val="none"/>
        </w:rPr>
        <w:t>签署日期：      年    月    日</w:t>
      </w:r>
    </w:p>
    <w:p w14:paraId="53629F63">
      <w:pPr>
        <w:adjustRightInd w:val="0"/>
        <w:snapToGrid w:val="0"/>
        <w:spacing w:before="93" w:beforeLines="30" w:after="93" w:afterLines="30" w:line="360" w:lineRule="auto"/>
        <w:ind w:firstLine="0" w:firstLineChars="0"/>
        <w:rPr>
          <w:rFonts w:hint="eastAsia" w:ascii="宋体" w:hAnsi="宋体" w:eastAsia="宋体" w:cs="宋体"/>
          <w:b/>
          <w:color w:val="auto"/>
          <w:sz w:val="21"/>
          <w:szCs w:val="21"/>
          <w:highlight w:val="none"/>
        </w:rPr>
      </w:pPr>
    </w:p>
    <w:p w14:paraId="5A913B49">
      <w:pPr>
        <w:adjustRightInd w:val="0"/>
        <w:snapToGrid w:val="0"/>
        <w:spacing w:before="93" w:beforeLines="30" w:after="93" w:afterLines="30" w:line="360" w:lineRule="auto"/>
        <w:ind w:firstLine="0" w:firstLineChars="0"/>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附件:</w:t>
      </w:r>
      <w:r>
        <w:rPr>
          <w:rFonts w:hint="eastAsia" w:ascii="宋体" w:hAnsi="宋体" w:cs="宋体"/>
          <w:b/>
          <w:color w:val="auto"/>
          <w:szCs w:val="21"/>
          <w:highlight w:val="none"/>
          <w:lang w:eastAsia="zh-CN"/>
        </w:rPr>
        <w:t>石云科技股份有限公司</w:t>
      </w:r>
      <w:r>
        <w:rPr>
          <w:rFonts w:hint="eastAsia" w:ascii="宋体" w:hAnsi="宋体" w:eastAsia="宋体" w:cs="宋体"/>
          <w:b/>
          <w:color w:val="auto"/>
          <w:sz w:val="21"/>
          <w:szCs w:val="21"/>
          <w:highlight w:val="none"/>
        </w:rPr>
        <w:t>与</w:t>
      </w:r>
      <w:r>
        <w:rPr>
          <w:rFonts w:hint="eastAsia" w:ascii="宋体" w:hAnsi="宋体" w:cs="宋体"/>
          <w:b/>
          <w:color w:val="auto"/>
          <w:sz w:val="21"/>
          <w:szCs w:val="21"/>
          <w:highlight w:val="none"/>
          <w:lang w:eastAsia="zh-CN"/>
        </w:rPr>
        <w:t>招商证券股份有限公司</w:t>
      </w:r>
      <w:r>
        <w:rPr>
          <w:rFonts w:hint="eastAsia" w:ascii="宋体" w:hAnsi="宋体" w:eastAsia="宋体" w:cs="宋体"/>
          <w:b/>
          <w:color w:val="auto"/>
          <w:sz w:val="21"/>
          <w:szCs w:val="21"/>
          <w:highlight w:val="none"/>
        </w:rPr>
        <w:t>的《私募投资基金销售代理协议》部分章节</w:t>
      </w:r>
    </w:p>
    <w:p w14:paraId="405DFEDF">
      <w:pPr>
        <w:adjustRightInd w:val="0"/>
        <w:snapToGrid w:val="0"/>
        <w:spacing w:before="93" w:beforeLines="30" w:after="93" w:afterLines="30" w:line="360" w:lineRule="auto"/>
        <w:ind w:firstLine="422" w:firstLineChars="200"/>
        <w:rPr>
          <w:rFonts w:hint="eastAsia" w:ascii="宋体" w:hAnsi="宋体" w:eastAsia="宋体"/>
          <w:color w:val="auto"/>
          <w:szCs w:val="21"/>
          <w:highlight w:val="none"/>
          <w:lang w:eastAsia="zh-CN"/>
        </w:rPr>
      </w:pPr>
      <w:r>
        <w:rPr>
          <w:rFonts w:hint="eastAsia" w:ascii="宋体" w:hAnsi="宋体" w:eastAsia="宋体" w:cs="宋体"/>
          <w:b/>
          <w:color w:val="auto"/>
          <w:sz w:val="21"/>
          <w:szCs w:val="21"/>
          <w:highlight w:val="none"/>
        </w:rPr>
        <w:t>甲方:</w:t>
      </w:r>
      <w:r>
        <w:rPr>
          <w:rFonts w:hint="eastAsia" w:ascii="宋体" w:hAnsi="宋体" w:cs="宋体"/>
          <w:b/>
          <w:color w:val="auto"/>
          <w:szCs w:val="21"/>
          <w:highlight w:val="none"/>
          <w:lang w:eastAsia="zh-CN"/>
        </w:rPr>
        <w:t>石云科技股份有限公司</w:t>
      </w:r>
    </w:p>
    <w:p w14:paraId="7E07580A">
      <w:pPr>
        <w:adjustRightInd w:val="0"/>
        <w:snapToGrid w:val="0"/>
        <w:spacing w:before="93" w:beforeLines="30" w:after="93" w:afterLines="30" w:line="360" w:lineRule="auto"/>
        <w:ind w:firstLine="422" w:firstLineChars="200"/>
        <w:rPr>
          <w:rFonts w:hint="eastAsia" w:ascii="宋体" w:hAnsi="宋体" w:eastAsia="宋体" w:cs="宋体"/>
          <w:b/>
          <w:color w:val="auto"/>
          <w:sz w:val="21"/>
          <w:szCs w:val="21"/>
          <w:highlight w:val="none"/>
          <w:lang w:eastAsia="zh-CN"/>
        </w:rPr>
      </w:pPr>
      <w:r>
        <w:rPr>
          <w:rFonts w:hint="eastAsia" w:ascii="宋体" w:hAnsi="宋体" w:eastAsia="宋体" w:cs="宋体"/>
          <w:b/>
          <w:color w:val="auto"/>
          <w:sz w:val="21"/>
          <w:szCs w:val="21"/>
          <w:highlight w:val="none"/>
        </w:rPr>
        <w:t>乙方:</w:t>
      </w:r>
      <w:r>
        <w:rPr>
          <w:rFonts w:hint="eastAsia" w:ascii="宋体" w:hAnsi="宋体" w:cs="宋体"/>
          <w:b/>
          <w:color w:val="auto"/>
          <w:sz w:val="21"/>
          <w:szCs w:val="21"/>
          <w:highlight w:val="none"/>
          <w:lang w:eastAsia="zh-CN"/>
        </w:rPr>
        <w:t>招商证券股份有限公司</w:t>
      </w:r>
    </w:p>
    <w:p w14:paraId="1EB9E3E2">
      <w:pPr>
        <w:numPr>
          <w:ilvl w:val="0"/>
          <w:numId w:val="6"/>
        </w:numPr>
        <w:adjustRightInd w:val="0"/>
        <w:snapToGrid w:val="0"/>
        <w:spacing w:before="93" w:beforeLines="30" w:after="93" w:afterLines="30" w:line="360" w:lineRule="auto"/>
        <w:ind w:firstLine="422" w:firstLineChars="200"/>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双方的权利和义务</w:t>
      </w:r>
    </w:p>
    <w:p w14:paraId="2971DCF7">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sz w:val="21"/>
          <w:szCs w:val="21"/>
          <w:highlight w:val="none"/>
          <w:lang w:val="zh-TW" w:eastAsia="zh-TW"/>
        </w:rPr>
        <w:t>（一）</w:t>
      </w:r>
      <w:r>
        <w:rPr>
          <w:rFonts w:hint="eastAsia" w:ascii="宋体" w:hAnsi="宋体" w:eastAsia="宋体" w:cs="宋体"/>
          <w:color w:val="auto"/>
          <w:highlight w:val="none"/>
          <w:lang w:val="zh-TW" w:eastAsia="zh-TW"/>
        </w:rPr>
        <w:t>甲方的权利和义务</w:t>
      </w:r>
    </w:p>
    <w:p w14:paraId="7C5AE9BD">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1、甲方的权利:</w:t>
      </w:r>
    </w:p>
    <w:p w14:paraId="78D88E1E">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(1)根据国家法律、法规及其他有关规定和本协议的约定，委托乙方办理基金代理销售业务。</w:t>
      </w:r>
    </w:p>
    <w:p w14:paraId="4563926C">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(2)负责组织基金的销售和注册登记，依照有关法律法规制订基金的销售和交易规则及其它规则、制度和程序。</w:t>
      </w:r>
    </w:p>
    <w:p w14:paraId="1B2063F9">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(3)对因乙方的过错而给基金、投资者及甲方造成的损失，有权要求乙方承担损失赔偿责任。</w:t>
      </w:r>
    </w:p>
    <w:p w14:paraId="16311E8B">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(4)根据自身业务需要，有权同时委托乙方以外的其他符合条件的机构代理销售同一个基金。</w:t>
      </w:r>
    </w:p>
    <w:p w14:paraId="2EC0824C">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(5)根据法律法规、基金合同的规定，有权拒绝受理通过乙方进行的某一笔或某一段时间内的认购、申购、赎回或其他业务申请，但必须及时向乙方和投资者说明理由。</w:t>
      </w:r>
    </w:p>
    <w:p w14:paraId="671FF033">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(6)法律法规、自律规则、本协议及补充协议规定的其他权利。</w:t>
      </w:r>
    </w:p>
    <w:p w14:paraId="37A5CC3F">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2、甲方的义务:</w:t>
      </w:r>
    </w:p>
    <w:p w14:paraId="5D2EE970">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甲方作为私募基金管理人应当向投资人履行受托人义务，承担基金合同的受托责任。甲方委托乙方代理销售基金，不得因委托销售免除甲方作为私募基金管理人依法承担的责任。甲方承诺其私募投资基金管理人资质已经在监管机构或自律机构完成机构登记备案，并保证持续符合相关登记要求。且私募投资基金管理人发行的私募投资基金应当根据监管机构及自律机构的要求履行备案手续。如甲方未履行上述登记备案义务或者不再符合相关登记要求，乙方有权书面通知甲方终止本协议。</w:t>
      </w:r>
    </w:p>
    <w:p w14:paraId="06B8C101">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(2)根据乙方要求，向乙方提供与基金代理销售业务相关的详细的产品介绍、相关市场分析和风险收益测算报告、基金合同、说明书、产品投资范围、产品投资策略、产品投资集中度、产品杠杆水平、销售计划、风险揭示文件、甲方品牌、发展战略、投资策略、管理团队、高管信息以及由基金业协会公示的已备案私募基金的基本信息(如需乙方向投资者进行披露)等资料及应当向乙方披露的信息，并保证其内容的合法合规性和真实性、完整性、准确性和及时性。</w:t>
      </w:r>
    </w:p>
    <w:p w14:paraId="75676895">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(3)甲方应当制作私募基金推介材料，并确保私募基金推介材料的真实性、完整性、准确性，私募基金推介材料内容应与基金合同主要内容一致，不得有任何虚假记载、误导性陈述或者重大遗漏。</w:t>
      </w:r>
    </w:p>
    <w:p w14:paraId="080E5BDF">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(4)在自行担任基金注册登记机构或委托其他机构办理基金注册登记业务期间，甲方应采取有效手段和方式，保障基金注册登记业务的正常、高效进行积极配合乙方的基金代理销售工作。采取有效手段和方式促使基金注册登记机构与乙方的接收和传输数据的接口通畅:按照约定时间及时、准确地向乙方传输账户和交易确认的数据。</w:t>
      </w:r>
    </w:p>
    <w:p w14:paraId="669C4D58">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(5)向乙方的销售人员提供必要的培训，培训内容包括但不限于甲方公司简况、投资策略、基金的特点、甲方与乙方权利义务划分、基金投资者利益的部分等。</w:t>
      </w:r>
    </w:p>
    <w:p w14:paraId="69181844">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(6)甲方委托乙方销售的私募基金系有限合伙型基金的，应当由双方另行协商确定开立私募基金募集结算资金专用账户,用于统一归集私募基金募集结算资金、向投资者分配收益、给付赎回款项以及分配基金清算后的剩余基金财产等确保资金原路返还。</w:t>
      </w:r>
    </w:p>
    <w:p w14:paraId="65953300">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(7)甲方应当自行或者委托第三方机构对私募基金进行风险评级，建立科学有效的私募基金风险评级标准和方法。</w:t>
      </w:r>
    </w:p>
    <w:p w14:paraId="6E3DE807">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(8)按照本协议或补充协议规定的标准、方式和时间，及时足额付给乙方销售服务费和其他费用。</w:t>
      </w:r>
    </w:p>
    <w:p w14:paraId="1161BC87">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(9)对乙方在业务办理过程中提供的投资者信息、交易数据、乙方商业秘密等资料和信息负有保密义务,不得利用乙方提供的相关投资者的资料进行直接营销、用于乙方指定用途以外的任何目的或透露给任何第三方。即使本协议终止，仍负有保密义务，但法律法规另有规定的除外。</w:t>
      </w:r>
    </w:p>
    <w:p w14:paraId="48FA71B2">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(10)甲方有义务建立健全信息披露管理制度，履行法律法规、基金业协会相关规定、基金合同、本协议及补充协议规定的信息披露义务。指定专人负责管理信息披露事务，依据《披露办法》的要求向投资者披露信息，并及时向乙方提供需由乙方协助向投资者披露的信息，且应保证相关信息的真实性、准确性、合法性。</w:t>
      </w:r>
    </w:p>
    <w:p w14:paraId="46DB4358">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(11)甲方应当按照《披露办法》规定通过基金业协会指定的私募基金信息披露备份平台报送信息,并在私募基金登记备案系统中上传信息披露相关制度文件并及时披露给乙方。</w:t>
      </w:r>
    </w:p>
    <w:p w14:paraId="2D89E801">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(12)甲方过往业绩以及私募基金运行情况将以私募基金管理人向私募基金信息披露备份平台报送的数据为准。</w:t>
      </w:r>
    </w:p>
    <w:p w14:paraId="52661AB5">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(13)甲方有义务建立完善的客户服务制度和流程,根据基金合同中的约定，向经由乙方认购、申购基金的客户提供持续服务。在乙方向通过乙方认购、申购基金的投资者提供持续服务过程中向乙方提供持续业务支持。</w:t>
      </w:r>
    </w:p>
    <w:p w14:paraId="2440A227">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(14)发现业务环节(包括数据、信息传输)出现差错或延误时，积极协助、配合乙方解决。如因甲方向乙方提供的信息数据错误导致乙方、投资者发生纠纷或产生损失，甲方应负责解决纠纷并承担相应法律责任。</w:t>
      </w:r>
    </w:p>
    <w:p w14:paraId="7E7F4226">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(15)甲方及私募基金运作中可能影响乙方代理销售和服务事项的，及时通知乙方。</w:t>
      </w:r>
    </w:p>
    <w:p w14:paraId="205B6DAD">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(16)甲方应负责当向基金业协会报送私募基金募集结算资金专用账户及其监督机构信息。</w:t>
      </w:r>
    </w:p>
    <w:p w14:paraId="24B1921E">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(17)根据《中华人民共和国反洗钱法》等相关法律法规，履行反洗钱和反恐怖融资义务。</w:t>
      </w:r>
    </w:p>
    <w:p w14:paraId="02EA2583">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(18)法律法规、自律规则、本协议及补充协议规定的其他义务。</w:t>
      </w:r>
    </w:p>
    <w:p w14:paraId="54C574F2">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(二)乙方的权利和义务</w:t>
      </w:r>
    </w:p>
    <w:p w14:paraId="7EF058BE">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1、乙方的权利:</w:t>
      </w:r>
    </w:p>
    <w:p w14:paraId="734D65F7">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(1)根据国家法律、法规及其他有关规定，接受甲方委托办理基金代理销售业务，及按照本协议规定的条件和程序解除本协议。</w:t>
      </w:r>
    </w:p>
    <w:p w14:paraId="27FF5613">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(2)有权获得代理销售所需要的私募基金的推介资料、甲方经营活动中的重大变化(包括但不限于甲方存在的或潜在的对乙方履行本协议下义务具有重要影响的有关信息)，有权获得甲方对乙方代理销售业务的支持。</w:t>
      </w:r>
    </w:p>
    <w:p w14:paraId="2B55C489">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(3)有权对甲方的信用状况、经营管理能力、市场投资能力、风险处置能力等开展尽职调查，有权要求甲方提供详细的产品介绍、产品投资范围、产品投资策略、产品投资集中度、产品杠杆水平、相关市场分析和风险收益测算报告，进行充分的信息验证和风险审查。</w:t>
      </w:r>
    </w:p>
    <w:p w14:paraId="2DA2038F">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(4)在本协议规定的范围内，根据基金合同和销售计划等资料，制定业务流程，安排销售网点，办理基金代理销售业务。</w:t>
      </w:r>
    </w:p>
    <w:p w14:paraId="3DB4AB2D">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(5)在符合相关法律法规、自律规则、基金合同等的前提下，乙方有权根据基金产品风险类型及评级结果决定向基金投资者推介基金产品的宣传和销售政策。</w:t>
      </w:r>
    </w:p>
    <w:p w14:paraId="0C8707F3">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(6)有权拒绝执行甲方不符合相关法律法规规定和私募投资基金相关法律文件约定的业务要求。甲方违反法律法规规定或违反私募投资基金合同约定的，乙方有权采取相关措施维护自身及投资者利益，包括但不限于暂停或限额销售、解除合同，乃至于向相关媒体及监管部门披露或报告。</w:t>
      </w:r>
    </w:p>
    <w:p w14:paraId="04512759">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(7)若甲方不提供规定的信息、提供信息不完整的，乙方有权拒绝代销产品或者提供服务。因金融产品设计、运营和甲方提供的信息不真实、不准确、不完整而产生的责任由甲方承担，乙方不承担任何担保责任。</w:t>
      </w:r>
    </w:p>
    <w:p w14:paraId="64EC8378">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(8)有权向甲方获得基金运作期间乙方要求的各项信息。</w:t>
      </w:r>
    </w:p>
    <w:p w14:paraId="2132725F">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(9)按照本协议及补充协议规定的标准、方式和时间，足额取得基金销售服务费及双方约定的其他费用。</w:t>
      </w:r>
    </w:p>
    <w:p w14:paraId="207C925E">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(10)在与甲方合作代销甲方基金的同时，有权选择代理销售甲方以外的其他基金管理人发行的基金。</w:t>
      </w:r>
    </w:p>
    <w:p w14:paraId="330727F8">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(11)对因甲方违约或甲方故意或过失而给基金、投资者及乙方造成的损失，甲方须承担相应法律责任。乙方仅作为私募投资基金的销售机构，不承担为该私募投资基金垫付任何资金的义务。</w:t>
      </w:r>
    </w:p>
    <w:p w14:paraId="715A50CE">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(12)法律法规、自律规则、本协议及补充协议规定的其他权利。</w:t>
      </w:r>
    </w:p>
    <w:p w14:paraId="35B9C7E6">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2、乙方的义务:</w:t>
      </w:r>
    </w:p>
    <w:p w14:paraId="144B0C7A">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CN"/>
        </w:rPr>
      </w:pPr>
      <w:r>
        <w:rPr>
          <w:rFonts w:hint="eastAsia" w:ascii="宋体" w:hAnsi="宋体" w:eastAsia="宋体" w:cs="宋体"/>
          <w:color w:val="auto"/>
          <w:highlight w:val="none"/>
          <w:lang w:val="zh-TW" w:eastAsia="zh-TW"/>
        </w:rPr>
        <w:t>(1)具备代销私募投资基金产品的业务资格。严格遵循法律法规、本协议、补充协议和私募投资基金合同等，办理私募投资基金的有关推广代理业务</w:t>
      </w:r>
      <w:r>
        <w:rPr>
          <w:rFonts w:hint="eastAsia" w:ascii="宋体" w:hAnsi="宋体" w:eastAsia="宋体" w:cs="宋体"/>
          <w:color w:val="auto"/>
          <w:highlight w:val="none"/>
          <w:lang w:val="zh-TW" w:eastAsia="zh-CN"/>
        </w:rPr>
        <w:t>。</w:t>
      </w:r>
    </w:p>
    <w:p w14:paraId="29838293">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(2)采取有效手段和方式，保障私募投资基金推广代理业务的正常、高效进行，并为客户提供相应的客户服务。乙方在采取常规柜台交易的同时，可以为客户提供通过电话、网上等其他交易方式，并应由乙方承担此类交易方式自身的技术原因所带来的风险和责任。</w:t>
      </w:r>
    </w:p>
    <w:p w14:paraId="7FBABC92">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(3)及时、准确、完整地向甲方提供其客户的交易数据及客户账户信息，及时、准确地将有关款项划往甲方指定账户或客户账户。</w:t>
      </w:r>
    </w:p>
    <w:p w14:paraId="1840A4B9">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CN"/>
        </w:rPr>
      </w:pPr>
      <w:r>
        <w:rPr>
          <w:rFonts w:hint="eastAsia" w:ascii="宋体" w:hAnsi="宋体" w:eastAsia="宋体" w:cs="宋体"/>
          <w:color w:val="auto"/>
          <w:highlight w:val="none"/>
          <w:lang w:val="zh-TW" w:eastAsia="zh-TW"/>
        </w:rPr>
        <w:t>(4)对在业务办理过程中获取的、或由甲方提供的客户信息、交易数据、甲方商业秘密等资料和信息负有保密义务。即使本协议终止，仍负有保密义务</w:t>
      </w:r>
      <w:r>
        <w:rPr>
          <w:rFonts w:hint="eastAsia" w:ascii="宋体" w:hAnsi="宋体" w:eastAsia="宋体" w:cs="宋体"/>
          <w:color w:val="auto"/>
          <w:highlight w:val="none"/>
          <w:lang w:val="zh-TW" w:eastAsia="zh-CN"/>
        </w:rPr>
        <w:t>。</w:t>
      </w:r>
    </w:p>
    <w:p w14:paraId="5C348290">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CN"/>
        </w:rPr>
      </w:pPr>
      <w:r>
        <w:rPr>
          <w:rFonts w:hint="eastAsia" w:ascii="宋体" w:hAnsi="宋体" w:eastAsia="宋体" w:cs="宋体"/>
          <w:color w:val="auto"/>
          <w:highlight w:val="none"/>
          <w:lang w:val="zh-TW" w:eastAsia="zh-TW"/>
        </w:rPr>
        <w:t>(5)未经甲方书面同意，不得将本协议规定的各项义务委托给第三方处理</w:t>
      </w:r>
      <w:r>
        <w:rPr>
          <w:rFonts w:hint="eastAsia" w:ascii="宋体" w:hAnsi="宋体" w:eastAsia="宋体" w:cs="宋体"/>
          <w:color w:val="auto"/>
          <w:highlight w:val="none"/>
          <w:lang w:val="zh-TW" w:eastAsia="zh-CN"/>
        </w:rPr>
        <w:t>。</w:t>
      </w:r>
    </w:p>
    <w:p w14:paraId="149E50B7">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(6)发现数据、信息传输出现差错或延误时，积极协助、配合甲方解决。</w:t>
      </w:r>
    </w:p>
    <w:p w14:paraId="031EBD55">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(7)指定专人向客户如实披露甲方的业务资格，全面、准确地介绍私募投资基金的产品特点、投资方向、风险收益特征，讲解有关业务规则、基金说明书和基金合同内容以及客户投资私募投资基金的操作方法，并充分揭示投资风险。</w:t>
      </w:r>
    </w:p>
    <w:p w14:paraId="0C8079E5">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(8)根据相关法律法规关于客户适当性管理的规定，采取相应措施，了解客户财产与收入状况、投资经验、风险认知与承受能力和投资偏好等情况，并根据了解的客户情况，把私募投资基金推荐给风险承受能力相匹配的客户，引导客户审慎做出投资决定。甲方委托乙方办理基金代理销售业务即视为甲方委托乙方在办理基金募集业务中按照反洗钱和反恐怖融资等相关法律法规的要求对客户进行客户身份识别。乙方应按照法律法规规定了解实际控制客户的自然人和交易的实际受益人，核对投资者的有效身份证件或者其他身份证明文件，登记客户身份基本信息，并留存有效身份证件或者其他身份证明文件的复印件或者影印件。乙方在受理业务过程中收集的投资者基本信息应满足相关法律法规的要求。</w:t>
      </w:r>
    </w:p>
    <w:p w14:paraId="5DE95580">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(9)指导客户完成《私募基金合同》、风险揭示书等法律文件的签署，并将签署结果及时、完整地反馈给甲方。</w:t>
      </w:r>
    </w:p>
    <w:p w14:paraId="39A79D07">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(10)不得为客户办理私募投资基金份额转让事宜，法律、行政法规和中国证监会另有规定的除外。</w:t>
      </w:r>
    </w:p>
    <w:p w14:paraId="3715498B">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(11)发现甲方违反法律、行政法规和中国证监会的规定，或者违反有关协议、合同约定的，应当予以制止。</w:t>
      </w:r>
    </w:p>
    <w:p w14:paraId="7D7FA2E0">
      <w:pPr>
        <w:pStyle w:val="1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hint="eastAsia" w:ascii="宋体" w:hAnsi="宋体" w:eastAsia="宋体" w:cs="宋体"/>
          <w:color w:val="auto"/>
          <w:highlight w:val="none"/>
          <w:lang w:val="zh-TW" w:eastAsia="zh-TW"/>
        </w:rPr>
      </w:pPr>
      <w:r>
        <w:rPr>
          <w:rFonts w:hint="eastAsia" w:ascii="宋体" w:hAnsi="宋体" w:eastAsia="宋体" w:cs="宋体"/>
          <w:color w:val="auto"/>
          <w:highlight w:val="none"/>
          <w:lang w:val="zh-TW" w:eastAsia="zh-TW"/>
        </w:rPr>
        <w:t>(12)法律法规、自律规则、基金合同、本协议及补充协议规定的其他义务。</w:t>
      </w:r>
    </w:p>
    <w:p w14:paraId="0CA54C53">
      <w:pPr>
        <w:pStyle w:val="2"/>
        <w:rPr>
          <w:rFonts w:hint="eastAsia" w:asciiTheme="minorEastAsia" w:hAnsiTheme="minorEastAsia" w:eastAsiaTheme="minorEastAsia"/>
          <w:b/>
          <w:color w:val="auto"/>
          <w:szCs w:val="21"/>
          <w:highlight w:val="none"/>
        </w:rPr>
      </w:pPr>
    </w:p>
    <w:p w14:paraId="37060E6A">
      <w:pPr>
        <w:pStyle w:val="2"/>
        <w:rPr>
          <w:rFonts w:hint="eastAsia" w:asciiTheme="minorEastAsia" w:hAnsiTheme="minorEastAsia" w:eastAsiaTheme="minorEastAsia"/>
          <w:b/>
          <w:color w:val="auto"/>
          <w:szCs w:val="21"/>
          <w:highlight w:val="none"/>
        </w:rPr>
      </w:pPr>
    </w:p>
    <w:p w14:paraId="4A484BC5">
      <w:pPr>
        <w:adjustRightInd w:val="0"/>
        <w:snapToGrid w:val="0"/>
        <w:spacing w:before="93" w:beforeLines="30" w:after="93" w:afterLines="30" w:line="360" w:lineRule="auto"/>
        <w:ind w:firstLine="420" w:firstLineChars="200"/>
        <w:rPr>
          <w:rStyle w:val="9"/>
          <w:rFonts w:asciiTheme="minorEastAsia" w:hAnsiTheme="minorEastAsia" w:eastAsiaTheme="minorEastAsia" w:cstheme="minorBidi"/>
          <w:color w:val="auto"/>
          <w:highlight w:val="none"/>
        </w:rPr>
      </w:pPr>
    </w:p>
    <w:p w14:paraId="67220CCC"/>
    <w:sectPr>
      <w:headerReference r:id="rId4" w:type="first"/>
      <w:headerReference r:id="rId3" w:type="default"/>
      <w:footerReference r:id="rId5" w:type="default"/>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9294085"/>
    </w:sdtPr>
    <w:sdtContent>
      <w:p w14:paraId="2D924521">
        <w:pPr>
          <w:pStyle w:val="4"/>
          <w:jc w:val="center"/>
        </w:pPr>
        <w:r>
          <w:fldChar w:fldCharType="begin"/>
        </w:r>
        <w:r>
          <w:instrText xml:space="preserve">PAGE   \* MERGEFORMAT</w:instrText>
        </w:r>
        <w:r>
          <w:fldChar w:fldCharType="separate"/>
        </w:r>
        <w:r>
          <w:rPr>
            <w:lang w:val="zh-CN"/>
          </w:rPr>
          <w:t>27</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7B66A">
    <w:pPr>
      <w:pStyle w:val="5"/>
      <w:rPr>
        <w:rFonts w:asciiTheme="minorEastAsia" w:hAnsiTheme="minorEastAsia" w:eastAsiaTheme="minorEastAsia"/>
      </w:rPr>
    </w:pPr>
    <w:r>
      <w:rPr>
        <w:rFonts w:hint="eastAsia" w:asciiTheme="minorEastAsia" w:hAnsiTheme="minorEastAsia" w:eastAsiaTheme="minorEastAsia"/>
        <w:highlight w:val="none"/>
      </w:rPr>
      <w:t>弈倍福顺盈500指数增强1号私募证券</w:t>
    </w:r>
    <w:r>
      <w:rPr>
        <w:rFonts w:hint="eastAsia" w:asciiTheme="minorEastAsia" w:hAnsiTheme="minorEastAsia" w:eastAsiaTheme="minorEastAsia"/>
      </w:rPr>
      <w:t>投资基金基金合同</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AACF2">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8DE937"/>
    <w:multiLevelType w:val="singleLevel"/>
    <w:tmpl w:val="C78DE937"/>
    <w:lvl w:ilvl="0" w:tentative="0">
      <w:start w:val="12"/>
      <w:numFmt w:val="decimal"/>
      <w:suff w:val="nothing"/>
      <w:lvlText w:val="%1、"/>
      <w:lvlJc w:val="left"/>
    </w:lvl>
  </w:abstractNum>
  <w:abstractNum w:abstractNumId="1">
    <w:nsid w:val="FF110DA3"/>
    <w:multiLevelType w:val="singleLevel"/>
    <w:tmpl w:val="FF110DA3"/>
    <w:lvl w:ilvl="0" w:tentative="0">
      <w:start w:val="3"/>
      <w:numFmt w:val="decimal"/>
      <w:suff w:val="nothing"/>
      <w:lvlText w:val="%1、"/>
      <w:lvlJc w:val="left"/>
    </w:lvl>
  </w:abstractNum>
  <w:abstractNum w:abstractNumId="2">
    <w:nsid w:val="29F5867D"/>
    <w:multiLevelType w:val="singleLevel"/>
    <w:tmpl w:val="29F5867D"/>
    <w:lvl w:ilvl="0" w:tentative="0">
      <w:start w:val="1"/>
      <w:numFmt w:val="decimal"/>
      <w:suff w:val="nothing"/>
      <w:lvlText w:val="（%1）"/>
      <w:lvlJc w:val="left"/>
      <w:pPr>
        <w:ind w:left="0" w:firstLine="454"/>
      </w:pPr>
      <w:rPr>
        <w:rFonts w:hint="default"/>
      </w:rPr>
    </w:lvl>
  </w:abstractNum>
  <w:abstractNum w:abstractNumId="3">
    <w:nsid w:val="2F88BC8D"/>
    <w:multiLevelType w:val="singleLevel"/>
    <w:tmpl w:val="2F88BC8D"/>
    <w:lvl w:ilvl="0" w:tentative="0">
      <w:start w:val="3"/>
      <w:numFmt w:val="chineseCounting"/>
      <w:suff w:val="nothing"/>
      <w:lvlText w:val="%1、"/>
      <w:lvlJc w:val="left"/>
      <w:rPr>
        <w:rFonts w:hint="eastAsia"/>
      </w:rPr>
    </w:lvl>
  </w:abstractNum>
  <w:abstractNum w:abstractNumId="4">
    <w:nsid w:val="2FEB29B7"/>
    <w:multiLevelType w:val="singleLevel"/>
    <w:tmpl w:val="2FEB29B7"/>
    <w:lvl w:ilvl="0" w:tentative="0">
      <w:start w:val="2"/>
      <w:numFmt w:val="decimal"/>
      <w:suff w:val="nothing"/>
      <w:lvlText w:val="%1、"/>
      <w:lvlJc w:val="left"/>
    </w:lvl>
  </w:abstractNum>
  <w:abstractNum w:abstractNumId="5">
    <w:nsid w:val="48DF7908"/>
    <w:multiLevelType w:val="singleLevel"/>
    <w:tmpl w:val="48DF7908"/>
    <w:lvl w:ilvl="0" w:tentative="0">
      <w:start w:val="3"/>
      <w:numFmt w:val="decimal"/>
      <w:suff w:val="nothing"/>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2B4937"/>
    <w:rsid w:val="0AB97FFC"/>
    <w:rsid w:val="482B4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8" w:lineRule="auto"/>
      <w:outlineLvl w:val="0"/>
    </w:pPr>
    <w:rPr>
      <w:b/>
      <w:bCs/>
      <w:kern w:val="44"/>
      <w:sz w:val="44"/>
      <w:szCs w:val="4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widowControl/>
      <w:ind w:firstLine="420" w:firstLineChars="200"/>
      <w:jc w:val="left"/>
    </w:pPr>
    <w:rPr>
      <w:rFonts w:eastAsiaTheme="minorEastAsia"/>
      <w:kern w:val="0"/>
      <w:sz w:val="24"/>
      <w:lang w:eastAsia="en-US"/>
    </w:r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qFormat/>
    <w:uiPriority w:val="39"/>
    <w:pPr>
      <w:tabs>
        <w:tab w:val="right" w:leader="dot" w:pos="8296"/>
      </w:tabs>
      <w:spacing w:line="360" w:lineRule="auto"/>
    </w:pPr>
  </w:style>
  <w:style w:type="character" w:styleId="9">
    <w:name w:val="annotation reference"/>
    <w:basedOn w:val="8"/>
    <w:qFormat/>
    <w:uiPriority w:val="99"/>
    <w:rPr>
      <w:sz w:val="21"/>
      <w:szCs w:val="21"/>
    </w:rPr>
  </w:style>
  <w:style w:type="paragraph" w:customStyle="1" w:styleId="10">
    <w:name w:val="a-BR53213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1">
    <w:name w:val="p0"/>
    <w:basedOn w:val="1"/>
    <w:qFormat/>
    <w:uiPriority w:val="0"/>
    <w:pPr>
      <w:widowControl/>
    </w:pPr>
    <w:rPr>
      <w:kern w:val="0"/>
      <w:szCs w:val="21"/>
    </w:rPr>
  </w:style>
  <w:style w:type="paragraph" w:customStyle="1" w:styleId="12">
    <w:name w:val="a-BR283528"/>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13">
    <w:name w:val="List Paragraph"/>
    <w:basedOn w:val="1"/>
    <w:qFormat/>
    <w:uiPriority w:val="34"/>
    <w:pPr>
      <w:ind w:firstLine="420" w:firstLineChars="200"/>
    </w:pPr>
  </w:style>
  <w:style w:type="paragraph" w:customStyle="1" w:styleId="14">
    <w:name w:val="a-BR71248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5">
    <w:name w:val="正文所"/>
    <w:basedOn w:val="1"/>
    <w:qFormat/>
    <w:uiPriority w:val="0"/>
    <w:pPr>
      <w:spacing w:line="360" w:lineRule="auto"/>
      <w:ind w:firstLine="420" w:firstLineChars="200"/>
    </w:pPr>
    <w:rPr>
      <w:rFonts w:ascii="宋体"/>
      <w:szCs w:val="20"/>
    </w:rPr>
  </w:style>
  <w:style w:type="paragraph" w:customStyle="1" w:styleId="16">
    <w:name w:val="a-BR00714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7">
    <w:name w:val="列出段落311"/>
    <w:basedOn w:val="1"/>
    <w:qFormat/>
    <w:uiPriority w:val="99"/>
    <w:pPr>
      <w:spacing w:line="334" w:lineRule="auto"/>
      <w:ind w:firstLine="420" w:firstLineChars="200"/>
    </w:pPr>
    <w:rPr>
      <w:sz w:val="24"/>
      <w:szCs w:val="20"/>
    </w:rPr>
  </w:style>
  <w:style w:type="paragraph" w:customStyle="1" w:styleId="18">
    <w:name w:val="列出段落11"/>
    <w:basedOn w:val="1"/>
    <w:qFormat/>
    <w:uiPriority w:val="34"/>
    <w:pPr>
      <w:ind w:firstLine="420" w:firstLineChars="200"/>
    </w:pPr>
    <w:rPr>
      <w:rFonts w:ascii="Calibri" w:hAnsi="Calibri"/>
      <w:sz w:val="21"/>
    </w:rPr>
  </w:style>
  <w:style w:type="paragraph" w:customStyle="1" w:styleId="19">
    <w:name w:val="正文 A"/>
    <w:qFormat/>
    <w:uiPriority w:val="0"/>
    <w:pPr>
      <w:widowControl w:val="0"/>
      <w:jc w:val="both"/>
    </w:pPr>
    <w:rPr>
      <w:rFonts w:ascii="Times New Roman" w:hAnsi="Arial Unicode MS" w:eastAsia="宋体" w:cs="Arial Unicode MS"/>
      <w:color w:val="000000"/>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106</Pages>
  <Words>24311</Words>
  <Characters>24718</Characters>
  <Lines>0</Lines>
  <Paragraphs>0</Paragraphs>
  <TotalTime>30</TotalTime>
  <ScaleCrop>false</ScaleCrop>
  <LinksUpToDate>false</LinksUpToDate>
  <CharactersWithSpaces>24806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2026-05-26T02:54:00Z</dcterms:created>
  <dc:creator>WPS_1680512676</dc:creator>
  <cp:lastModifiedBy>WPS_1680512676</cp:lastModifiedBy>
  <dcterms:modified xsi:type="dcterms:W3CDTF">2026-05-26T06:27:42Z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CBFDBBC21A8C435AB8ECAF95EB23C699_11</vt:lpwstr>
  </property>
  <property fmtid="{D5CDD505-2E9C-101B-9397-08002B2CF9AE}" pid="4" name="KSOTemplateDocerSaveRecord">
    <vt:lpwstr>eyJoZGlkIjoiN2VmNGRmNjMwMjMxYWI4ZDkxMjI1MGZhZTA2MTQ3MTUiLCJ1c2VySWQiOiIxNDg3MDQ1NjUxIn0=</vt:lpwstr>
  </property>
</Properties>
</file>