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12.0 -->
  <w:body>
    <w:p>
      <w:pPr>
        <w:spacing w:line="360" w:lineRule="auto"/>
        <w:ind w:firstLine="420" w:firstLineChars="200"/>
        <w:rPr>
          <w:rFonts w:ascii="宋体" w:hAnsi="宋体"/>
          <w:sz w:val="24"/>
        </w:rPr>
      </w:pPr>
      <w:r>
        <mc:AlternateContent>
          <mc:Choice Requires="wps">
            <w:drawing>
              <wp:anchor distT="0" distB="0" distL="114300" distR="114300" simplePos="0" relativeHeight="251658240" behindDoc="0" locked="0" layoutInCell="1" allowOverlap="1">
                <wp:simplePos x="0" y="0"/>
                <wp:positionH relativeFrom="column">
                  <wp:posOffset>2952750</wp:posOffset>
                </wp:positionH>
                <wp:positionV relativeFrom="paragraph">
                  <wp:posOffset>85725</wp:posOffset>
                </wp:positionV>
                <wp:extent cx="2228215" cy="320040"/>
                <wp:effectExtent l="0" t="0" r="0" b="3810"/>
                <wp:wrapNone/>
                <wp:docPr id="18" name="Quad Arrow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228215" cy="320040"/>
                        </a:xfrm>
                        <a:prstGeom prst="rect">
                          <a:avLst/>
                        </a:prstGeom>
                        <a:noFill/>
                        <a:ln>
                          <a:noFill/>
                        </a:ln>
                        <a:effectLst/>
                      </wps:spPr>
                      <wps:txbx>
                        <w:txbxContent>
                          <w:p>
                            <w:pPr>
                              <w:rPr>
                                <w:szCs w:val="21"/>
                                <w:u w:val="single"/>
                              </w:rPr>
                            </w:pPr>
                            <w:r>
                              <w:rPr>
                                <w:rFonts w:hint="eastAsia"/>
                                <w:szCs w:val="21"/>
                              </w:rPr>
                              <w:t>合同编号：</w:t>
                            </w:r>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Quad Arrow 2" o:spid="_x0000_s1025" type="#_x0000_t202" style="width:175.45pt;height:25.2pt;margin-top:6.75pt;margin-left:232.5pt;mso-height-relative:page;mso-width-relative:page;position:absolute;z-index:251659264" coordsize="21600,21600" filled="f" stroked="f">
                <o:lock v:ext="edit" aspectratio="f"/>
                <v:textbox>
                  <w:txbxContent>
                    <w:p>
                      <w:pPr>
                        <w:rPr>
                          <w:szCs w:val="21"/>
                          <w:u w:val="single"/>
                        </w:rPr>
                      </w:pPr>
                      <w:r>
                        <w:rPr>
                          <w:rFonts w:hint="eastAsia"/>
                          <w:szCs w:val="21"/>
                        </w:rPr>
                        <w:t>合同编号：</w:t>
                      </w:r>
                    </w:p>
                  </w:txbxContent>
                </v:textbox>
              </v:shape>
            </w:pict>
          </mc:Fallback>
        </mc:AlternateContent>
      </w: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jc w:val="center"/>
        <w:rPr>
          <w:rFonts w:ascii="宋体" w:hAnsi="宋体"/>
          <w:b/>
          <w:bCs/>
          <w:sz w:val="48"/>
          <w:szCs w:val="48"/>
        </w:rPr>
      </w:pPr>
      <w:r>
        <w:rPr>
          <w:rFonts w:ascii="宋体" w:hAnsi="宋体" w:hint="eastAsia"/>
          <w:b/>
          <w:bCs/>
          <w:sz w:val="48"/>
          <w:szCs w:val="48"/>
        </w:rPr>
        <w:t>正仁1号私募证券投资基金</w:t>
      </w:r>
    </w:p>
    <w:p>
      <w:pPr>
        <w:spacing w:line="360" w:lineRule="auto"/>
        <w:jc w:val="center"/>
        <w:rPr>
          <w:rFonts w:ascii="宋体" w:hAnsi="宋体"/>
          <w:b/>
          <w:bCs/>
          <w:sz w:val="48"/>
          <w:szCs w:val="48"/>
        </w:rPr>
      </w:pPr>
      <w:r>
        <w:rPr>
          <w:rFonts w:ascii="宋体" w:hAnsi="宋体" w:hint="eastAsia"/>
          <w:b/>
          <w:bCs/>
          <w:sz w:val="48"/>
          <w:szCs w:val="48"/>
        </w:rPr>
        <w:t>私募基金合同</w:t>
      </w:r>
    </w:p>
    <w:p>
      <w:pPr>
        <w:spacing w:line="360" w:lineRule="auto"/>
        <w:ind w:firstLine="480" w:firstLineChars="200"/>
        <w:jc w:val="center"/>
        <w:rPr>
          <w:rFonts w:ascii="宋体" w:hAnsi="宋体"/>
          <w:b/>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ind w:firstLine="480" w:firstLineChars="200"/>
        <w:rPr>
          <w:rFonts w:ascii="宋体" w:hAnsi="宋体"/>
          <w:sz w:val="24"/>
        </w:rPr>
      </w:pPr>
    </w:p>
    <w:p>
      <w:pPr>
        <w:spacing w:line="360" w:lineRule="auto"/>
        <w:rPr>
          <w:rFonts w:ascii="宋体" w:hAnsi="宋体"/>
          <w:b/>
          <w:szCs w:val="21"/>
        </w:rPr>
      </w:pPr>
    </w:p>
    <w:p>
      <w:pPr>
        <w:spacing w:line="360" w:lineRule="auto"/>
        <w:ind w:left="1050" w:leftChars="500"/>
        <w:rPr>
          <w:rFonts w:ascii="宋体" w:hAnsi="宋体"/>
          <w:b/>
          <w:bCs/>
          <w:sz w:val="36"/>
          <w:szCs w:val="36"/>
        </w:rPr>
      </w:pPr>
      <w:r>
        <w:rPr>
          <w:rFonts w:ascii="宋体" w:hAnsi="宋体" w:hint="eastAsia"/>
          <w:b/>
          <w:bCs/>
          <w:sz w:val="36"/>
          <w:szCs w:val="36"/>
        </w:rPr>
        <w:t>私募基金管理人：</w:t>
      </w:r>
      <w:bookmarkStart w:id="0" w:name="_GoBack"/>
      <w:r>
        <w:rPr>
          <w:rFonts w:ascii="宋体" w:hAnsi="宋体" w:hint="eastAsia"/>
          <w:b/>
          <w:bCs/>
          <w:sz w:val="36"/>
          <w:szCs w:val="36"/>
          <w:lang w:eastAsia="zh-CN"/>
        </w:rPr>
        <w:t>海南正仁量化私募基金</w:t>
      </w:r>
      <w:bookmarkEnd w:id="0"/>
      <w:r>
        <w:rPr>
          <w:rFonts w:ascii="宋体" w:hAnsi="宋体" w:hint="eastAsia"/>
          <w:b/>
          <w:bCs/>
          <w:sz w:val="36"/>
          <w:szCs w:val="36"/>
        </w:rPr>
        <w:t>管理有限公司</w:t>
      </w:r>
    </w:p>
    <w:p>
      <w:pPr>
        <w:spacing w:line="360" w:lineRule="auto"/>
        <w:ind w:left="1050" w:leftChars="500"/>
        <w:rPr>
          <w:rFonts w:ascii="宋体" w:hAnsi="宋体"/>
          <w:b/>
          <w:bCs/>
          <w:sz w:val="36"/>
          <w:szCs w:val="36"/>
        </w:rPr>
      </w:pPr>
      <w:r>
        <w:rPr>
          <w:rFonts w:ascii="宋体" w:hAnsi="宋体" w:hint="eastAsia"/>
          <w:b/>
          <w:bCs/>
          <w:sz w:val="36"/>
          <w:szCs w:val="36"/>
        </w:rPr>
        <w:t>私募基金托管人：国泰君安证券股份有限公司</w:t>
      </w:r>
    </w:p>
    <w:p>
      <w:pPr>
        <w:spacing w:line="360" w:lineRule="auto"/>
        <w:ind w:firstLine="2539" w:firstLineChars="1209"/>
        <w:rPr>
          <w:rFonts w:ascii="宋体" w:hAnsi="宋体"/>
          <w:b/>
          <w:szCs w:val="21"/>
        </w:rPr>
      </w:pPr>
    </w:p>
    <w:p>
      <w:pPr>
        <w:spacing w:line="360" w:lineRule="auto"/>
        <w:ind w:firstLine="480" w:firstLineChars="200"/>
        <w:jc w:val="center"/>
        <w:rPr>
          <w:rFonts w:ascii="宋体" w:hAnsi="宋体"/>
          <w:b/>
          <w:sz w:val="24"/>
        </w:rPr>
        <w:sectPr>
          <w:headerReference w:type="default" r:id="rId6"/>
          <w:footerReference w:type="even" r:id="rId7"/>
          <w:footerReference w:type="default" r:id="rId8"/>
          <w:pgSz w:w="11906" w:h="16838"/>
          <w:pgMar w:top="1440" w:right="1800" w:bottom="1440" w:left="1800" w:header="851" w:footer="992" w:gutter="0"/>
          <w:cols w:num="1" w:space="720"/>
          <w:titlePg/>
          <w:docGrid w:type="lines" w:linePitch="312" w:charSpace="0"/>
        </w:sectPr>
      </w:pPr>
    </w:p>
    <w:p>
      <w:pPr>
        <w:pStyle w:val="a7-BR781526"/>
      </w:pPr>
      <w:bookmarkStart w:id="1" w:name="_Toc32761099"/>
      <w:bookmarkStart w:id="2" w:name="_Toc14912"/>
      <w:bookmarkStart w:id="3" w:name="_Toc36545981"/>
      <w:bookmarkStart w:id="4" w:name="_Toc519865888"/>
      <w:bookmarkStart w:id="5" w:name="_Toc519865887"/>
      <w:bookmarkStart w:id="6" w:name="_Toc36545980"/>
      <w:bookmarkStart w:id="7" w:name="_Hlk35287674"/>
      <w:bookmarkStart w:id="8" w:name="_Toc32761098"/>
      <w:bookmarkStart w:id="9" w:name="_Toc256000000"/>
      <w:r>
        <w:rPr>
          <w:rFonts w:hint="eastAsia"/>
        </w:rPr>
        <w:t>重要提示</w:t>
      </w:r>
      <w:bookmarkEnd w:id="9"/>
    </w:p>
    <w:p>
      <w:pPr>
        <w:pStyle w:val="a-BR781526"/>
        <w:spacing w:line="360" w:lineRule="auto"/>
        <w:ind w:firstLine="480" w:firstLineChars="200"/>
        <w:jc w:val="center"/>
        <w:rPr>
          <w:rFonts w:ascii="宋体" w:hAnsi="宋体"/>
          <w:b/>
          <w:sz w:val="24"/>
        </w:rPr>
      </w:pPr>
    </w:p>
    <w:p>
      <w:pPr>
        <w:pStyle w:val="a-BR781526"/>
        <w:spacing w:line="360" w:lineRule="auto"/>
        <w:ind w:firstLine="480" w:firstLineChars="200"/>
        <w:jc w:val="left"/>
        <w:rPr>
          <w:rFonts w:ascii="宋体" w:hAnsi="宋体"/>
          <w:sz w:val="24"/>
        </w:rPr>
      </w:pPr>
      <w:r>
        <w:rPr>
          <w:rFonts w:ascii="宋体" w:hAnsi="宋体" w:hint="eastAsia"/>
          <w:sz w:val="24"/>
        </w:rPr>
        <w:t>私募基金管理人承诺以诚实信用、勤勉尽责的原则管理和运用基金资产，但投资者购买本基金并不等同于将资金作为存款存放在银行或其它存款类金融机构，私募基金管理人不保证基金一定盈利，也不保证最低收益。投资有风险，私募基金管理人的过往业绩不代表未来业绩。</w:t>
      </w:r>
    </w:p>
    <w:p>
      <w:pPr>
        <w:pStyle w:val="a-BR781526"/>
        <w:spacing w:line="360" w:lineRule="auto"/>
        <w:ind w:firstLine="480" w:firstLineChars="200"/>
        <w:jc w:val="left"/>
        <w:rPr>
          <w:rFonts w:ascii="宋体" w:hAnsi="宋体"/>
          <w:sz w:val="24"/>
        </w:rPr>
      </w:pPr>
      <w:r>
        <w:rPr>
          <w:rFonts w:ascii="宋体" w:hAnsi="宋体" w:hint="eastAsia"/>
          <w:sz w:val="24"/>
        </w:rPr>
        <w:t>本合同将按中国证券投资基金业协会的规定提请备案，但中国证券投资基金业协会接受本合同的备案并不表明其对本基金的价值和收益作出实质性判断或保证，也不表明投资于本基金没有风险。</w:t>
      </w:r>
    </w:p>
    <w:p>
      <w:pPr>
        <w:pStyle w:val="a-BR781526"/>
        <w:spacing w:line="360" w:lineRule="auto"/>
        <w:ind w:firstLine="480" w:firstLineChars="200"/>
        <w:jc w:val="left"/>
        <w:rPr>
          <w:rFonts w:ascii="宋体" w:hAnsi="宋体"/>
          <w:b/>
          <w:sz w:val="24"/>
        </w:rPr>
      </w:pPr>
      <w:r>
        <w:rPr>
          <w:rFonts w:ascii="宋体" w:hAnsi="宋体" w:hint="eastAsia"/>
          <w:b/>
          <w:sz w:val="24"/>
        </w:rPr>
        <w:t>本基金合同是约定各当事人之间权利义务关系的基本法律文件，其他与本合同相关的涉及本合同各当事人之间权利义务关系的任何文件或表述，如与本合同不一致或有冲突，均以本合同约定为准。</w:t>
      </w:r>
    </w:p>
    <w:p>
      <w:pPr>
        <w:pStyle w:val="a-BR781526"/>
        <w:spacing w:line="360" w:lineRule="auto"/>
        <w:ind w:firstLine="480" w:firstLineChars="200"/>
        <w:jc w:val="left"/>
        <w:rPr>
          <w:rFonts w:ascii="宋体" w:hAnsi="宋体"/>
          <w:b/>
          <w:sz w:val="24"/>
        </w:rPr>
      </w:pPr>
      <w:r>
        <w:rPr>
          <w:rFonts w:ascii="宋体" w:hAnsi="宋体" w:hint="eastAsia"/>
          <w:b/>
          <w:sz w:val="24"/>
        </w:rPr>
        <w:t>私募基金管理人提醒投资者基金投资的“买者自负”原则，在作出投资决策后，基金运营状况与基金净值变化引致的投资风险，由投资者自行承担。</w:t>
      </w:r>
    </w:p>
    <w:p>
      <w:pPr>
        <w:pStyle w:val="a-BR781526"/>
        <w:widowControl/>
        <w:jc w:val="center"/>
        <w:rPr>
          <w:rFonts w:ascii="宋体" w:hAnsi="宋体"/>
          <w:b/>
          <w:sz w:val="24"/>
        </w:rPr>
      </w:pPr>
      <w:r>
        <w:rPr>
          <w:rFonts w:ascii="宋体" w:hAnsi="宋体"/>
          <w:b/>
          <w:sz w:val="24"/>
        </w:rPr>
        <w:br w:type="page"/>
      </w:r>
    </w:p>
    <w:p>
      <w:pPr>
        <w:pStyle w:val="TOC-BR112710-BR781526"/>
        <w:spacing w:line="440" w:lineRule="exact"/>
        <w:jc w:val="center"/>
        <w:rPr>
          <w:rFonts w:ascii="宋体" w:eastAsia="宋体" w:hAnsi="宋体" w:cs="Times New Roman"/>
          <w:b/>
          <w:color w:val="auto"/>
          <w:kern w:val="2"/>
          <w:sz w:val="24"/>
          <w:szCs w:val="24"/>
        </w:rPr>
      </w:pPr>
      <w:r>
        <w:rPr>
          <w:rFonts w:ascii="宋体" w:eastAsia="宋体" w:hAnsi="宋体" w:cs="Times New Roman"/>
          <w:b/>
          <w:color w:val="auto"/>
          <w:kern w:val="2"/>
          <w:sz w:val="24"/>
          <w:szCs w:val="24"/>
        </w:rPr>
        <w:t>目录</w:t>
      </w:r>
    </w:p>
    <w:p>
      <w:pPr>
        <w:pStyle w:val="TOC1"/>
        <w:rPr>
          <w:rFonts w:asciiTheme="minorHAnsi" w:hAnsiTheme="minorHAnsi"/>
          <w:noProof/>
          <w:sz w:val="22"/>
        </w:rPr>
      </w:pPr>
      <w:r>
        <w:fldChar w:fldCharType="begin"/>
      </w:r>
      <w:r>
        <w:instrText>TOC \o "1-3" \h \z \u</w:instrText>
      </w:r>
      <w:r>
        <w:fldChar w:fldCharType="separate"/>
      </w:r>
      <w:hyperlink w:anchor="_Toc256000000" w:history="1">
        <w:r>
          <w:rPr>
            <w:rStyle w:val="Hyperlink"/>
            <w:rFonts w:hint="eastAsia"/>
          </w:rPr>
          <w:t>重要提示</w:t>
        </w:r>
        <w:r>
          <w:tab/>
        </w:r>
        <w:r>
          <w:fldChar w:fldCharType="begin"/>
        </w:r>
        <w:r>
          <w:instrText xml:space="preserve"> PAGEREF _Toc256000000 \h </w:instrText>
        </w:r>
        <w:r>
          <w:fldChar w:fldCharType="separate"/>
        </w:r>
        <w:r>
          <w:t>0</w:t>
        </w:r>
        <w:r>
          <w:fldChar w:fldCharType="end"/>
        </w:r>
      </w:hyperlink>
    </w:p>
    <w:p>
      <w:pPr>
        <w:pStyle w:val="TOC1"/>
        <w:rPr>
          <w:rFonts w:asciiTheme="minorHAnsi" w:hAnsiTheme="minorHAnsi"/>
          <w:noProof/>
          <w:sz w:val="22"/>
        </w:rPr>
      </w:pPr>
      <w:hyperlink w:anchor="_Toc256000001" w:history="1">
        <w:r>
          <w:rPr>
            <w:rStyle w:val="Hyperlink"/>
            <w:rFonts w:hint="eastAsia"/>
          </w:rPr>
          <w:t>一、前言</w:t>
        </w:r>
        <w:r>
          <w:tab/>
        </w:r>
        <w:r>
          <w:fldChar w:fldCharType="begin"/>
        </w:r>
        <w:r>
          <w:instrText xml:space="preserve"> PAGEREF _Toc256000001 \h </w:instrText>
        </w:r>
        <w:r>
          <w:fldChar w:fldCharType="separate"/>
        </w:r>
        <w:r>
          <w:t>3</w:t>
        </w:r>
        <w:r>
          <w:fldChar w:fldCharType="end"/>
        </w:r>
      </w:hyperlink>
    </w:p>
    <w:p>
      <w:pPr>
        <w:pStyle w:val="TOC1"/>
        <w:rPr>
          <w:rFonts w:asciiTheme="minorHAnsi" w:hAnsiTheme="minorHAnsi"/>
          <w:noProof/>
          <w:sz w:val="22"/>
        </w:rPr>
      </w:pPr>
      <w:hyperlink w:anchor="_Toc256000002" w:history="1">
        <w:r>
          <w:rPr>
            <w:rStyle w:val="Hyperlink"/>
            <w:rFonts w:hint="eastAsia"/>
          </w:rPr>
          <w:t>二、释义</w:t>
        </w:r>
        <w:r>
          <w:tab/>
        </w:r>
        <w:r>
          <w:fldChar w:fldCharType="begin"/>
        </w:r>
        <w:r>
          <w:instrText xml:space="preserve"> PAGEREF _Toc256000002 \h </w:instrText>
        </w:r>
        <w:r>
          <w:fldChar w:fldCharType="separate"/>
        </w:r>
        <w:r>
          <w:t>3</w:t>
        </w:r>
        <w:r>
          <w:fldChar w:fldCharType="end"/>
        </w:r>
      </w:hyperlink>
    </w:p>
    <w:p>
      <w:pPr>
        <w:pStyle w:val="TOC1"/>
        <w:rPr>
          <w:rFonts w:asciiTheme="minorHAnsi" w:hAnsiTheme="minorHAnsi"/>
          <w:noProof/>
          <w:sz w:val="22"/>
        </w:rPr>
      </w:pPr>
      <w:hyperlink w:anchor="_Toc256000003" w:history="1">
        <w:r>
          <w:rPr>
            <w:rStyle w:val="Hyperlink"/>
            <w:rFonts w:hint="eastAsia"/>
          </w:rPr>
          <w:t>三、声明与承诺</w:t>
        </w:r>
        <w:r>
          <w:tab/>
        </w:r>
        <w:r>
          <w:fldChar w:fldCharType="begin"/>
        </w:r>
        <w:r>
          <w:instrText xml:space="preserve"> PAGEREF _Toc256000003 \h </w:instrText>
        </w:r>
        <w:r>
          <w:fldChar w:fldCharType="separate"/>
        </w:r>
        <w:r>
          <w:t>6</w:t>
        </w:r>
        <w:r>
          <w:fldChar w:fldCharType="end"/>
        </w:r>
      </w:hyperlink>
    </w:p>
    <w:p>
      <w:pPr>
        <w:pStyle w:val="TOC1"/>
        <w:rPr>
          <w:rFonts w:asciiTheme="minorHAnsi" w:hAnsiTheme="minorHAnsi"/>
          <w:noProof/>
          <w:sz w:val="22"/>
        </w:rPr>
      </w:pPr>
      <w:hyperlink w:anchor="_Toc256000004" w:history="1">
        <w:r>
          <w:rPr>
            <w:rStyle w:val="Hyperlink"/>
            <w:rFonts w:hint="eastAsia"/>
          </w:rPr>
          <w:t>四、私募基金的基本情况</w:t>
        </w:r>
        <w:r>
          <w:tab/>
        </w:r>
        <w:r>
          <w:fldChar w:fldCharType="begin"/>
        </w:r>
        <w:r>
          <w:instrText xml:space="preserve"> PAGEREF _Toc256000004 \h </w:instrText>
        </w:r>
        <w:r>
          <w:fldChar w:fldCharType="separate"/>
        </w:r>
        <w:r>
          <w:t>7</w:t>
        </w:r>
        <w:r>
          <w:fldChar w:fldCharType="end"/>
        </w:r>
      </w:hyperlink>
    </w:p>
    <w:p>
      <w:pPr>
        <w:pStyle w:val="TOC1"/>
        <w:rPr>
          <w:rFonts w:asciiTheme="minorHAnsi" w:hAnsiTheme="minorHAnsi"/>
          <w:noProof/>
          <w:sz w:val="22"/>
        </w:rPr>
      </w:pPr>
      <w:hyperlink w:anchor="_Toc256000005" w:history="1">
        <w:r>
          <w:rPr>
            <w:rStyle w:val="Hyperlink"/>
            <w:rFonts w:hint="eastAsia"/>
          </w:rPr>
          <w:t>五、私募基金的募集</w:t>
        </w:r>
        <w:r>
          <w:tab/>
        </w:r>
        <w:r>
          <w:fldChar w:fldCharType="begin"/>
        </w:r>
        <w:r>
          <w:instrText xml:space="preserve"> PAGEREF _Toc256000005 \h </w:instrText>
        </w:r>
        <w:r>
          <w:fldChar w:fldCharType="separate"/>
        </w:r>
        <w:r>
          <w:t>8</w:t>
        </w:r>
        <w:r>
          <w:fldChar w:fldCharType="end"/>
        </w:r>
      </w:hyperlink>
    </w:p>
    <w:p>
      <w:pPr>
        <w:pStyle w:val="TOC1"/>
        <w:rPr>
          <w:rFonts w:asciiTheme="minorHAnsi" w:hAnsiTheme="minorHAnsi"/>
          <w:noProof/>
          <w:sz w:val="22"/>
        </w:rPr>
      </w:pPr>
      <w:hyperlink w:anchor="_Toc256000006" w:history="1">
        <w:r>
          <w:rPr>
            <w:rStyle w:val="Hyperlink"/>
            <w:rFonts w:hint="eastAsia"/>
          </w:rPr>
          <w:t>六、私募基金的成立与备案</w:t>
        </w:r>
        <w:r>
          <w:tab/>
        </w:r>
        <w:r>
          <w:fldChar w:fldCharType="begin"/>
        </w:r>
        <w:r>
          <w:instrText xml:space="preserve"> PAGEREF _Toc256000006 \h </w:instrText>
        </w:r>
        <w:r>
          <w:fldChar w:fldCharType="separate"/>
        </w:r>
        <w:r>
          <w:t>12</w:t>
        </w:r>
        <w:r>
          <w:fldChar w:fldCharType="end"/>
        </w:r>
      </w:hyperlink>
    </w:p>
    <w:p>
      <w:pPr>
        <w:pStyle w:val="TOC1"/>
        <w:rPr>
          <w:rFonts w:asciiTheme="minorHAnsi" w:hAnsiTheme="minorHAnsi"/>
          <w:noProof/>
          <w:sz w:val="22"/>
        </w:rPr>
      </w:pPr>
      <w:hyperlink w:anchor="_Toc256000007" w:history="1">
        <w:r>
          <w:rPr>
            <w:rStyle w:val="Hyperlink"/>
            <w:rFonts w:hint="eastAsia"/>
          </w:rPr>
          <w:t>七、私募基金的申购、赎回和转让</w:t>
        </w:r>
        <w:r>
          <w:tab/>
        </w:r>
        <w:r>
          <w:fldChar w:fldCharType="begin"/>
        </w:r>
        <w:r>
          <w:instrText xml:space="preserve"> PAGEREF _Toc256000007 \h </w:instrText>
        </w:r>
        <w:r>
          <w:fldChar w:fldCharType="separate"/>
        </w:r>
        <w:r>
          <w:t>13</w:t>
        </w:r>
        <w:r>
          <w:fldChar w:fldCharType="end"/>
        </w:r>
      </w:hyperlink>
    </w:p>
    <w:p>
      <w:pPr>
        <w:pStyle w:val="TOC1"/>
        <w:rPr>
          <w:rFonts w:asciiTheme="minorHAnsi" w:hAnsiTheme="minorHAnsi"/>
          <w:noProof/>
          <w:sz w:val="22"/>
        </w:rPr>
      </w:pPr>
      <w:hyperlink w:anchor="_Toc256000008" w:history="1">
        <w:r>
          <w:rPr>
            <w:rStyle w:val="Hyperlink"/>
            <w:rFonts w:hint="eastAsia"/>
          </w:rPr>
          <w:t>八、当事人及权利义务</w:t>
        </w:r>
        <w:r>
          <w:tab/>
        </w:r>
        <w:r>
          <w:fldChar w:fldCharType="begin"/>
        </w:r>
        <w:r>
          <w:instrText xml:space="preserve"> PAGEREF _Toc256000008 \h </w:instrText>
        </w:r>
        <w:r>
          <w:fldChar w:fldCharType="separate"/>
        </w:r>
        <w:r>
          <w:t>20</w:t>
        </w:r>
        <w:r>
          <w:fldChar w:fldCharType="end"/>
        </w:r>
      </w:hyperlink>
    </w:p>
    <w:p>
      <w:pPr>
        <w:pStyle w:val="TOC1"/>
        <w:rPr>
          <w:rFonts w:asciiTheme="minorHAnsi" w:hAnsiTheme="minorHAnsi"/>
          <w:noProof/>
          <w:sz w:val="22"/>
        </w:rPr>
      </w:pPr>
      <w:hyperlink w:anchor="_Toc256000009" w:history="1">
        <w:r>
          <w:rPr>
            <w:rStyle w:val="Hyperlink"/>
            <w:rFonts w:hint="eastAsia"/>
          </w:rPr>
          <w:t>九、私募基金份额持有人大会及日常机构</w:t>
        </w:r>
        <w:r>
          <w:tab/>
        </w:r>
        <w:r>
          <w:fldChar w:fldCharType="begin"/>
        </w:r>
        <w:r>
          <w:instrText xml:space="preserve"> PAGEREF _Toc256000009 \h </w:instrText>
        </w:r>
        <w:r>
          <w:fldChar w:fldCharType="separate"/>
        </w:r>
        <w:r>
          <w:t>27</w:t>
        </w:r>
        <w:r>
          <w:fldChar w:fldCharType="end"/>
        </w:r>
      </w:hyperlink>
    </w:p>
    <w:p>
      <w:pPr>
        <w:pStyle w:val="TOC1"/>
        <w:rPr>
          <w:rFonts w:asciiTheme="minorHAnsi" w:hAnsiTheme="minorHAnsi"/>
          <w:noProof/>
          <w:sz w:val="22"/>
        </w:rPr>
      </w:pPr>
      <w:hyperlink w:anchor="_Toc256000010" w:history="1">
        <w:r>
          <w:rPr>
            <w:rStyle w:val="Hyperlink"/>
            <w:rFonts w:hint="eastAsia"/>
          </w:rPr>
          <w:t>十、私募基金份额的登记</w:t>
        </w:r>
        <w:r>
          <w:tab/>
        </w:r>
        <w:r>
          <w:fldChar w:fldCharType="begin"/>
        </w:r>
        <w:r>
          <w:instrText xml:space="preserve"> PAGEREF _Toc256000010 \h </w:instrText>
        </w:r>
        <w:r>
          <w:fldChar w:fldCharType="separate"/>
        </w:r>
        <w:r>
          <w:t>30</w:t>
        </w:r>
        <w:r>
          <w:fldChar w:fldCharType="end"/>
        </w:r>
      </w:hyperlink>
    </w:p>
    <w:p>
      <w:pPr>
        <w:pStyle w:val="TOC1"/>
        <w:rPr>
          <w:rFonts w:asciiTheme="minorHAnsi" w:hAnsiTheme="minorHAnsi"/>
          <w:noProof/>
          <w:sz w:val="22"/>
        </w:rPr>
      </w:pPr>
      <w:hyperlink w:anchor="_Toc256000011" w:history="1">
        <w:r>
          <w:rPr>
            <w:rStyle w:val="Hyperlink"/>
            <w:rFonts w:hint="eastAsia"/>
          </w:rPr>
          <w:t>十一、私募基金的投资</w:t>
        </w:r>
        <w:r>
          <w:tab/>
        </w:r>
        <w:r>
          <w:fldChar w:fldCharType="begin"/>
        </w:r>
        <w:r>
          <w:instrText xml:space="preserve"> PAGEREF _Toc256000011 \h </w:instrText>
        </w:r>
        <w:r>
          <w:fldChar w:fldCharType="separate"/>
        </w:r>
        <w:r>
          <w:t>31</w:t>
        </w:r>
        <w:r>
          <w:fldChar w:fldCharType="end"/>
        </w:r>
      </w:hyperlink>
    </w:p>
    <w:p>
      <w:pPr>
        <w:pStyle w:val="TOC1"/>
        <w:rPr>
          <w:rFonts w:asciiTheme="minorHAnsi" w:hAnsiTheme="minorHAnsi"/>
          <w:noProof/>
          <w:sz w:val="22"/>
        </w:rPr>
      </w:pPr>
      <w:hyperlink w:anchor="_Toc256000012" w:history="1">
        <w:r>
          <w:rPr>
            <w:rStyle w:val="Hyperlink"/>
            <w:rFonts w:hint="eastAsia"/>
          </w:rPr>
          <w:t>十二、私募基金的财产</w:t>
        </w:r>
        <w:r>
          <w:tab/>
        </w:r>
        <w:r>
          <w:fldChar w:fldCharType="begin"/>
        </w:r>
        <w:r>
          <w:instrText xml:space="preserve"> PAGEREF _Toc256000012 \h </w:instrText>
        </w:r>
        <w:r>
          <w:fldChar w:fldCharType="separate"/>
        </w:r>
        <w:r>
          <w:t>36</w:t>
        </w:r>
        <w:r>
          <w:fldChar w:fldCharType="end"/>
        </w:r>
      </w:hyperlink>
    </w:p>
    <w:p>
      <w:pPr>
        <w:pStyle w:val="TOC1"/>
        <w:rPr>
          <w:rFonts w:asciiTheme="minorHAnsi" w:hAnsiTheme="minorHAnsi"/>
          <w:noProof/>
          <w:sz w:val="22"/>
        </w:rPr>
      </w:pPr>
      <w:hyperlink w:anchor="_Toc256000013" w:history="1">
        <w:r>
          <w:rPr>
            <w:rStyle w:val="Hyperlink"/>
            <w:rFonts w:hint="eastAsia"/>
          </w:rPr>
          <w:t>十三、交易及清算交收安排</w:t>
        </w:r>
        <w:r>
          <w:tab/>
        </w:r>
        <w:r>
          <w:fldChar w:fldCharType="begin"/>
        </w:r>
        <w:r>
          <w:instrText xml:space="preserve"> PAGEREF _Toc256000013 \h </w:instrText>
        </w:r>
        <w:r>
          <w:fldChar w:fldCharType="separate"/>
        </w:r>
        <w:r>
          <w:t>38</w:t>
        </w:r>
        <w:r>
          <w:fldChar w:fldCharType="end"/>
        </w:r>
      </w:hyperlink>
    </w:p>
    <w:p>
      <w:pPr>
        <w:pStyle w:val="TOC1"/>
        <w:rPr>
          <w:rFonts w:asciiTheme="minorHAnsi" w:hAnsiTheme="minorHAnsi"/>
          <w:noProof/>
          <w:sz w:val="22"/>
        </w:rPr>
      </w:pPr>
      <w:hyperlink w:anchor="_Toc256000014" w:history="1">
        <w:r>
          <w:rPr>
            <w:rStyle w:val="Hyperlink"/>
            <w:rFonts w:hint="eastAsia"/>
          </w:rPr>
          <w:t>十四、越权交易处理</w:t>
        </w:r>
        <w:r>
          <w:tab/>
        </w:r>
        <w:r>
          <w:fldChar w:fldCharType="begin"/>
        </w:r>
        <w:r>
          <w:instrText xml:space="preserve"> PAGEREF _Toc256000014 \h </w:instrText>
        </w:r>
        <w:r>
          <w:fldChar w:fldCharType="separate"/>
        </w:r>
        <w:r>
          <w:t>44</w:t>
        </w:r>
        <w:r>
          <w:fldChar w:fldCharType="end"/>
        </w:r>
      </w:hyperlink>
    </w:p>
    <w:p>
      <w:pPr>
        <w:pStyle w:val="TOC1"/>
        <w:rPr>
          <w:rFonts w:asciiTheme="minorHAnsi" w:hAnsiTheme="minorHAnsi"/>
          <w:noProof/>
          <w:sz w:val="22"/>
        </w:rPr>
      </w:pPr>
      <w:hyperlink w:anchor="_Toc256000015" w:history="1">
        <w:r>
          <w:rPr>
            <w:rStyle w:val="Hyperlink"/>
            <w:rFonts w:hint="eastAsia"/>
          </w:rPr>
          <w:t>十五、私募基金财产的估值和会计核算</w:t>
        </w:r>
        <w:r>
          <w:tab/>
        </w:r>
        <w:r>
          <w:fldChar w:fldCharType="begin"/>
        </w:r>
        <w:r>
          <w:instrText xml:space="preserve"> PAGEREF _Toc256000015 \h </w:instrText>
        </w:r>
        <w:r>
          <w:fldChar w:fldCharType="separate"/>
        </w:r>
        <w:r>
          <w:t>46</w:t>
        </w:r>
        <w:r>
          <w:fldChar w:fldCharType="end"/>
        </w:r>
      </w:hyperlink>
    </w:p>
    <w:p>
      <w:pPr>
        <w:pStyle w:val="TOC1"/>
        <w:rPr>
          <w:rFonts w:asciiTheme="minorHAnsi" w:hAnsiTheme="minorHAnsi"/>
          <w:noProof/>
          <w:sz w:val="22"/>
        </w:rPr>
      </w:pPr>
      <w:hyperlink w:anchor="_Toc256000016" w:history="1">
        <w:r>
          <w:rPr>
            <w:rStyle w:val="Hyperlink"/>
            <w:rFonts w:hint="eastAsia"/>
          </w:rPr>
          <w:t>十六、私募基金的费用与税收</w:t>
        </w:r>
        <w:r>
          <w:tab/>
        </w:r>
        <w:r>
          <w:fldChar w:fldCharType="begin"/>
        </w:r>
        <w:r>
          <w:instrText xml:space="preserve"> PAGEREF _Toc256000016 \h </w:instrText>
        </w:r>
        <w:r>
          <w:fldChar w:fldCharType="separate"/>
        </w:r>
        <w:r>
          <w:t>54</w:t>
        </w:r>
        <w:r>
          <w:fldChar w:fldCharType="end"/>
        </w:r>
      </w:hyperlink>
    </w:p>
    <w:p>
      <w:pPr>
        <w:pStyle w:val="TOC1"/>
        <w:rPr>
          <w:rFonts w:asciiTheme="minorHAnsi" w:hAnsiTheme="minorHAnsi"/>
          <w:noProof/>
          <w:sz w:val="22"/>
        </w:rPr>
      </w:pPr>
      <w:hyperlink w:anchor="_Toc256000017" w:history="1">
        <w:r>
          <w:rPr>
            <w:rStyle w:val="Hyperlink"/>
            <w:rFonts w:hint="eastAsia"/>
          </w:rPr>
          <w:t>十七、私募基金的收益分配</w:t>
        </w:r>
        <w:r>
          <w:tab/>
        </w:r>
        <w:r>
          <w:fldChar w:fldCharType="begin"/>
        </w:r>
        <w:r>
          <w:instrText xml:space="preserve"> PAGEREF _Toc256000017 \h </w:instrText>
        </w:r>
        <w:r>
          <w:fldChar w:fldCharType="separate"/>
        </w:r>
        <w:r>
          <w:t>57</w:t>
        </w:r>
        <w:r>
          <w:fldChar w:fldCharType="end"/>
        </w:r>
      </w:hyperlink>
    </w:p>
    <w:p>
      <w:pPr>
        <w:pStyle w:val="TOC1"/>
        <w:rPr>
          <w:rFonts w:asciiTheme="minorHAnsi" w:hAnsiTheme="minorHAnsi"/>
          <w:noProof/>
          <w:sz w:val="22"/>
        </w:rPr>
      </w:pPr>
      <w:hyperlink w:anchor="_Toc256000018" w:history="1">
        <w:r>
          <w:rPr>
            <w:rStyle w:val="Hyperlink"/>
            <w:rFonts w:hint="eastAsia"/>
          </w:rPr>
          <w:t>十八、信息披露与报告</w:t>
        </w:r>
        <w:r>
          <w:tab/>
        </w:r>
        <w:r>
          <w:fldChar w:fldCharType="begin"/>
        </w:r>
        <w:r>
          <w:instrText xml:space="preserve"> PAGEREF _Toc256000018 \h </w:instrText>
        </w:r>
        <w:r>
          <w:fldChar w:fldCharType="separate"/>
        </w:r>
        <w:r>
          <w:t>58</w:t>
        </w:r>
        <w:r>
          <w:fldChar w:fldCharType="end"/>
        </w:r>
      </w:hyperlink>
    </w:p>
    <w:p>
      <w:pPr>
        <w:pStyle w:val="TOC1"/>
        <w:rPr>
          <w:rFonts w:asciiTheme="minorHAnsi" w:hAnsiTheme="minorHAnsi"/>
          <w:noProof/>
          <w:sz w:val="22"/>
        </w:rPr>
      </w:pPr>
      <w:hyperlink w:anchor="_Toc256000019" w:history="1">
        <w:r>
          <w:rPr>
            <w:rStyle w:val="Hyperlink"/>
            <w:rFonts w:hint="eastAsia"/>
          </w:rPr>
          <w:t>十九、风险揭示</w:t>
        </w:r>
        <w:r>
          <w:tab/>
        </w:r>
        <w:r>
          <w:fldChar w:fldCharType="begin"/>
        </w:r>
        <w:r>
          <w:instrText xml:space="preserve"> PAGEREF _Toc256000019 \h </w:instrText>
        </w:r>
        <w:r>
          <w:fldChar w:fldCharType="separate"/>
        </w:r>
        <w:r>
          <w:t>60</w:t>
        </w:r>
        <w:r>
          <w:fldChar w:fldCharType="end"/>
        </w:r>
      </w:hyperlink>
    </w:p>
    <w:p>
      <w:pPr>
        <w:pStyle w:val="TOC1"/>
        <w:rPr>
          <w:rFonts w:asciiTheme="minorHAnsi" w:hAnsiTheme="minorHAnsi"/>
          <w:noProof/>
          <w:sz w:val="22"/>
        </w:rPr>
      </w:pPr>
      <w:hyperlink w:anchor="_Toc256000020" w:history="1">
        <w:r>
          <w:rPr>
            <w:rStyle w:val="Hyperlink"/>
            <w:rFonts w:hint="eastAsia"/>
          </w:rPr>
          <w:t>二十、基金有关文件档案的保存</w:t>
        </w:r>
        <w:r>
          <w:tab/>
        </w:r>
        <w:r>
          <w:fldChar w:fldCharType="begin"/>
        </w:r>
        <w:r>
          <w:instrText xml:space="preserve"> PAGEREF _Toc256000020 \h </w:instrText>
        </w:r>
        <w:r>
          <w:fldChar w:fldCharType="separate"/>
        </w:r>
        <w:r>
          <w:t>79</w:t>
        </w:r>
        <w:r>
          <w:fldChar w:fldCharType="end"/>
        </w:r>
      </w:hyperlink>
    </w:p>
    <w:p>
      <w:pPr>
        <w:pStyle w:val="TOC1"/>
        <w:rPr>
          <w:rFonts w:asciiTheme="minorHAnsi" w:hAnsiTheme="minorHAnsi"/>
          <w:noProof/>
          <w:sz w:val="22"/>
        </w:rPr>
      </w:pPr>
      <w:hyperlink w:anchor="_Toc256000021" w:history="1">
        <w:r>
          <w:rPr>
            <w:rStyle w:val="Hyperlink"/>
            <w:rFonts w:hint="eastAsia"/>
          </w:rPr>
          <w:t>二十一、基金合同的效力、变更、解除及终止</w:t>
        </w:r>
        <w:r>
          <w:tab/>
        </w:r>
        <w:r>
          <w:fldChar w:fldCharType="begin"/>
        </w:r>
        <w:r>
          <w:instrText xml:space="preserve"> PAGEREF _Toc256000021 \h </w:instrText>
        </w:r>
        <w:r>
          <w:fldChar w:fldCharType="separate"/>
        </w:r>
        <w:r>
          <w:t>80</w:t>
        </w:r>
        <w:r>
          <w:fldChar w:fldCharType="end"/>
        </w:r>
      </w:hyperlink>
    </w:p>
    <w:p>
      <w:pPr>
        <w:pStyle w:val="TOC1"/>
        <w:rPr>
          <w:rFonts w:asciiTheme="minorHAnsi" w:hAnsiTheme="minorHAnsi"/>
          <w:noProof/>
          <w:sz w:val="22"/>
        </w:rPr>
      </w:pPr>
      <w:hyperlink w:anchor="_Toc256000022" w:history="1">
        <w:r>
          <w:rPr>
            <w:rStyle w:val="Hyperlink"/>
            <w:rFonts w:hint="eastAsia"/>
          </w:rPr>
          <w:t>二十二、私募基金的清算</w:t>
        </w:r>
        <w:r>
          <w:tab/>
        </w:r>
        <w:r>
          <w:fldChar w:fldCharType="begin"/>
        </w:r>
        <w:r>
          <w:instrText xml:space="preserve"> PAGEREF _Toc256000022 \h </w:instrText>
        </w:r>
        <w:r>
          <w:fldChar w:fldCharType="separate"/>
        </w:r>
        <w:r>
          <w:t>82</w:t>
        </w:r>
        <w:r>
          <w:fldChar w:fldCharType="end"/>
        </w:r>
      </w:hyperlink>
    </w:p>
    <w:p>
      <w:pPr>
        <w:pStyle w:val="TOC1"/>
        <w:rPr>
          <w:rFonts w:asciiTheme="minorHAnsi" w:hAnsiTheme="minorHAnsi"/>
          <w:noProof/>
          <w:sz w:val="22"/>
        </w:rPr>
      </w:pPr>
      <w:hyperlink w:anchor="_Toc256000023" w:history="1">
        <w:r>
          <w:rPr>
            <w:rStyle w:val="Hyperlink"/>
            <w:rFonts w:hint="eastAsia"/>
          </w:rPr>
          <w:t>二十三、违约责任</w:t>
        </w:r>
        <w:r>
          <w:tab/>
        </w:r>
        <w:r>
          <w:fldChar w:fldCharType="begin"/>
        </w:r>
        <w:r>
          <w:instrText xml:space="preserve"> PAGEREF _Toc256000023 \h </w:instrText>
        </w:r>
        <w:r>
          <w:fldChar w:fldCharType="separate"/>
        </w:r>
        <w:r>
          <w:t>86</w:t>
        </w:r>
        <w:r>
          <w:fldChar w:fldCharType="end"/>
        </w:r>
      </w:hyperlink>
    </w:p>
    <w:p>
      <w:pPr>
        <w:pStyle w:val="TOC1"/>
        <w:rPr>
          <w:rFonts w:asciiTheme="minorHAnsi" w:hAnsiTheme="minorHAnsi"/>
          <w:noProof/>
          <w:sz w:val="22"/>
        </w:rPr>
      </w:pPr>
      <w:hyperlink w:anchor="_Toc256000024" w:history="1">
        <w:r>
          <w:rPr>
            <w:rStyle w:val="Hyperlink"/>
            <w:rFonts w:hint="eastAsia"/>
          </w:rPr>
          <w:t>二十四、法律适用和争议的处理</w:t>
        </w:r>
        <w:r>
          <w:tab/>
        </w:r>
        <w:r>
          <w:fldChar w:fldCharType="begin"/>
        </w:r>
        <w:r>
          <w:instrText xml:space="preserve"> PAGEREF _Toc256000024 \h </w:instrText>
        </w:r>
        <w:r>
          <w:fldChar w:fldCharType="separate"/>
        </w:r>
        <w:r>
          <w:t>87</w:t>
        </w:r>
        <w:r>
          <w:fldChar w:fldCharType="end"/>
        </w:r>
      </w:hyperlink>
    </w:p>
    <w:p>
      <w:pPr>
        <w:pStyle w:val="TOC1"/>
        <w:rPr>
          <w:rFonts w:asciiTheme="minorHAnsi" w:hAnsiTheme="minorHAnsi"/>
          <w:noProof/>
          <w:sz w:val="22"/>
        </w:rPr>
      </w:pPr>
      <w:hyperlink w:anchor="_Toc256000025" w:history="1">
        <w:r>
          <w:rPr>
            <w:rStyle w:val="Hyperlink"/>
            <w:rFonts w:hint="eastAsia"/>
          </w:rPr>
          <w:t>二十五、其他事项</w:t>
        </w:r>
        <w:r>
          <w:tab/>
        </w:r>
        <w:r>
          <w:fldChar w:fldCharType="begin"/>
        </w:r>
        <w:r>
          <w:instrText xml:space="preserve"> PAGEREF _Toc256000025 \h </w:instrText>
        </w:r>
        <w:r>
          <w:fldChar w:fldCharType="separate"/>
        </w:r>
        <w:r>
          <w:t>87</w:t>
        </w:r>
        <w:r>
          <w:fldChar w:fldCharType="end"/>
        </w:r>
      </w:hyperlink>
    </w:p>
    <w:p>
      <w:pPr>
        <w:pStyle w:val="TOC1"/>
        <w:rPr>
          <w:rFonts w:asciiTheme="minorHAnsi" w:hAnsiTheme="minorHAnsi"/>
          <w:noProof/>
          <w:sz w:val="22"/>
        </w:rPr>
      </w:pPr>
      <w:hyperlink w:anchor="_Toc256000026" w:history="1">
        <w:r>
          <w:rPr>
            <w:rStyle w:val="Hyperlink"/>
            <w:rFonts w:hint="eastAsia"/>
          </w:rPr>
          <w:t>附件一：投资监督事项表</w:t>
        </w:r>
        <w:r>
          <w:tab/>
        </w:r>
        <w:r>
          <w:fldChar w:fldCharType="begin"/>
        </w:r>
        <w:r>
          <w:instrText xml:space="preserve"> PAGEREF _Toc256000026 \h </w:instrText>
        </w:r>
        <w:r>
          <w:fldChar w:fldCharType="separate"/>
        </w:r>
        <w:r>
          <w:t>91</w:t>
        </w:r>
        <w:r>
          <w:fldChar w:fldCharType="end"/>
        </w:r>
      </w:hyperlink>
    </w:p>
    <w:p>
      <w:pPr>
        <w:pStyle w:val="TOC1"/>
        <w:rPr>
          <w:rFonts w:asciiTheme="minorHAnsi" w:hAnsiTheme="minorHAnsi"/>
          <w:noProof/>
          <w:sz w:val="22"/>
        </w:rPr>
      </w:pPr>
      <w:hyperlink w:anchor="_Toc256000027" w:history="1">
        <w:r>
          <w:rPr>
            <w:rStyle w:val="Hyperlink"/>
            <w:rFonts w:hint="eastAsia"/>
          </w:rPr>
          <w:t>附件二：私募基金管理人与私募基金管理人委托的基金代理销售机构权利义务（如有）</w:t>
        </w:r>
        <w:r>
          <w:tab/>
        </w:r>
        <w:r>
          <w:fldChar w:fldCharType="begin"/>
        </w:r>
        <w:r>
          <w:instrText xml:space="preserve"> PAGEREF _Toc256000027 \h </w:instrText>
        </w:r>
        <w:r>
          <w:fldChar w:fldCharType="separate"/>
        </w:r>
        <w:r>
          <w:t>92</w:t>
        </w:r>
        <w:r>
          <w:fldChar w:fldCharType="end"/>
        </w:r>
      </w:hyperlink>
    </w:p>
    <w:p>
      <w:pPr>
        <w:pStyle w:val="TOC1"/>
        <w:rPr>
          <w:rFonts w:asciiTheme="minorHAnsi" w:hAnsiTheme="minorHAnsi"/>
          <w:noProof/>
          <w:sz w:val="22"/>
        </w:rPr>
      </w:pPr>
      <w:hyperlink w:anchor="_Toc256000028" w:history="1">
        <w:r>
          <w:rPr>
            <w:rStyle w:val="Hyperlink"/>
            <w:rFonts w:hint="eastAsia"/>
          </w:rPr>
          <w:t>附件三：投资人信息表</w:t>
        </w:r>
        <w:r>
          <w:tab/>
        </w:r>
        <w:r>
          <w:fldChar w:fldCharType="begin"/>
        </w:r>
        <w:r>
          <w:instrText xml:space="preserve"> PAGEREF _Toc256000028 \h </w:instrText>
        </w:r>
        <w:r>
          <w:fldChar w:fldCharType="separate"/>
        </w:r>
        <w:r>
          <w:t>94</w:t>
        </w:r>
        <w:r>
          <w:fldChar w:fldCharType="end"/>
        </w:r>
      </w:hyperlink>
    </w:p>
    <w:p>
      <w:r>
        <w:fldChar w:fldCharType="end"/>
      </w:r>
    </w:p>
    <w:p>
      <w:pPr>
        <w:pStyle w:val="a-BR781526"/>
      </w:pPr>
      <w:r>
        <w:rPr>
          <w:rFonts w:ascii="宋体" w:hAnsi="宋体"/>
          <w:szCs w:val="21"/>
        </w:rPr>
        <w:br w:type="page"/>
      </w:r>
    </w:p>
    <w:p>
      <w:pPr>
        <w:pStyle w:val="a7-BR781526"/>
        <w:rPr>
          <w:sz w:val="21"/>
          <w:szCs w:val="21"/>
        </w:rPr>
      </w:pPr>
      <w:bookmarkStart w:id="10" w:name="_Toc256000001"/>
      <w:r>
        <w:rPr>
          <w:rFonts w:hint="eastAsia"/>
          <w:sz w:val="21"/>
          <w:szCs w:val="21"/>
        </w:rPr>
        <w:t>一、前言</w:t>
      </w:r>
      <w:bookmarkEnd w:id="10"/>
    </w:p>
    <w:p>
      <w:pPr>
        <w:pStyle w:val="a-BR781526"/>
        <w:spacing w:line="360" w:lineRule="auto"/>
        <w:ind w:firstLine="420" w:firstLineChars="200"/>
        <w:rPr>
          <w:rFonts w:ascii="宋体" w:hAnsi="宋体"/>
          <w:szCs w:val="21"/>
        </w:rPr>
      </w:pPr>
      <w:r>
        <w:rPr>
          <w:rFonts w:ascii="宋体" w:hAnsi="宋体" w:hint="eastAsia"/>
          <w:szCs w:val="21"/>
        </w:rPr>
        <w:t>订立本合同的目的、依据和原则：</w:t>
      </w:r>
    </w:p>
    <w:p>
      <w:pPr>
        <w:pStyle w:val="a-BR781526"/>
        <w:spacing w:line="360" w:lineRule="auto"/>
        <w:ind w:firstLine="420"/>
        <w:rPr>
          <w:rFonts w:ascii="宋体" w:hAnsi="宋体"/>
          <w:szCs w:val="21"/>
        </w:rPr>
      </w:pPr>
      <w:r>
        <w:rPr>
          <w:rFonts w:ascii="宋体" w:hAnsi="宋体"/>
          <w:szCs w:val="21"/>
        </w:rPr>
        <w:t>1</w:t>
      </w:r>
      <w:r>
        <w:rPr>
          <w:rFonts w:ascii="宋体" w:hAnsi="宋体" w:hint="eastAsia"/>
          <w:szCs w:val="21"/>
        </w:rPr>
        <w:t>、订立本合同的目的是明确本合同当事人的权利义务、规范本基金的运作、保护基金份额持有人的合法权益。</w:t>
      </w:r>
    </w:p>
    <w:p>
      <w:pPr>
        <w:pStyle w:val="a-BR781526"/>
        <w:spacing w:line="360" w:lineRule="auto"/>
        <w:ind w:firstLine="420"/>
        <w:rPr>
          <w:rFonts w:ascii="宋体" w:hAnsi="宋体"/>
          <w:szCs w:val="21"/>
        </w:rPr>
      </w:pPr>
      <w:r>
        <w:rPr>
          <w:rFonts w:ascii="宋体" w:hAnsi="宋体"/>
          <w:szCs w:val="21"/>
        </w:rPr>
        <w:t>2</w:t>
      </w:r>
      <w:r>
        <w:rPr>
          <w:rFonts w:ascii="宋体" w:hAnsi="宋体" w:hint="eastAsia"/>
          <w:szCs w:val="21"/>
        </w:rPr>
        <w:t>、订立本合同的依据是《中华人民共和国民法总则》《中华人民共和国民法通则》《中华人民共和国合同法》《中华人民共和国证券投资基金法》（以下简称《基金法》）《私募投资基金监督管理暂行办法》（以下简称《私募办法》）《私募投资基金管理人登记和基金备案办法（试行）》《私募投资基金信息披露管理办法》《私募投资基金募集行为管理办法》《证券期货经营机构私募资产管理业务运作管理暂行规定》《中国人民银行、中国银行保险监督管理委员会、中国证券监督管理委员会、国家外汇管理局关于规范金融机构资产管理业务的指导意见》（以下简称《指导意见》）及其他法律法规的有关规定。</w:t>
      </w:r>
    </w:p>
    <w:p>
      <w:pPr>
        <w:pStyle w:val="a-BR781526"/>
        <w:spacing w:line="360" w:lineRule="auto"/>
        <w:ind w:firstLine="420" w:firstLineChars="200"/>
        <w:rPr>
          <w:rFonts w:ascii="宋体" w:hAnsi="宋体" w:cs="宋体"/>
        </w:rPr>
      </w:pPr>
      <w:r>
        <w:rPr>
          <w:rFonts w:ascii="宋体" w:hAnsi="宋体"/>
          <w:szCs w:val="21"/>
        </w:rPr>
        <w:t>3</w:t>
      </w:r>
      <w:r>
        <w:rPr>
          <w:rFonts w:ascii="宋体" w:hAnsi="宋体" w:hint="eastAsia"/>
          <w:szCs w:val="21"/>
        </w:rPr>
        <w:t>、订立本合同遵照基金份额持有人、私募基金管理人、私募基金托管人平等自愿、诚实信用的原则。</w:t>
      </w:r>
      <w:r>
        <w:rPr>
          <w:rFonts w:ascii="宋体" w:hAnsi="宋体" w:cs="宋体" w:hint="eastAsia"/>
          <w:szCs w:val="21"/>
        </w:rPr>
        <w:t>本合同是约定本合同当事人之间基本权利义务的法律文件，其他与本基金相关的涉及本合同当事人之间权利义务关系的任何文件或表述，均以本合同为准。</w:t>
      </w:r>
    </w:p>
    <w:p>
      <w:pPr>
        <w:pStyle w:val="a-BR781526"/>
        <w:spacing w:line="360" w:lineRule="auto"/>
        <w:ind w:firstLine="420" w:firstLineChars="200"/>
        <w:rPr>
          <w:rFonts w:ascii="宋体" w:hAnsi="宋体" w:cs="宋体"/>
          <w:szCs w:val="21"/>
        </w:rPr>
      </w:pPr>
      <w:r>
        <w:rPr>
          <w:rFonts w:ascii="宋体" w:hAnsi="宋体" w:cs="宋体" w:hint="eastAsia"/>
          <w:szCs w:val="21"/>
        </w:rPr>
        <w:t>4、本基金按照中国法律法规成立并运作，若本合同的内容与届时有效的法律法规的强制性规定不一致，应当以届时有效的法律法规的规定为准。</w:t>
      </w:r>
    </w:p>
    <w:p>
      <w:pPr>
        <w:pStyle w:val="a7-BR080568"/>
        <w:rPr>
          <w:sz w:val="21"/>
          <w:szCs w:val="21"/>
        </w:rPr>
      </w:pPr>
      <w:bookmarkStart w:id="11" w:name="_Toc256000002"/>
      <w:r>
        <w:rPr>
          <w:rFonts w:hint="eastAsia"/>
          <w:sz w:val="21"/>
          <w:szCs w:val="21"/>
        </w:rPr>
        <w:t>二、释义</w:t>
      </w:r>
      <w:bookmarkEnd w:id="11"/>
    </w:p>
    <w:p>
      <w:pPr>
        <w:pStyle w:val="a-BR080568"/>
        <w:spacing w:line="360" w:lineRule="auto"/>
        <w:ind w:firstLine="420" w:firstLineChars="200"/>
        <w:rPr>
          <w:rFonts w:ascii="宋体" w:hAnsi="宋体"/>
          <w:szCs w:val="21"/>
        </w:rPr>
      </w:pPr>
      <w:r>
        <w:rPr>
          <w:rFonts w:ascii="宋体" w:hAnsi="宋体" w:hint="eastAsia"/>
          <w:szCs w:val="21"/>
        </w:rPr>
        <w:t>在本合同中，除上下文另有规定外，下列用语应当具有如下含义：</w:t>
      </w:r>
    </w:p>
    <w:p>
      <w:pPr>
        <w:pStyle w:val="2-BR080568"/>
        <w:numPr>
          <w:ilvl w:val="0"/>
          <w:numId w:val="1"/>
        </w:numPr>
        <w:tabs>
          <w:tab w:val="left" w:pos="426"/>
        </w:tabs>
        <w:spacing w:line="360" w:lineRule="auto"/>
        <w:ind w:left="426" w:hanging="284" w:firstLineChars="0"/>
        <w:rPr>
          <w:rFonts w:ascii="宋体" w:hAnsi="宋体"/>
          <w:kern w:val="0"/>
          <w:szCs w:val="21"/>
        </w:rPr>
      </w:pPr>
      <w:r>
        <w:rPr>
          <w:rFonts w:ascii="宋体" w:hAnsi="宋体" w:hint="eastAsia"/>
          <w:szCs w:val="21"/>
        </w:rPr>
        <w:t>本合同：</w:t>
      </w:r>
      <w:r>
        <w:rPr>
          <w:rFonts w:ascii="宋体" w:hAnsi="宋体" w:hint="eastAsia"/>
          <w:kern w:val="0"/>
          <w:szCs w:val="21"/>
        </w:rPr>
        <w:t>《正仁1号私募证券投资基金私募基金合同》及对该合同的任何有效修订和补充。</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本基金、私募基金：正仁1号私募证券投资基金。</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私募投资基金：以非公开方式向合格投资者募集资金设立的投资基金。</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私募基金投资者、基金投资者：依法可以投资于私募投资基金的个人投资者、机构投资者以及法律法规或中国证监会允许购买私募投资基金的其他投资者的合称。</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私募基金管理人：</w:t>
      </w:r>
      <w:r>
        <w:rPr>
          <w:rFonts w:ascii="宋体" w:hAnsi="宋体" w:hint="eastAsia"/>
          <w:szCs w:val="21"/>
          <w:lang w:eastAsia="zh-CN"/>
        </w:rPr>
        <w:t>海南正仁量化私募基金</w:t>
      </w:r>
      <w:r>
        <w:rPr>
          <w:rFonts w:ascii="宋体" w:hAnsi="宋体" w:hint="eastAsia"/>
          <w:szCs w:val="21"/>
        </w:rPr>
        <w:t>管理有限公司。</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私募基金托管人：国泰君安证券股份有限公司。</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kern w:val="0"/>
          <w:szCs w:val="21"/>
        </w:rPr>
        <w:t>基金份额持有人：</w:t>
      </w:r>
      <w:r>
        <w:rPr>
          <w:rFonts w:ascii="宋体" w:hAnsi="宋体" w:hint="eastAsia"/>
          <w:szCs w:val="21"/>
        </w:rPr>
        <w:t>已经履行出资义务并取得本基金份额的基金投资者。</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法律法规：指中华人民共和国公布实施并现时有效的法律、行政法规、部门规章及规范性文件。</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金融监管部门：指负责金融市场监管的机关和投资基金行业自律组织。</w:t>
      </w:r>
    </w:p>
    <w:p>
      <w:pPr>
        <w:pStyle w:val="2-BR080568"/>
        <w:numPr>
          <w:ilvl w:val="0"/>
          <w:numId w:val="1"/>
        </w:numPr>
        <w:tabs>
          <w:tab w:val="left" w:pos="426"/>
        </w:tabs>
        <w:spacing w:line="360" w:lineRule="auto"/>
        <w:ind w:left="426" w:hanging="284" w:firstLineChars="0"/>
        <w:rPr>
          <w:rFonts w:ascii="宋体" w:hAnsi="宋体" w:cs="Arial"/>
        </w:rPr>
      </w:pPr>
      <w:r>
        <w:rPr>
          <w:rFonts w:ascii="宋体" w:hAnsi="宋体" w:hint="eastAsia"/>
          <w:szCs w:val="21"/>
        </w:rPr>
        <w:t>中国证券投资基金业协会、中国基金业协会、基金业协会：</w:t>
      </w:r>
      <w:r>
        <w:rPr>
          <w:rFonts w:ascii="宋体" w:hAnsi="宋体" w:cs="Arial" w:hint="eastAsia"/>
        </w:rPr>
        <w:t>基金行业相关机构自愿结成的全国性、行业性、非营利性社会组织。</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运营服务机构：接受私募基金管理人委托，根据与其签订的运营外包服务协议中约定的服务范围，为本基金提供份额登记、估值核算等服务的机构。其中，本基金的份额登记机构为国泰君安证券股份有限公司、估值核算服务机构为国泰君安证券股份有限公司。</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募集账户监督机构：指根据与管理人签署的协议约定，为保障资金划转安全，对本基金的直销募集账户进行监督的机构。本基金的管理人直销</w:t>
      </w:r>
      <w:r>
        <w:rPr>
          <w:rFonts w:ascii="宋体" w:hAnsi="宋体"/>
          <w:szCs w:val="21"/>
        </w:rPr>
        <w:t>募集账户</w:t>
      </w:r>
      <w:r>
        <w:rPr>
          <w:rFonts w:ascii="宋体" w:hAnsi="宋体" w:hint="eastAsia"/>
          <w:szCs w:val="21"/>
        </w:rPr>
        <w:t>监督机构为国泰君安证券股份有限公司。</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证券经纪机构：指本基金的证券经纪机构。</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期货经纪机构：指本基金的期货经纪机构。</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分红权益登记日：</w:t>
      </w:r>
      <w:r>
        <w:rPr>
          <w:rFonts w:ascii="宋体" w:hAnsi="宋体"/>
          <w:szCs w:val="21"/>
        </w:rPr>
        <w:t>确认基金份额持有人是否享有分红权益资格的日期。基金分红权益登记日登记在册的基金份额持有人可享受收益分配。</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rPr>
        <w:t>基金终止日：满足本合同约定的基金终止条件的当日。</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基金清算日:指私募基金管理人依据本合同“私募基金的清算”章节向私募基金托管人发送的告知其基金终止并清算的通知中所载明的清算日期，其中基金首个清算日指上述通知中所载明清算期间段的起始日。</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交易日、工作日：指</w:t>
      </w:r>
      <w:r>
        <w:rPr>
          <w:rFonts w:ascii="宋体" w:hAnsi="宋体" w:cs="宋体"/>
          <w:kern w:val="0"/>
          <w:szCs w:val="21"/>
        </w:rPr>
        <w:t>上海证券交易所</w:t>
      </w:r>
      <w:r>
        <w:rPr>
          <w:rFonts w:ascii="宋体" w:hAnsi="宋体" w:cs="宋体" w:hint="eastAsia"/>
          <w:kern w:val="0"/>
          <w:szCs w:val="21"/>
        </w:rPr>
        <w:t>和</w:t>
      </w:r>
      <w:r>
        <w:rPr>
          <w:rFonts w:ascii="宋体" w:hAnsi="宋体" w:cs="宋体"/>
          <w:kern w:val="0"/>
          <w:szCs w:val="21"/>
        </w:rPr>
        <w:t>深圳</w:t>
      </w:r>
      <w:r>
        <w:rPr>
          <w:rFonts w:ascii="宋体" w:hAnsi="宋体" w:cs="宋体" w:hint="eastAsia"/>
          <w:kern w:val="0"/>
          <w:szCs w:val="21"/>
        </w:rPr>
        <w:t>证券</w:t>
      </w:r>
      <w:r>
        <w:rPr>
          <w:rFonts w:ascii="宋体" w:hAnsi="宋体" w:cs="宋体"/>
          <w:kern w:val="0"/>
          <w:szCs w:val="21"/>
        </w:rPr>
        <w:t>交易所</w:t>
      </w:r>
      <w:r>
        <w:rPr>
          <w:rFonts w:ascii="宋体" w:hAnsi="宋体" w:cs="宋体" w:hint="eastAsia"/>
          <w:kern w:val="0"/>
          <w:szCs w:val="21"/>
        </w:rPr>
        <w:t>共同</w:t>
      </w:r>
      <w:r>
        <w:rPr>
          <w:rFonts w:ascii="宋体" w:hAnsi="宋体" w:hint="eastAsia"/>
          <w:szCs w:val="21"/>
        </w:rPr>
        <w:t>的正常交易日。</w:t>
      </w:r>
    </w:p>
    <w:p>
      <w:pPr>
        <w:pStyle w:val="2-BR080568"/>
        <w:numPr>
          <w:ilvl w:val="0"/>
          <w:numId w:val="1"/>
        </w:numPr>
        <w:tabs>
          <w:tab w:val="left" w:pos="426"/>
        </w:tabs>
        <w:spacing w:line="360" w:lineRule="auto"/>
        <w:ind w:left="426" w:hanging="284" w:firstLineChars="0"/>
        <w:rPr>
          <w:rFonts w:ascii="宋体" w:hAnsi="宋体"/>
          <w:kern w:val="0"/>
          <w:szCs w:val="21"/>
        </w:rPr>
      </w:pPr>
      <w:r>
        <w:rPr>
          <w:rFonts w:ascii="宋体" w:hAnsi="宋体" w:hint="eastAsia"/>
          <w:szCs w:val="21"/>
        </w:rPr>
        <w:t>成立日：指达到基</w:t>
      </w:r>
      <w:r>
        <w:rPr>
          <w:rFonts w:ascii="宋体" w:hAnsi="宋体" w:cs="宋体" w:hint="eastAsia"/>
          <w:kern w:val="0"/>
          <w:szCs w:val="21"/>
        </w:rPr>
        <w:t>金合同约定的条件，本基金依法成立的</w:t>
      </w:r>
      <w:r>
        <w:rPr>
          <w:rFonts w:ascii="宋体" w:hAnsi="宋体" w:hint="eastAsia"/>
          <w:szCs w:val="21"/>
        </w:rPr>
        <w:t>日期。</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开放日（如有）：私募基金管理人办理基金份额申购、赎回业务的交易日。</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估值日：</w:t>
      </w:r>
      <w:r>
        <w:rPr>
          <w:rFonts w:ascii="宋体" w:hAnsi="宋体"/>
          <w:szCs w:val="21"/>
        </w:rPr>
        <w:t>指由</w:t>
      </w:r>
      <w:r>
        <w:rPr>
          <w:rFonts w:ascii="宋体" w:hAnsi="宋体" w:hint="eastAsia"/>
          <w:szCs w:val="21"/>
        </w:rPr>
        <w:t>私募</w:t>
      </w:r>
      <w:r>
        <w:rPr>
          <w:rFonts w:ascii="宋体" w:hAnsi="宋体"/>
          <w:szCs w:val="21"/>
        </w:rPr>
        <w:t>基金管理人或</w:t>
      </w:r>
      <w:r>
        <w:rPr>
          <w:rFonts w:ascii="宋体" w:hAnsi="宋体" w:hint="eastAsia"/>
          <w:szCs w:val="21"/>
        </w:rPr>
        <w:t>运营</w:t>
      </w:r>
      <w:r>
        <w:rPr>
          <w:rFonts w:ascii="宋体" w:hAnsi="宋体"/>
          <w:szCs w:val="21"/>
        </w:rPr>
        <w:t>服务机构对该日基金资产进行估值并计算基金资产净值的实际日期。</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szCs w:val="21"/>
        </w:rPr>
        <w:t>T</w:t>
      </w:r>
      <w:r>
        <w:rPr>
          <w:rFonts w:ascii="宋体" w:hAnsi="宋体" w:hint="eastAsia"/>
          <w:szCs w:val="21"/>
        </w:rPr>
        <w:t>日：本基金在规定的时间内受理基金投资者申购、赎回等业务申请及其他与本基金有关的事项发生的日期。</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szCs w:val="21"/>
        </w:rPr>
        <w:t>T+n</w:t>
      </w:r>
      <w:r>
        <w:rPr>
          <w:rFonts w:ascii="宋体" w:hAnsi="宋体" w:hint="eastAsia"/>
          <w:szCs w:val="21"/>
        </w:rPr>
        <w:t>日：</w:t>
      </w:r>
      <w:r>
        <w:rPr>
          <w:rFonts w:ascii="宋体" w:hAnsi="宋体"/>
          <w:szCs w:val="21"/>
        </w:rPr>
        <w:t>T</w:t>
      </w:r>
      <w:r>
        <w:rPr>
          <w:rFonts w:ascii="宋体" w:hAnsi="宋体" w:hint="eastAsia"/>
          <w:szCs w:val="21"/>
        </w:rPr>
        <w:t>日后的第</w:t>
      </w:r>
      <w:r>
        <w:rPr>
          <w:rFonts w:ascii="宋体" w:hAnsi="宋体"/>
          <w:szCs w:val="21"/>
        </w:rPr>
        <w:t>n</w:t>
      </w:r>
      <w:r>
        <w:rPr>
          <w:rFonts w:ascii="宋体" w:hAnsi="宋体" w:hint="eastAsia"/>
          <w:szCs w:val="21"/>
        </w:rPr>
        <w:t>个交易日（</w:t>
      </w:r>
      <w:r>
        <w:rPr>
          <w:rFonts w:ascii="宋体" w:hAnsi="宋体"/>
          <w:szCs w:val="21"/>
        </w:rPr>
        <w:t>n</w:t>
      </w:r>
      <w:r>
        <w:rPr>
          <w:rFonts w:ascii="宋体" w:hAnsi="宋体" w:hint="eastAsia"/>
          <w:szCs w:val="21"/>
        </w:rPr>
        <w:t>为整数），当</w:t>
      </w:r>
      <w:r>
        <w:rPr>
          <w:rFonts w:ascii="宋体" w:hAnsi="宋体"/>
          <w:szCs w:val="21"/>
        </w:rPr>
        <w:t>n</w:t>
      </w:r>
      <w:r>
        <w:rPr>
          <w:rFonts w:ascii="宋体" w:hAnsi="宋体" w:hint="eastAsia"/>
          <w:szCs w:val="21"/>
        </w:rPr>
        <w:t>为负数时表示</w:t>
      </w:r>
      <w:r>
        <w:rPr>
          <w:rFonts w:ascii="宋体" w:hAnsi="宋体"/>
          <w:szCs w:val="21"/>
        </w:rPr>
        <w:t>T</w:t>
      </w:r>
      <w:r>
        <w:rPr>
          <w:rFonts w:ascii="宋体" w:hAnsi="宋体" w:hint="eastAsia"/>
          <w:szCs w:val="21"/>
        </w:rPr>
        <w:t>日前的第</w:t>
      </w:r>
      <w:r>
        <w:rPr>
          <w:rFonts w:ascii="宋体" w:hAnsi="宋体"/>
          <w:szCs w:val="21"/>
        </w:rPr>
        <w:t>n</w:t>
      </w:r>
      <w:r>
        <w:rPr>
          <w:rFonts w:ascii="宋体" w:hAnsi="宋体" w:hint="eastAsia"/>
          <w:szCs w:val="21"/>
        </w:rPr>
        <w:t>个交易日。</w:t>
      </w:r>
    </w:p>
    <w:p>
      <w:pPr>
        <w:pStyle w:val="2-BR080568"/>
        <w:numPr>
          <w:ilvl w:val="0"/>
          <w:numId w:val="1"/>
        </w:numPr>
        <w:tabs>
          <w:tab w:val="left" w:pos="426"/>
        </w:tabs>
        <w:spacing w:line="360" w:lineRule="auto"/>
        <w:ind w:left="426" w:hanging="284" w:firstLineChars="0"/>
        <w:rPr>
          <w:rFonts w:ascii="宋体" w:hAnsi="宋体" w:cs="宋体"/>
          <w:kern w:val="0"/>
          <w:szCs w:val="21"/>
        </w:rPr>
      </w:pPr>
      <w:r>
        <w:rPr>
          <w:rFonts w:ascii="宋体" w:hAnsi="宋体" w:cs="宋体" w:hint="eastAsia"/>
          <w:kern w:val="0"/>
          <w:szCs w:val="21"/>
        </w:rPr>
        <w:t>运作年度：指基金成立日或成立日的对日起算，实际存续天数满一个自然年度的期间。</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基金财产：基金份额持有人委托管理人进行管理或者处分并由托管人进行托管的作为本合同标的的资产及其投资运作所产生的收益。</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托管资金结算账户（简称“托管资金账户”）</w:t>
      </w:r>
      <w:r>
        <w:rPr>
          <w:rFonts w:ascii="宋体" w:hAnsi="宋体"/>
          <w:szCs w:val="21"/>
        </w:rPr>
        <w:t>:</w:t>
      </w:r>
      <w:r>
        <w:rPr>
          <w:rFonts w:ascii="宋体" w:hAnsi="宋体" w:hint="eastAsia"/>
          <w:szCs w:val="21"/>
        </w:rPr>
        <w:t>是私募基金托管人为基金财产在具有基金托管资格的商业银行开立的银行结算账户，用于基金财产中现金资产的归集、存放与支付，该账户不得存放其他性质资金。</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证券账户：本基金在中国证券登记结算有限责任公司（以下简称“中登公司”）开设的专用证券账户，以及在中央国债登记结算有限责任公司及银行间市场清算所股份有限公司开立的债券账户及其他证券类账户。</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napToGrid w:val="0"/>
          <w:kern w:val="0"/>
          <w:szCs w:val="21"/>
        </w:rPr>
        <w:t>证券交易资金账户：</w:t>
      </w:r>
      <w:r>
        <w:rPr>
          <w:rFonts w:ascii="宋体" w:hAnsi="宋体" w:hint="eastAsia"/>
        </w:rPr>
        <w:t>私募基金管理人为基金财产在证券经纪机构</w:t>
      </w:r>
      <w:r>
        <w:rPr>
          <w:rFonts w:ascii="宋体" w:hAnsi="宋体" w:hint="eastAsia"/>
          <w:szCs w:val="21"/>
        </w:rPr>
        <w:t>开立的</w:t>
      </w:r>
      <w:r>
        <w:rPr>
          <w:rFonts w:ascii="宋体" w:hAnsi="宋体" w:hint="eastAsia"/>
          <w:snapToGrid w:val="0"/>
          <w:kern w:val="0"/>
          <w:szCs w:val="21"/>
        </w:rPr>
        <w:t>证券交易资金账户</w:t>
      </w:r>
      <w:r>
        <w:rPr>
          <w:rFonts w:ascii="宋体" w:hAnsi="宋体" w:hint="eastAsia"/>
          <w:szCs w:val="21"/>
        </w:rPr>
        <w:t>，用于基金财产</w:t>
      </w:r>
      <w:r>
        <w:rPr>
          <w:rFonts w:ascii="宋体" w:hAnsi="宋体" w:hint="eastAsia"/>
          <w:snapToGrid w:val="0"/>
          <w:kern w:val="0"/>
          <w:szCs w:val="21"/>
        </w:rPr>
        <w:t>证券交易结算资金的存管、记载交易结算资金的变动明细</w:t>
      </w:r>
      <w:r>
        <w:rPr>
          <w:rFonts w:ascii="宋体" w:hAnsi="宋体" w:hint="eastAsia"/>
          <w:szCs w:val="21"/>
        </w:rPr>
        <w:t>以及</w:t>
      </w:r>
      <w:r>
        <w:rPr>
          <w:rFonts w:ascii="宋体" w:hAnsi="宋体" w:hint="eastAsia"/>
        </w:rPr>
        <w:t>场内</w:t>
      </w:r>
      <w:r>
        <w:rPr>
          <w:rFonts w:ascii="宋体" w:hAnsi="宋体" w:hint="eastAsia"/>
          <w:szCs w:val="21"/>
        </w:rPr>
        <w:t>证券交易清算。</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期货账户：私募基金管理人为基金财产在期货经纪机构开立的期货保证金账户，用于基金财产期货交易结算资金的存管、记载交易结算资金的变动明细以及期货交易清算。</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募集结算资金专用账户（简称“募集账户”）：指本基金募集期开始前由运营服务机构为本基金在商业银行开立的募集结算资金归集账户以及注册登记账户。除非另有约定，本合同中的“募集账户”不包括代理销售机构募集资金归集账户。</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基金资产总值：本基金拥有的各类有价证券、银行存款本息、证券交易结算资金、期货保证金、各种应收款项及其他资产的价值总和。</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基金资产净值：本基金资产总值减去负债后的价值。</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基金份额净值：计算日基金资产净值除以计算日基金份额总数所得的数值。</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基金份额累计净值：基金份额净值加上基金历史上累计单位派息金额。</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基金资产估值：计算、评估基金资产和负债的价值，以确定本基金的基金资产净值和基金份额净值的过程。</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资产管理产品：指《指导意见》规定的资产管理产品，包括但不限于人民币或外币形式的银行非保本理财产品，资金信托，证券公司、证券公司子公司、基金管理公司、基金管理子公司、期货公司、期货公司子公司、保险资产管理机构、金融资产投资公司发行的资产管理产品等。</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募集期：指本基金的初始销售期限。</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存续期限：指自基金成立日至基金终止日之间的期限，即本基金的运作期限。存续期限届满，私募基金管理人应当终止基金运作、发起清算程序。</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认购：指在募集期间，基金投资者按照本合同的约定购买本基金份额的行为。</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申购：指基金成立后，在基金开放日，基金投资者按照本合同的规定购买本基金份额的行为。</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赎回：指基金成立后，在基金开放日，基金份额持有人按照本合同的规定将本基金份额兑换为现金的行为。</w:t>
      </w:r>
    </w:p>
    <w:p>
      <w:pPr>
        <w:pStyle w:val="2-BR080568"/>
        <w:numPr>
          <w:ilvl w:val="0"/>
          <w:numId w:val="1"/>
        </w:numPr>
        <w:tabs>
          <w:tab w:val="left" w:pos="426"/>
        </w:tabs>
        <w:spacing w:line="360" w:lineRule="auto"/>
        <w:ind w:left="426" w:hanging="284" w:firstLineChars="0"/>
        <w:rPr>
          <w:rFonts w:ascii="宋体" w:hAnsi="宋体"/>
          <w:szCs w:val="21"/>
        </w:rPr>
      </w:pPr>
      <w:r>
        <w:rPr>
          <w:rFonts w:ascii="宋体" w:hAnsi="宋体" w:hint="eastAsia"/>
          <w:szCs w:val="21"/>
        </w:rPr>
        <w:t>不可抗力：指本合同当事人不能预见、不能避免、不能克服的客观情况。该等不可抗力事件包括但不限于自然灾害、地震、台风、水灾、火灾、战争、暴乱、突发公共卫生事件、政府行为、罢工、停工、停电、通讯失败等，非因私募基金管理人、私募基金托管人自身原因导致的技术系统异常事故、政策法规的修改或监管要求调整等情形。因中国人民银行或其他商业银行结算系统出现故障导致结算无法进行的情形，因电信服务商原因导致资金划付的网络中断、无法使用的情形，构成不可抗力事件。</w:t>
      </w:r>
    </w:p>
    <w:p>
      <w:pPr>
        <w:pStyle w:val="2-BR080568"/>
        <w:numPr>
          <w:ilvl w:val="0"/>
          <w:numId w:val="1"/>
        </w:numPr>
        <w:tabs>
          <w:tab w:val="left" w:pos="426"/>
        </w:tabs>
        <w:spacing w:line="360" w:lineRule="auto"/>
        <w:ind w:left="426" w:hanging="284" w:firstLineChars="0"/>
        <w:rPr>
          <w:rFonts w:ascii="宋体" w:hAnsi="宋体" w:cs="宋体"/>
          <w:kern w:val="0"/>
          <w:szCs w:val="21"/>
        </w:rPr>
      </w:pPr>
      <w:r>
        <w:rPr>
          <w:rFonts w:ascii="宋体" w:hAnsi="宋体" w:cs="宋体" w:hint="eastAsia"/>
          <w:kern w:val="0"/>
          <w:szCs w:val="21"/>
        </w:rPr>
        <w:t>证券交易所：指</w:t>
      </w:r>
      <w:r>
        <w:rPr>
          <w:rFonts w:ascii="宋体" w:hAnsi="宋体" w:cs="宋体"/>
          <w:kern w:val="0"/>
          <w:szCs w:val="21"/>
        </w:rPr>
        <w:t>上海证券交易所、深圳</w:t>
      </w:r>
      <w:r>
        <w:rPr>
          <w:rFonts w:ascii="宋体" w:hAnsi="宋体" w:cs="宋体" w:hint="eastAsia"/>
          <w:kern w:val="0"/>
          <w:szCs w:val="21"/>
        </w:rPr>
        <w:t>证券</w:t>
      </w:r>
      <w:r>
        <w:rPr>
          <w:rFonts w:ascii="宋体" w:hAnsi="宋体" w:cs="宋体"/>
          <w:kern w:val="0"/>
          <w:szCs w:val="21"/>
        </w:rPr>
        <w:t>交易所、</w:t>
      </w:r>
      <w:r>
        <w:rPr>
          <w:rFonts w:ascii="宋体" w:hAnsi="宋体" w:cs="宋体" w:hint="eastAsia"/>
          <w:kern w:val="0"/>
          <w:szCs w:val="21"/>
        </w:rPr>
        <w:t>香港</w:t>
      </w:r>
      <w:r>
        <w:rPr>
          <w:rFonts w:ascii="宋体" w:hAnsi="宋体" w:cs="宋体"/>
          <w:kern w:val="0"/>
          <w:szCs w:val="21"/>
        </w:rPr>
        <w:t>联合交易所</w:t>
      </w:r>
      <w:r>
        <w:rPr>
          <w:rFonts w:ascii="宋体" w:hAnsi="宋体" w:cs="宋体" w:hint="eastAsia"/>
          <w:kern w:val="0"/>
          <w:szCs w:val="21"/>
        </w:rPr>
        <w:t>。</w:t>
      </w:r>
    </w:p>
    <w:p>
      <w:pPr>
        <w:pStyle w:val="2-BR080568"/>
        <w:numPr>
          <w:ilvl w:val="0"/>
          <w:numId w:val="1"/>
        </w:numPr>
        <w:tabs>
          <w:tab w:val="left" w:pos="426"/>
        </w:tabs>
        <w:spacing w:line="360" w:lineRule="auto"/>
        <w:ind w:left="426" w:hanging="284" w:firstLineChars="0"/>
        <w:rPr>
          <w:rFonts w:ascii="宋体" w:hAnsi="宋体" w:cs="宋体"/>
          <w:kern w:val="0"/>
          <w:szCs w:val="21"/>
        </w:rPr>
      </w:pPr>
      <w:r>
        <w:rPr>
          <w:rFonts w:ascii="宋体" w:hAnsi="宋体" w:cs="宋体" w:hint="eastAsia"/>
          <w:kern w:val="0"/>
          <w:szCs w:val="21"/>
        </w:rPr>
        <w:t>期货交易所</w:t>
      </w:r>
      <w:r>
        <w:rPr>
          <w:rFonts w:ascii="宋体" w:hAnsi="宋体" w:cs="宋体"/>
          <w:kern w:val="0"/>
          <w:szCs w:val="21"/>
        </w:rPr>
        <w:t>：</w:t>
      </w:r>
      <w:r>
        <w:rPr>
          <w:rFonts w:ascii="宋体" w:hAnsi="宋体" w:cs="宋体" w:hint="eastAsia"/>
          <w:kern w:val="0"/>
          <w:szCs w:val="21"/>
        </w:rPr>
        <w:t>指中国</w:t>
      </w:r>
      <w:r>
        <w:rPr>
          <w:rFonts w:ascii="宋体" w:hAnsi="宋体" w:cs="宋体"/>
          <w:kern w:val="0"/>
          <w:szCs w:val="21"/>
        </w:rPr>
        <w:t>金融期货交易所、</w:t>
      </w:r>
      <w:r>
        <w:rPr>
          <w:rFonts w:ascii="宋体" w:hAnsi="宋体" w:cs="宋体" w:hint="eastAsia"/>
          <w:kern w:val="0"/>
          <w:szCs w:val="21"/>
        </w:rPr>
        <w:t>郑州商品</w:t>
      </w:r>
      <w:r>
        <w:rPr>
          <w:rFonts w:ascii="宋体" w:hAnsi="宋体" w:cs="宋体"/>
          <w:kern w:val="0"/>
          <w:szCs w:val="21"/>
        </w:rPr>
        <w:t>交易所、</w:t>
      </w:r>
      <w:r>
        <w:rPr>
          <w:rFonts w:ascii="宋体" w:hAnsi="宋体" w:cs="宋体" w:hint="eastAsia"/>
          <w:kern w:val="0"/>
          <w:szCs w:val="21"/>
        </w:rPr>
        <w:t>上海</w:t>
      </w:r>
      <w:r>
        <w:rPr>
          <w:rFonts w:ascii="宋体" w:hAnsi="宋体" w:cs="宋体"/>
          <w:kern w:val="0"/>
          <w:szCs w:val="21"/>
        </w:rPr>
        <w:t>期货交易所、</w:t>
      </w:r>
      <w:r>
        <w:rPr>
          <w:rFonts w:ascii="宋体" w:hAnsi="宋体" w:cs="宋体" w:hint="eastAsia"/>
          <w:kern w:val="0"/>
          <w:szCs w:val="21"/>
        </w:rPr>
        <w:t>大连</w:t>
      </w:r>
      <w:r>
        <w:rPr>
          <w:rFonts w:ascii="宋体" w:hAnsi="宋体" w:cs="宋体"/>
          <w:kern w:val="0"/>
          <w:szCs w:val="21"/>
        </w:rPr>
        <w:t>商品交易所</w:t>
      </w:r>
      <w:r>
        <w:rPr>
          <w:rFonts w:ascii="宋体" w:hAnsi="宋体" w:cs="宋体" w:hint="eastAsia"/>
          <w:kern w:val="0"/>
          <w:szCs w:val="21"/>
        </w:rPr>
        <w:t>、</w:t>
      </w:r>
      <w:bookmarkStart w:id="12" w:name="OLE_LINK44"/>
      <w:r>
        <w:rPr>
          <w:rFonts w:ascii="宋体" w:hAnsi="宋体" w:cs="宋体" w:hint="eastAsia"/>
          <w:kern w:val="0"/>
          <w:szCs w:val="21"/>
        </w:rPr>
        <w:t>上海国际能源交易中心。</w:t>
      </w:r>
    </w:p>
    <w:p>
      <w:pPr>
        <w:pStyle w:val="2-BR080568"/>
        <w:numPr>
          <w:ilvl w:val="0"/>
          <w:numId w:val="1"/>
        </w:numPr>
        <w:tabs>
          <w:tab w:val="left" w:pos="426"/>
        </w:tabs>
        <w:spacing w:line="360" w:lineRule="auto"/>
        <w:ind w:left="426" w:hanging="284" w:firstLineChars="0"/>
        <w:rPr>
          <w:rFonts w:ascii="宋体" w:hAnsi="宋体" w:cs="宋体"/>
          <w:kern w:val="0"/>
          <w:szCs w:val="21"/>
        </w:rPr>
      </w:pPr>
      <w:r>
        <w:rPr>
          <w:rFonts w:ascii="宋体" w:hAnsi="宋体" w:cs="宋体" w:hint="eastAsia"/>
          <w:kern w:val="0"/>
          <w:szCs w:val="21"/>
        </w:rPr>
        <w:t>新三板：指全国中小企业股份转让系统。</w:t>
      </w:r>
    </w:p>
    <w:p>
      <w:pPr>
        <w:pStyle w:val="2-BR080568"/>
        <w:numPr>
          <w:ilvl w:val="0"/>
          <w:numId w:val="1"/>
        </w:numPr>
        <w:tabs>
          <w:tab w:val="left" w:pos="426"/>
        </w:tabs>
        <w:spacing w:line="360" w:lineRule="auto"/>
        <w:ind w:left="426" w:hanging="284" w:firstLineChars="0"/>
        <w:rPr>
          <w:rFonts w:ascii="宋体" w:hAnsi="宋体" w:cs="宋体"/>
          <w:kern w:val="0"/>
          <w:szCs w:val="21"/>
        </w:rPr>
      </w:pPr>
      <w:r>
        <w:rPr>
          <w:rFonts w:ascii="宋体" w:hAnsi="宋体" w:cs="宋体" w:hint="eastAsia"/>
          <w:kern w:val="0"/>
          <w:szCs w:val="21"/>
        </w:rPr>
        <w:t>场外证券业务：指证券期货市场场外衍生品、沪深交易所信用保护工具、银行间市场金融衍生品、非本金保障型收益凭证等业务。</w:t>
      </w:r>
    </w:p>
    <w:p>
      <w:pPr>
        <w:pStyle w:val="a7-BR826604"/>
        <w:rPr>
          <w:sz w:val="21"/>
          <w:szCs w:val="21"/>
        </w:rPr>
      </w:pPr>
      <w:bookmarkStart w:id="13" w:name="_Toc256000003"/>
      <w:r>
        <w:rPr>
          <w:rFonts w:hint="eastAsia"/>
          <w:sz w:val="21"/>
          <w:szCs w:val="21"/>
        </w:rPr>
        <w:t>三、声明与承诺</w:t>
      </w:r>
      <w:bookmarkEnd w:id="13"/>
    </w:p>
    <w:p>
      <w:pPr>
        <w:pStyle w:val="a-BR826604"/>
        <w:spacing w:line="360" w:lineRule="auto"/>
        <w:ind w:firstLine="422"/>
        <w:rPr>
          <w:rFonts w:ascii="宋体" w:hAnsi="宋体"/>
          <w:b/>
          <w:szCs w:val="21"/>
        </w:rPr>
      </w:pPr>
      <w:r>
        <w:rPr>
          <w:rFonts w:ascii="宋体" w:hAnsi="宋体" w:hint="eastAsia"/>
          <w:b/>
          <w:szCs w:val="21"/>
        </w:rPr>
        <w:t>（一）私募基金管理人的声明与承诺</w:t>
      </w:r>
    </w:p>
    <w:p>
      <w:pPr>
        <w:pStyle w:val="a-BR826604"/>
        <w:spacing w:line="360" w:lineRule="auto"/>
        <w:ind w:firstLine="422"/>
        <w:rPr>
          <w:rFonts w:ascii="宋体" w:hAnsi="宋体"/>
          <w:b/>
          <w:szCs w:val="21"/>
        </w:rPr>
      </w:pPr>
      <w:r>
        <w:rPr>
          <w:rFonts w:ascii="宋体" w:hAnsi="宋体" w:hint="eastAsia"/>
          <w:b/>
          <w:szCs w:val="21"/>
        </w:rPr>
        <w:t>私募基金管理人保证在募集资金前已在中国基金业协会登记为私募基金管理人，私募基金管理人登记编码为P1071301。私募基金管理人向投资者进一步声明，中国基金业协会为私募基金管理人和私募基金办理登记备案不构成对私募基金管理人投资能力、持续合规情况的认可；不作为对基金财产安全的保证。私募基金管理人保证已在签订本合同前揭示了相关风险；已经了解私募基金投资者的风险偏好、风险认知能力和承受能力。私募基金管理人承诺按照恪尽职守、诚实信用、谨慎勤勉的原则管理运用基金财产，不对基金活动的盈利性和最低收益作出任何承诺。</w:t>
      </w:r>
    </w:p>
    <w:p>
      <w:pPr>
        <w:pStyle w:val="a-BR826604"/>
        <w:spacing w:line="360" w:lineRule="auto"/>
        <w:ind w:firstLine="422"/>
        <w:rPr>
          <w:rFonts w:ascii="宋体" w:hAnsi="宋体"/>
          <w:b/>
          <w:szCs w:val="21"/>
        </w:rPr>
      </w:pPr>
      <w:r>
        <w:rPr>
          <w:rFonts w:ascii="宋体" w:hAnsi="宋体" w:hint="eastAsia"/>
          <w:b/>
          <w:szCs w:val="21"/>
        </w:rPr>
        <w:t>私募基金管理人同意并承诺，为反洗钱目的，一经私募基金托管人要求，私募基金管理人应立即向私募基金托管人提供其所持有的相关客户的信息和资料。私募基金托管人接收、审阅或向有权机关提交私募基金投资者的关于反洗钱的客户资料不免除私募基金管理人应承担的反洗钱责任。如因私募基金管理人未履行相关法律法规规定的反洗钱义务而导致私募基金托管人遭受包括但不限于监管处罚在内的任何损失，私募基金管理人应向私募基金托管人承担赔偿责任。</w:t>
      </w:r>
    </w:p>
    <w:p>
      <w:pPr>
        <w:pStyle w:val="a-BR826604"/>
        <w:spacing w:line="360" w:lineRule="auto"/>
        <w:ind w:firstLine="422"/>
        <w:rPr>
          <w:rFonts w:ascii="宋体" w:hAnsi="宋体"/>
          <w:b/>
          <w:szCs w:val="21"/>
        </w:rPr>
      </w:pPr>
      <w:r>
        <w:rPr>
          <w:rFonts w:ascii="宋体" w:hAnsi="宋体" w:hint="eastAsia"/>
          <w:b/>
          <w:szCs w:val="21"/>
        </w:rPr>
        <w:t>（二）私募基金托管人的声明与承诺</w:t>
      </w:r>
    </w:p>
    <w:p>
      <w:pPr>
        <w:pStyle w:val="a-BR826604"/>
        <w:spacing w:line="360" w:lineRule="auto"/>
        <w:ind w:firstLine="422"/>
        <w:rPr>
          <w:rFonts w:ascii="宋体" w:hAnsi="宋体"/>
          <w:b/>
          <w:szCs w:val="21"/>
        </w:rPr>
      </w:pPr>
      <w:r>
        <w:rPr>
          <w:rFonts w:ascii="宋体" w:hAnsi="宋体" w:hint="eastAsia"/>
          <w:b/>
          <w:szCs w:val="21"/>
        </w:rPr>
        <w:t>私募基金托管人承诺按照恪尽职守、诚实信用、谨慎勤勉的原则安全保管基金财产，并履行合同约定的其他义务。</w:t>
      </w:r>
    </w:p>
    <w:p>
      <w:pPr>
        <w:pStyle w:val="a-BR826604"/>
        <w:spacing w:line="360" w:lineRule="auto"/>
        <w:ind w:firstLine="422"/>
        <w:rPr>
          <w:rFonts w:ascii="宋体" w:hAnsi="宋体"/>
          <w:b/>
          <w:szCs w:val="21"/>
        </w:rPr>
      </w:pPr>
      <w:r>
        <w:rPr>
          <w:rFonts w:ascii="宋体" w:hAnsi="宋体" w:hint="eastAsia"/>
          <w:b/>
          <w:szCs w:val="21"/>
        </w:rPr>
        <w:t>（三）私募基金投资者的声明与承诺</w:t>
      </w:r>
    </w:p>
    <w:p>
      <w:pPr>
        <w:pStyle w:val="a-BR826604"/>
        <w:spacing w:line="360" w:lineRule="auto"/>
        <w:ind w:firstLine="422"/>
        <w:rPr>
          <w:rFonts w:ascii="宋体" w:hAnsi="宋体"/>
          <w:b/>
          <w:szCs w:val="21"/>
        </w:rPr>
      </w:pPr>
      <w:r>
        <w:rPr>
          <w:rFonts w:ascii="宋体" w:hAnsi="宋体" w:hint="eastAsia"/>
          <w:b/>
          <w:szCs w:val="21"/>
        </w:rPr>
        <w:t>私募基金投资者声明其</w:t>
      </w:r>
      <w:r>
        <w:rPr>
          <w:rFonts w:ascii="宋体" w:hAnsi="宋体"/>
          <w:b/>
          <w:szCs w:val="21"/>
        </w:rPr>
        <w:t>为符合</w:t>
      </w:r>
      <w:r>
        <w:rPr>
          <w:rFonts w:ascii="宋体" w:hAnsi="宋体" w:hint="eastAsia"/>
          <w:b/>
          <w:szCs w:val="21"/>
        </w:rPr>
        <w:t>《私募办法》</w:t>
      </w:r>
      <w:r>
        <w:rPr>
          <w:rFonts w:ascii="宋体" w:hAnsi="宋体"/>
          <w:b/>
          <w:szCs w:val="21"/>
        </w:rPr>
        <w:t>规定的合格投资者，</w:t>
      </w:r>
      <w:r>
        <w:rPr>
          <w:rFonts w:ascii="宋体" w:hAnsi="宋体" w:hint="eastAsia"/>
          <w:b/>
          <w:szCs w:val="21"/>
        </w:rPr>
        <w:t>保证财产的来源及用途符合国家有关规定，并已充分理解本合同条款，了解相关权利义务，了解有关法律法规及所投资基金的风险收益特征，愿意承担相应的投资风险；私募基金投资者承诺其向私募基金管理人提供的有关投资目的、投资偏好、投资限制、财产收入情况和风险承受能力等基本情况真实、完整、准确、合法，不存在任何重大遗漏或误导。前述信息资料如发生任何实质性变更，应当及时告知私募基金管理人或募集机构。私募基金投资者知晓，私募基金管理人、私募基金托管人及相关机构未对基金财产的收益状况做出任何承诺或担保。</w:t>
      </w:r>
    </w:p>
    <w:p>
      <w:pPr>
        <w:pStyle w:val="a8-BR876164"/>
        <w:rPr>
          <w:sz w:val="21"/>
          <w:szCs w:val="21"/>
        </w:rPr>
      </w:pPr>
      <w:bookmarkStart w:id="14" w:name="_Toc519865892"/>
      <w:bookmarkStart w:id="15" w:name="_Toc18498"/>
      <w:bookmarkStart w:id="16" w:name="_Toc256000004"/>
      <w:r>
        <w:rPr>
          <w:rFonts w:hint="eastAsia"/>
          <w:sz w:val="21"/>
          <w:szCs w:val="21"/>
        </w:rPr>
        <w:t>四、私募基金的基本情况</w:t>
      </w:r>
      <w:bookmarkEnd w:id="16"/>
    </w:p>
    <w:p>
      <w:pPr>
        <w:pStyle w:val="a3-BR876164"/>
        <w:numPr>
          <w:ilvl w:val="1"/>
          <w:numId w:val="2"/>
        </w:numPr>
        <w:spacing w:line="360" w:lineRule="auto"/>
        <w:ind w:left="0" w:firstLine="420"/>
        <w:rPr>
          <w:rFonts w:ascii="宋体" w:hAnsi="宋体"/>
          <w:szCs w:val="21"/>
        </w:rPr>
      </w:pPr>
      <w:r>
        <w:rPr>
          <w:rFonts w:ascii="宋体" w:hAnsi="宋体" w:hint="eastAsia"/>
          <w:szCs w:val="21"/>
        </w:rPr>
        <w:t>私募基金的名称：正仁1号私募证券投资基金。</w:t>
      </w:r>
    </w:p>
    <w:p>
      <w:pPr>
        <w:pStyle w:val="a3-BR876164"/>
        <w:numPr>
          <w:ilvl w:val="1"/>
          <w:numId w:val="2"/>
        </w:numPr>
        <w:spacing w:line="360" w:lineRule="auto"/>
        <w:ind w:left="0" w:firstLine="420"/>
        <w:rPr>
          <w:rFonts w:ascii="宋体" w:hAnsi="宋体"/>
          <w:szCs w:val="21"/>
        </w:rPr>
      </w:pPr>
      <w:r>
        <w:rPr>
          <w:rFonts w:ascii="宋体" w:hAnsi="宋体" w:hint="eastAsia"/>
          <w:szCs w:val="21"/>
        </w:rPr>
        <w:t>私募基金的运作方式：开放式。</w:t>
      </w:r>
    </w:p>
    <w:p>
      <w:pPr>
        <w:pStyle w:val="a3-BR876164"/>
        <w:numPr>
          <w:ilvl w:val="1"/>
          <w:numId w:val="2"/>
        </w:numPr>
        <w:spacing w:line="360" w:lineRule="auto"/>
        <w:ind w:left="0" w:firstLine="420"/>
        <w:rPr>
          <w:rFonts w:ascii="宋体" w:hAnsi="宋体"/>
          <w:szCs w:val="21"/>
        </w:rPr>
      </w:pPr>
      <w:r>
        <w:rPr>
          <w:rFonts w:ascii="宋体" w:hAnsi="宋体" w:hint="eastAsia"/>
          <w:szCs w:val="21"/>
        </w:rPr>
        <w:t>私募基金的投资目标和投资范围：</w:t>
      </w:r>
    </w:p>
    <w:p>
      <w:pPr>
        <w:pStyle w:val="a-BR876164"/>
        <w:spacing w:line="360" w:lineRule="auto"/>
        <w:ind w:firstLine="420" w:firstLineChars="200"/>
        <w:rPr>
          <w:rFonts w:ascii="宋体" w:hAnsi="宋体"/>
          <w:szCs w:val="21"/>
        </w:rPr>
      </w:pPr>
      <w:r>
        <w:rPr>
          <w:rFonts w:ascii="宋体" w:hAnsi="宋体" w:hint="eastAsia"/>
          <w:szCs w:val="21"/>
        </w:rPr>
        <w:t>1、投资目标</w:t>
      </w:r>
    </w:p>
    <w:p>
      <w:pPr>
        <w:pStyle w:val="a-BR876164"/>
        <w:spacing w:line="360" w:lineRule="auto"/>
        <w:ind w:firstLine="420" w:firstLineChars="200"/>
        <w:rPr>
          <w:rFonts w:ascii="宋体" w:hAnsi="宋体"/>
          <w:szCs w:val="21"/>
        </w:rPr>
      </w:pPr>
      <w:r>
        <w:rPr>
          <w:rFonts w:ascii="宋体" w:hAnsi="宋体" w:hint="eastAsia"/>
          <w:szCs w:val="21"/>
        </w:rPr>
        <w:t>具体详见“私募基金的投资”章节之“投资目标”。</w:t>
      </w:r>
    </w:p>
    <w:p>
      <w:pPr>
        <w:pStyle w:val="a-BR876164"/>
        <w:spacing w:line="360" w:lineRule="auto"/>
        <w:ind w:firstLine="420" w:firstLineChars="200"/>
        <w:rPr>
          <w:rFonts w:ascii="宋体" w:hAnsi="宋体"/>
          <w:szCs w:val="21"/>
        </w:rPr>
      </w:pPr>
      <w:r>
        <w:rPr>
          <w:rFonts w:ascii="宋体" w:hAnsi="宋体" w:hint="eastAsia"/>
          <w:szCs w:val="21"/>
        </w:rPr>
        <w:t>2、投资范围</w:t>
      </w:r>
    </w:p>
    <w:p>
      <w:pPr>
        <w:pStyle w:val="a-BR876164"/>
        <w:spacing w:line="360" w:lineRule="auto"/>
        <w:ind w:firstLine="420" w:firstLineChars="200"/>
        <w:rPr>
          <w:rFonts w:ascii="宋体" w:hAnsi="宋体"/>
          <w:szCs w:val="21"/>
        </w:rPr>
      </w:pPr>
      <w:r>
        <w:rPr>
          <w:rFonts w:ascii="宋体" w:hAnsi="宋体" w:hint="eastAsia"/>
          <w:szCs w:val="21"/>
        </w:rPr>
        <w:t>具体详见“私募基金的投资”章节之“投资范围”。</w:t>
      </w:r>
    </w:p>
    <w:p>
      <w:pPr>
        <w:pStyle w:val="a3-BR876164"/>
        <w:numPr>
          <w:ilvl w:val="1"/>
          <w:numId w:val="2"/>
        </w:numPr>
        <w:spacing w:line="360" w:lineRule="auto"/>
        <w:ind w:left="0" w:firstLine="420"/>
        <w:rPr>
          <w:rFonts w:ascii="宋体" w:hAnsi="宋体"/>
          <w:szCs w:val="21"/>
        </w:rPr>
      </w:pPr>
      <w:r>
        <w:rPr>
          <w:rFonts w:ascii="宋体" w:hAnsi="宋体" w:hint="eastAsia"/>
          <w:szCs w:val="21"/>
        </w:rPr>
        <w:t>私募基金的存续期限：</w:t>
      </w:r>
      <w:r>
        <w:rPr>
          <w:rFonts w:ascii="宋体" w:hAnsi="宋体"/>
          <w:szCs w:val="21"/>
        </w:rPr>
        <w:t>20</w:t>
      </w:r>
      <w:r>
        <w:rPr>
          <w:rFonts w:ascii="宋体" w:hAnsi="宋体" w:hint="eastAsia"/>
          <w:szCs w:val="21"/>
        </w:rPr>
        <w:t>年。私募基金管理人根据基金运作情况，经提前</w:t>
      </w:r>
      <w:r>
        <w:rPr>
          <w:rFonts w:ascii="宋体" w:hAnsi="宋体"/>
          <w:szCs w:val="21"/>
        </w:rPr>
        <w:t>1</w:t>
      </w:r>
      <w:r>
        <w:rPr>
          <w:rFonts w:ascii="宋体" w:hAnsi="宋体" w:hint="eastAsia"/>
          <w:szCs w:val="21"/>
        </w:rPr>
        <w:t>0个工作日通知全体份额持有人及私募基金托管人后可提前终止本基金。</w:t>
      </w:r>
    </w:p>
    <w:p>
      <w:pPr>
        <w:pStyle w:val="a3-BR876164"/>
        <w:numPr>
          <w:ilvl w:val="1"/>
          <w:numId w:val="2"/>
        </w:numPr>
        <w:spacing w:line="360" w:lineRule="auto"/>
        <w:ind w:left="0" w:firstLine="420"/>
        <w:rPr>
          <w:rFonts w:ascii="宋体" w:hAnsi="宋体"/>
          <w:szCs w:val="21"/>
        </w:rPr>
      </w:pPr>
      <w:r>
        <w:rPr>
          <w:rFonts w:ascii="宋体" w:hAnsi="宋体" w:hint="eastAsia"/>
          <w:szCs w:val="21"/>
        </w:rPr>
        <w:t>私募基金份额的初始募集面值：本基金份额的初始募集面值为</w:t>
      </w:r>
      <w:r>
        <w:rPr>
          <w:rFonts w:ascii="宋体" w:hAnsi="宋体"/>
          <w:szCs w:val="21"/>
        </w:rPr>
        <w:t>1.00</w:t>
      </w:r>
      <w:r>
        <w:rPr>
          <w:rFonts w:ascii="宋体" w:hAnsi="宋体" w:hint="eastAsia"/>
          <w:szCs w:val="21"/>
        </w:rPr>
        <w:t>元，认购价格为</w:t>
      </w:r>
      <w:r>
        <w:rPr>
          <w:rFonts w:ascii="宋体" w:hAnsi="宋体"/>
          <w:szCs w:val="21"/>
        </w:rPr>
        <w:t>1.00</w:t>
      </w:r>
      <w:r>
        <w:rPr>
          <w:rFonts w:ascii="宋体" w:hAnsi="宋体" w:hint="eastAsia"/>
          <w:szCs w:val="21"/>
        </w:rPr>
        <w:t>元</w:t>
      </w:r>
      <w:r>
        <w:rPr>
          <w:rFonts w:ascii="宋体" w:hAnsi="宋体"/>
          <w:szCs w:val="21"/>
        </w:rPr>
        <w:t>/份</w:t>
      </w:r>
      <w:r>
        <w:rPr>
          <w:rFonts w:ascii="宋体" w:hAnsi="宋体" w:hint="eastAsia"/>
          <w:szCs w:val="21"/>
        </w:rPr>
        <w:t>。</w:t>
      </w:r>
    </w:p>
    <w:p>
      <w:pPr>
        <w:pStyle w:val="a-BR876164"/>
        <w:spacing w:line="360" w:lineRule="auto"/>
        <w:ind w:firstLine="420" w:firstLineChars="200"/>
        <w:rPr>
          <w:rFonts w:ascii="宋体" w:hAnsi="宋体"/>
          <w:szCs w:val="21"/>
        </w:rPr>
      </w:pPr>
      <w:r>
        <w:rPr>
          <w:rFonts w:ascii="宋体" w:hAnsi="宋体" w:hint="eastAsia"/>
          <w:szCs w:val="21"/>
        </w:rPr>
        <w:t>本基金为均等份额，除本合同另有约定外，每份基金份额具有同等的合法权益。</w:t>
      </w:r>
    </w:p>
    <w:p>
      <w:pPr>
        <w:pStyle w:val="a3-BR876164"/>
        <w:numPr>
          <w:ilvl w:val="1"/>
          <w:numId w:val="2"/>
        </w:numPr>
        <w:spacing w:line="360" w:lineRule="auto"/>
        <w:ind w:left="0" w:firstLine="420"/>
        <w:rPr>
          <w:rFonts w:ascii="宋体" w:hAnsi="宋体"/>
          <w:szCs w:val="21"/>
        </w:rPr>
      </w:pPr>
      <w:r>
        <w:rPr>
          <w:rFonts w:ascii="宋体" w:hAnsi="宋体" w:hint="eastAsia"/>
          <w:szCs w:val="21"/>
        </w:rPr>
        <w:t>私募基金的托管事项：本基金的私募基金托管人为国泰君安证券股份有限公司。私募基金托管人已获得证监会核准的证券投资基金托管资格。</w:t>
      </w:r>
    </w:p>
    <w:p>
      <w:pPr>
        <w:pStyle w:val="a3-BR876164"/>
        <w:numPr>
          <w:ilvl w:val="1"/>
          <w:numId w:val="2"/>
        </w:numPr>
        <w:spacing w:line="360" w:lineRule="auto"/>
        <w:ind w:left="0" w:firstLine="420"/>
        <w:rPr>
          <w:rFonts w:ascii="宋体" w:hAnsi="宋体"/>
          <w:szCs w:val="21"/>
        </w:rPr>
      </w:pPr>
      <w:r>
        <w:rPr>
          <w:rFonts w:ascii="宋体" w:hAnsi="宋体" w:hint="eastAsia"/>
          <w:szCs w:val="21"/>
        </w:rPr>
        <w:t>私募基金的外包事项：本基金的运营服务机构为本基金提供份额登记、估值核算等外包事项服务。</w:t>
      </w:r>
    </w:p>
    <w:p>
      <w:pPr>
        <w:pStyle w:val="a-BR876164"/>
        <w:spacing w:line="360" w:lineRule="auto"/>
        <w:ind w:firstLine="420" w:firstLineChars="200"/>
        <w:rPr>
          <w:rFonts w:ascii="宋体" w:hAnsi="宋体"/>
          <w:szCs w:val="21"/>
        </w:rPr>
      </w:pPr>
      <w:r>
        <w:rPr>
          <w:rFonts w:ascii="宋体" w:hAnsi="宋体" w:hint="eastAsia"/>
          <w:bCs/>
        </w:rPr>
        <w:t>本基金的</w:t>
      </w:r>
      <w:r>
        <w:rPr>
          <w:rFonts w:ascii="宋体" w:hAnsi="宋体" w:hint="eastAsia"/>
          <w:szCs w:val="21"/>
        </w:rPr>
        <w:t>运营服务机构为国泰君安证券股份有限公司。本基金的运营服务机构已完成在基金业协会的备案，编号为A00005。</w:t>
      </w:r>
    </w:p>
    <w:p>
      <w:pPr>
        <w:pStyle w:val="a3-BR876164"/>
        <w:numPr>
          <w:ilvl w:val="1"/>
          <w:numId w:val="2"/>
        </w:numPr>
        <w:spacing w:line="360" w:lineRule="auto"/>
        <w:ind w:firstLineChars="0"/>
        <w:rPr>
          <w:rFonts w:ascii="宋体" w:hAnsi="宋体"/>
          <w:b/>
        </w:rPr>
      </w:pPr>
      <w:r>
        <w:rPr>
          <w:rFonts w:ascii="宋体" w:hAnsi="宋体" w:hint="eastAsia"/>
          <w:b/>
          <w:bCs/>
          <w:szCs w:val="21"/>
        </w:rPr>
        <w:t>本基金的运作维持机制：</w:t>
      </w:r>
    </w:p>
    <w:p>
      <w:pPr>
        <w:pStyle w:val="a-BR876164"/>
        <w:spacing w:line="360" w:lineRule="auto"/>
        <w:ind w:firstLine="420" w:firstLineChars="200"/>
        <w:rPr>
          <w:rFonts w:ascii="宋体" w:hAnsi="宋体"/>
          <w:szCs w:val="21"/>
        </w:rPr>
      </w:pPr>
      <w:r>
        <w:rPr>
          <w:rFonts w:ascii="宋体" w:hAnsi="宋体" w:hint="eastAsia"/>
          <w:szCs w:val="21"/>
        </w:rPr>
        <w:t>如私募基金管理人被中国证券投资基金业协会公告为失联机构或被注销私募基金管理人登记，且满足以下条件之一时，应认为私募基金管理人已经客观上丧失继续管理本基金能力：</w:t>
      </w:r>
    </w:p>
    <w:p>
      <w:pPr>
        <w:pStyle w:val="a-BR876164"/>
        <w:spacing w:line="360" w:lineRule="auto"/>
        <w:ind w:firstLine="420" w:firstLineChars="200"/>
        <w:rPr>
          <w:rFonts w:ascii="宋体" w:hAnsi="宋体"/>
          <w:szCs w:val="21"/>
        </w:rPr>
      </w:pPr>
      <w:r>
        <w:rPr>
          <w:rFonts w:ascii="宋体" w:hAnsi="宋体"/>
          <w:szCs w:val="21"/>
        </w:rPr>
        <w:t>1、私募基金管理人以书面方式明示不再履行私募基金管理人职责并加盖管理人印章的；</w:t>
      </w:r>
    </w:p>
    <w:p>
      <w:pPr>
        <w:pStyle w:val="a-BR876164"/>
        <w:spacing w:line="360" w:lineRule="auto"/>
        <w:ind w:firstLine="420" w:firstLineChars="200"/>
        <w:rPr>
          <w:rFonts w:ascii="宋体" w:hAnsi="宋体"/>
          <w:szCs w:val="21"/>
        </w:rPr>
      </w:pPr>
      <w:r>
        <w:rPr>
          <w:rFonts w:ascii="宋体" w:hAnsi="宋体"/>
          <w:szCs w:val="21"/>
        </w:rPr>
        <w:t>2</w:t>
      </w:r>
      <w:r>
        <w:rPr>
          <w:rFonts w:ascii="宋体" w:hAnsi="宋体" w:hint="eastAsia"/>
          <w:szCs w:val="21"/>
        </w:rPr>
        <w:t>、私募基金管理人的法定代表人</w:t>
      </w:r>
      <w:r>
        <w:rPr>
          <w:rFonts w:ascii="宋体" w:hAnsi="宋体"/>
          <w:szCs w:val="21"/>
        </w:rPr>
        <w:t>/执行事务合伙人明示不再履行私募基金管理人职责的；</w:t>
      </w:r>
    </w:p>
    <w:p>
      <w:pPr>
        <w:pStyle w:val="a-BR876164"/>
        <w:spacing w:line="360" w:lineRule="auto"/>
        <w:ind w:firstLine="420" w:firstLineChars="200"/>
        <w:rPr>
          <w:rFonts w:ascii="宋体" w:hAnsi="宋体"/>
          <w:szCs w:val="21"/>
        </w:rPr>
      </w:pPr>
      <w:r>
        <w:rPr>
          <w:rFonts w:ascii="宋体" w:hAnsi="宋体" w:hint="eastAsia"/>
          <w:szCs w:val="21"/>
        </w:rPr>
        <w:t>3、自任何基金份额持有人向私募基金管理人通过电子邮件、寄送信件等形式发送书面通知并督促其对基金进行清算之日起三十日后，私募基金管理人仍未终止本基金运作、发起清算程序的；</w:t>
      </w:r>
    </w:p>
    <w:p>
      <w:pPr>
        <w:pStyle w:val="a-BR876164"/>
        <w:numPr>
          <w:ilvl w:val="12"/>
          <w:numId w:val="0"/>
        </w:numPr>
        <w:spacing w:line="360" w:lineRule="auto"/>
        <w:ind w:firstLine="420"/>
        <w:rPr>
          <w:rFonts w:ascii="宋体" w:hAnsi="宋体"/>
          <w:szCs w:val="21"/>
        </w:rPr>
      </w:pPr>
      <w:r>
        <w:rPr>
          <w:rFonts w:ascii="宋体" w:hAnsi="宋体" w:hint="eastAsia"/>
          <w:szCs w:val="21"/>
        </w:rPr>
        <w:t>4、因私募基金管理人依法解散、被撤销、被宣告破产等原因进入清算的。</w:t>
      </w:r>
    </w:p>
    <w:p>
      <w:pPr>
        <w:pStyle w:val="a-BR876164"/>
        <w:numPr>
          <w:ilvl w:val="12"/>
          <w:numId w:val="0"/>
        </w:numPr>
        <w:spacing w:line="360" w:lineRule="auto"/>
        <w:ind w:firstLine="420"/>
        <w:rPr>
          <w:rFonts w:ascii="宋体" w:hAnsi="宋体"/>
          <w:szCs w:val="21"/>
        </w:rPr>
      </w:pPr>
      <w:r>
        <w:rPr>
          <w:rFonts w:ascii="宋体" w:hAnsi="宋体" w:hint="eastAsia"/>
          <w:b/>
          <w:bCs/>
          <w:szCs w:val="21"/>
        </w:rPr>
        <w:t>如私募基金管理人客观上丧失继续管理本基金的能力，基金份额持有人有权根据本合同约定自行召集份额持有人大会、决定与基金终止有关的事宜、确定基金份额持有人代表，并由基金份额持有人代表与私募基金托管人协商后续处置方案。</w:t>
      </w:r>
      <w:r>
        <w:rPr>
          <w:rFonts w:ascii="宋体" w:hAnsi="宋体" w:hint="eastAsia"/>
          <w:szCs w:val="21"/>
        </w:rPr>
        <w:t>后续处置方案包括但不限于组建清算小组，并由清算小组与相关方（如本基金的证券</w:t>
      </w:r>
      <w:r>
        <w:rPr>
          <w:rFonts w:ascii="宋体" w:hAnsi="宋体"/>
          <w:szCs w:val="21"/>
        </w:rPr>
        <w:t>/期货经纪机构、下层资产管理产品管理人或托管人、标的公司、债务方等）协商后续处置安排等。在此期间，私募基金托管人仍然应当按照本合同约定履行保管托管资金账户资金的义务。</w:t>
      </w:r>
    </w:p>
    <w:p>
      <w:pPr>
        <w:pStyle w:val="ac-BR303871"/>
        <w:rPr>
          <w:sz w:val="21"/>
          <w:szCs w:val="21"/>
          <w:lang w:val="en-US"/>
        </w:rPr>
      </w:pPr>
      <w:bookmarkStart w:id="17" w:name="_Toc20471"/>
      <w:bookmarkStart w:id="18" w:name="_Toc32761104"/>
      <w:bookmarkStart w:id="19" w:name="_Toc519865893"/>
      <w:bookmarkStart w:id="20" w:name="_Toc256000005"/>
      <w:r>
        <w:rPr>
          <w:rFonts w:hint="eastAsia"/>
          <w:sz w:val="21"/>
          <w:szCs w:val="21"/>
        </w:rPr>
        <w:t>五、私募基金的募集</w:t>
      </w:r>
      <w:bookmarkEnd w:id="20"/>
    </w:p>
    <w:p>
      <w:pPr>
        <w:pStyle w:val="a-BR303871"/>
        <w:spacing w:line="360" w:lineRule="auto"/>
        <w:ind w:firstLine="420"/>
        <w:rPr>
          <w:rFonts w:ascii="宋体" w:hAnsi="宋体"/>
          <w:szCs w:val="21"/>
        </w:rPr>
      </w:pPr>
      <w:r>
        <w:rPr>
          <w:rFonts w:ascii="宋体" w:hAnsi="宋体" w:hint="eastAsia"/>
          <w:szCs w:val="21"/>
        </w:rPr>
        <w:t>（一）私募基金的募集</w:t>
      </w:r>
    </w:p>
    <w:p>
      <w:pPr>
        <w:pStyle w:val="a-BR303871"/>
        <w:spacing w:line="360" w:lineRule="auto"/>
        <w:ind w:firstLine="420"/>
        <w:rPr>
          <w:rFonts w:ascii="宋体" w:hAnsi="宋体"/>
          <w:szCs w:val="21"/>
        </w:rPr>
      </w:pPr>
      <w:r>
        <w:rPr>
          <w:rFonts w:ascii="宋体" w:hAnsi="宋体" w:hint="eastAsia"/>
          <w:szCs w:val="21"/>
        </w:rPr>
        <w:t>1、私募基金的募集机构：私募基金管理人及私募基金管理人委托的代理销售机构。</w:t>
      </w:r>
      <w:r>
        <w:rPr>
          <w:rFonts w:ascii="宋体" w:hAnsi="宋体"/>
          <w:szCs w:val="21"/>
        </w:rPr>
        <w:t>代理销售机构需</w:t>
      </w:r>
      <w:r>
        <w:rPr>
          <w:rFonts w:ascii="宋体" w:hAnsi="宋体" w:hint="eastAsia"/>
          <w:szCs w:val="21"/>
        </w:rPr>
        <w:t>在中国证监会注册取得基金销售业务资格并已成为中国证券投资基金业协会会员。</w:t>
      </w:r>
    </w:p>
    <w:p>
      <w:pPr>
        <w:pStyle w:val="a-BR303871"/>
        <w:spacing w:line="360" w:lineRule="auto"/>
        <w:ind w:firstLine="420"/>
        <w:rPr>
          <w:rFonts w:ascii="宋体" w:hAnsi="宋体"/>
          <w:szCs w:val="21"/>
        </w:rPr>
      </w:pPr>
      <w:r>
        <w:rPr>
          <w:rFonts w:ascii="宋体" w:hAnsi="宋体" w:hint="eastAsia"/>
          <w:szCs w:val="21"/>
        </w:rPr>
        <w:t>2、私募基金的募集对象</w:t>
      </w:r>
    </w:p>
    <w:p>
      <w:pPr>
        <w:pStyle w:val="a-BR303871"/>
        <w:spacing w:line="360" w:lineRule="auto"/>
        <w:ind w:firstLine="420"/>
        <w:rPr>
          <w:rFonts w:ascii="宋体" w:hAnsi="宋体"/>
          <w:szCs w:val="21"/>
        </w:rPr>
      </w:pPr>
      <w:r>
        <w:rPr>
          <w:rFonts w:ascii="宋体" w:hAnsi="宋体" w:hint="eastAsia"/>
          <w:szCs w:val="21"/>
        </w:rPr>
        <w:t>本基金仅向符合《私募办法》规定的合格投资者发售。合格投资者包括“普通合格投资者”和“特殊合格投资者”。</w:t>
      </w:r>
    </w:p>
    <w:p>
      <w:pPr>
        <w:pStyle w:val="a-BR303871"/>
        <w:spacing w:line="360" w:lineRule="auto"/>
        <w:ind w:firstLine="420"/>
        <w:rPr>
          <w:rFonts w:ascii="宋体" w:hAnsi="宋体"/>
          <w:szCs w:val="21"/>
        </w:rPr>
      </w:pPr>
      <w:r>
        <w:rPr>
          <w:rFonts w:ascii="宋体" w:hAnsi="宋体" w:hint="eastAsia"/>
          <w:szCs w:val="21"/>
        </w:rPr>
        <w:t>“普通合格投资者”包括符合下列相关标准的单位和个人：</w:t>
      </w:r>
      <w:r>
        <w:rPr>
          <w:rFonts w:ascii="宋体" w:hAnsi="宋体"/>
          <w:szCs w:val="21"/>
        </w:rPr>
        <w:t xml:space="preserve">(1)净资产不低于1000 </w:t>
      </w:r>
      <w:r>
        <w:rPr>
          <w:rFonts w:ascii="宋体" w:hAnsi="宋体" w:hint="eastAsia"/>
          <w:szCs w:val="21"/>
        </w:rPr>
        <w:t>万元的单位；</w:t>
      </w:r>
      <w:r>
        <w:rPr>
          <w:rFonts w:ascii="宋体" w:hAnsi="宋体"/>
          <w:szCs w:val="21"/>
        </w:rPr>
        <w:t xml:space="preserve">(2)金融资产不低于300 </w:t>
      </w:r>
      <w:r>
        <w:rPr>
          <w:rFonts w:ascii="宋体" w:hAnsi="宋体" w:hint="eastAsia"/>
          <w:szCs w:val="21"/>
        </w:rPr>
        <w:t>万元或者最近三年个人年均收入不低于</w:t>
      </w:r>
      <w:r>
        <w:rPr>
          <w:rFonts w:ascii="宋体" w:hAnsi="宋体"/>
          <w:szCs w:val="21"/>
        </w:rPr>
        <w:t xml:space="preserve">50 </w:t>
      </w:r>
      <w:r>
        <w:rPr>
          <w:rFonts w:ascii="宋体" w:hAnsi="宋体" w:hint="eastAsia"/>
          <w:szCs w:val="21"/>
        </w:rPr>
        <w:t>万元的个人。前款所称金融资产包括银行存款、股票、债券、基金份额、资产管理计划、银行理财产品、信托计划、保险产品、期货权益等。</w:t>
      </w:r>
    </w:p>
    <w:p>
      <w:pPr>
        <w:pStyle w:val="a-BR303871"/>
        <w:spacing w:line="360" w:lineRule="auto"/>
        <w:ind w:firstLine="420"/>
        <w:rPr>
          <w:rFonts w:ascii="宋体" w:hAnsi="宋体" w:cs="宋体"/>
          <w:b/>
          <w:szCs w:val="21"/>
        </w:rPr>
      </w:pPr>
      <w:r>
        <w:rPr>
          <w:rFonts w:ascii="宋体" w:hAnsi="宋体" w:hint="eastAsia"/>
          <w:szCs w:val="21"/>
        </w:rPr>
        <w:t>“特殊合格投资者”包括下列投资者：</w:t>
      </w:r>
      <w:r>
        <w:rPr>
          <w:rFonts w:ascii="宋体" w:hAnsi="宋体"/>
          <w:szCs w:val="21"/>
        </w:rPr>
        <w:t>(1)社会保障基金、企业年金等养老基金，慈善基金等社会公益基金；(2)依法设立并在中国基金业协会备案的投资计划；(3)投资于所管理私募基金的私募基金管理人及其从业人员；(4)中国证监会规定的其他投资者。</w:t>
      </w:r>
    </w:p>
    <w:p>
      <w:pPr>
        <w:pStyle w:val="a-BR303871"/>
        <w:spacing w:line="360" w:lineRule="auto"/>
        <w:ind w:left="420"/>
        <w:rPr>
          <w:rFonts w:ascii="宋体" w:hAnsi="宋体"/>
          <w:szCs w:val="21"/>
        </w:rPr>
      </w:pPr>
      <w:r>
        <w:rPr>
          <w:rFonts w:ascii="宋体" w:hAnsi="宋体"/>
          <w:szCs w:val="21"/>
        </w:rPr>
        <w:t>3、私募</w:t>
      </w:r>
      <w:r>
        <w:rPr>
          <w:rFonts w:ascii="宋体" w:hAnsi="宋体" w:hint="eastAsia"/>
          <w:szCs w:val="21"/>
        </w:rPr>
        <w:t>基金的募集方式：非公开方式向投资者募集。</w:t>
      </w:r>
    </w:p>
    <w:p>
      <w:pPr>
        <w:pStyle w:val="a-BR303871"/>
        <w:spacing w:line="360" w:lineRule="auto"/>
        <w:ind w:firstLine="420" w:firstLineChars="200"/>
        <w:rPr>
          <w:rFonts w:ascii="宋体" w:hAnsi="宋体"/>
          <w:szCs w:val="21"/>
        </w:rPr>
      </w:pPr>
      <w:r>
        <w:rPr>
          <w:rFonts w:ascii="宋体" w:hAnsi="宋体"/>
          <w:szCs w:val="21"/>
        </w:rPr>
        <w:t>4、私募基金的募集期限</w:t>
      </w:r>
      <w:r>
        <w:rPr>
          <w:rFonts w:ascii="宋体" w:hAnsi="宋体" w:hint="eastAsia"/>
          <w:szCs w:val="21"/>
        </w:rPr>
        <w:t>：本基金的初始销售期</w:t>
      </w:r>
      <w:r>
        <w:rPr>
          <w:rFonts w:ascii="宋体" w:hAnsi="宋体"/>
          <w:szCs w:val="21"/>
        </w:rPr>
        <w:t>由</w:t>
      </w:r>
      <w:r>
        <w:rPr>
          <w:rFonts w:ascii="宋体" w:hAnsi="宋体" w:hint="eastAsia"/>
          <w:szCs w:val="21"/>
        </w:rPr>
        <w:t>私募基金管理人自行决定</w:t>
      </w:r>
      <w:r>
        <w:rPr>
          <w:rFonts w:ascii="宋体" w:hAnsi="宋体"/>
          <w:szCs w:val="21"/>
        </w:rPr>
        <w:t>。</w:t>
      </w:r>
      <w:r>
        <w:rPr>
          <w:rFonts w:ascii="宋体" w:hAnsi="宋体" w:hint="eastAsia"/>
          <w:szCs w:val="21"/>
        </w:rPr>
        <w:t>私募基金管理人有权根据本基金销售的实际情况缩短或延长初始销售期，初始销售期的变更适用于所有募集机构。私募基金管理人应及时告知投资者初始销售期以及相应的变更。</w:t>
      </w:r>
    </w:p>
    <w:p>
      <w:pPr>
        <w:pStyle w:val="a-BR303871"/>
        <w:spacing w:line="360" w:lineRule="auto"/>
        <w:ind w:firstLine="420"/>
        <w:rPr>
          <w:rFonts w:ascii="宋体" w:hAnsi="宋体"/>
          <w:szCs w:val="21"/>
        </w:rPr>
      </w:pPr>
      <w:r>
        <w:rPr>
          <w:rFonts w:ascii="宋体" w:hAnsi="宋体" w:hint="eastAsia"/>
          <w:szCs w:val="21"/>
        </w:rPr>
        <w:t>当本基金符合法律法规规定的成立条件时，私募基金管理人可以提前终止本基金的募集。募集期限届满本基金不能成立的，基金募集失败。</w:t>
      </w:r>
    </w:p>
    <w:p>
      <w:pPr>
        <w:pStyle w:val="a-BR303871"/>
        <w:spacing w:line="360" w:lineRule="auto"/>
        <w:ind w:firstLine="420"/>
        <w:rPr>
          <w:rFonts w:ascii="宋体" w:hAnsi="宋体"/>
          <w:szCs w:val="21"/>
        </w:rPr>
      </w:pPr>
      <w:r>
        <w:rPr>
          <w:rFonts w:ascii="宋体" w:hAnsi="宋体" w:hint="eastAsia"/>
          <w:szCs w:val="21"/>
        </w:rPr>
        <w:t>（</w:t>
      </w:r>
      <w:r>
        <w:rPr>
          <w:rFonts w:ascii="宋体" w:hAnsi="宋体"/>
          <w:szCs w:val="21"/>
        </w:rPr>
        <w:t>二</w:t>
      </w:r>
      <w:r>
        <w:rPr>
          <w:rFonts w:ascii="宋体" w:hAnsi="宋体" w:hint="eastAsia"/>
          <w:szCs w:val="21"/>
        </w:rPr>
        <w:t>）</w:t>
      </w:r>
      <w:r>
        <w:rPr>
          <w:rFonts w:ascii="宋体" w:hAnsi="宋体"/>
          <w:szCs w:val="21"/>
        </w:rPr>
        <w:t>私募基金的认购</w:t>
      </w:r>
    </w:p>
    <w:p>
      <w:pPr>
        <w:pStyle w:val="a-BR303871"/>
        <w:spacing w:line="360" w:lineRule="auto"/>
        <w:ind w:firstLine="420"/>
        <w:rPr>
          <w:rFonts w:ascii="宋体" w:hAnsi="宋体"/>
          <w:szCs w:val="21"/>
        </w:rPr>
      </w:pPr>
      <w:r>
        <w:rPr>
          <w:rFonts w:ascii="宋体" w:hAnsi="宋体"/>
          <w:szCs w:val="21"/>
        </w:rPr>
        <w:t>1、认购的方式</w:t>
      </w:r>
    </w:p>
    <w:p>
      <w:pPr>
        <w:pStyle w:val="a-BR303871"/>
        <w:spacing w:line="360" w:lineRule="auto"/>
        <w:ind w:firstLine="420" w:firstLineChars="200"/>
        <w:rPr>
          <w:rFonts w:ascii="宋体" w:hAnsi="宋体"/>
          <w:szCs w:val="21"/>
        </w:rPr>
      </w:pPr>
      <w:r>
        <w:rPr>
          <w:rFonts w:ascii="宋体" w:hAnsi="宋体"/>
          <w:szCs w:val="21"/>
        </w:rPr>
        <w:t>基金认购采用金额申请的方式。</w:t>
      </w:r>
    </w:p>
    <w:p>
      <w:pPr>
        <w:pStyle w:val="a-BR303871"/>
        <w:spacing w:line="360" w:lineRule="auto"/>
        <w:ind w:firstLine="420" w:firstLineChars="200"/>
        <w:rPr>
          <w:rFonts w:ascii="宋体" w:hAnsi="宋体"/>
          <w:szCs w:val="21"/>
        </w:rPr>
      </w:pPr>
      <w:r>
        <w:rPr>
          <w:rFonts w:ascii="宋体" w:hAnsi="宋体"/>
          <w:szCs w:val="21"/>
        </w:rPr>
        <w:t>2、认购申请的确认</w:t>
      </w:r>
    </w:p>
    <w:p>
      <w:pPr>
        <w:pStyle w:val="a-BR303871"/>
        <w:spacing w:line="360" w:lineRule="auto"/>
        <w:ind w:firstLine="420" w:firstLineChars="200"/>
        <w:rPr>
          <w:rFonts w:ascii="宋体" w:hAnsi="宋体"/>
          <w:szCs w:val="21"/>
        </w:rPr>
      </w:pPr>
      <w:r>
        <w:rPr>
          <w:rFonts w:ascii="宋体" w:hAnsi="宋体" w:hint="eastAsia"/>
          <w:szCs w:val="21"/>
        </w:rPr>
        <w:t>认购申请确认完成后，除本合同另有约定外基金投资者不得单方面撤销。募集机构受理申请并不表示认购申请确认成功，而仅代表募集机构确实收到了申请。认购申请的确认以份额登记机构的确认结果为准。</w:t>
      </w:r>
    </w:p>
    <w:p>
      <w:pPr>
        <w:pStyle w:val="a-BR303871"/>
        <w:spacing w:line="360" w:lineRule="auto"/>
        <w:ind w:firstLine="420" w:firstLineChars="200"/>
        <w:rPr>
          <w:rFonts w:ascii="宋体" w:hAnsi="宋体"/>
          <w:szCs w:val="21"/>
        </w:rPr>
      </w:pPr>
      <w:r>
        <w:rPr>
          <w:rFonts w:ascii="宋体" w:hAnsi="宋体" w:hint="eastAsia"/>
          <w:szCs w:val="21"/>
        </w:rPr>
        <w:t>本基金的人数规模上限为</w:t>
      </w:r>
      <w:r>
        <w:rPr>
          <w:rFonts w:ascii="宋体" w:hAnsi="宋体"/>
          <w:szCs w:val="21"/>
        </w:rPr>
        <w:t>200</w:t>
      </w:r>
      <w:r>
        <w:rPr>
          <w:rFonts w:ascii="宋体" w:hAnsi="宋体" w:hint="eastAsia"/>
          <w:szCs w:val="21"/>
        </w:rPr>
        <w:t>人，并按《私募办法》第十三条的规定合并计算投资者人数。私募基金管理人在募集期的每个交易日可接受的人数限制内，按照“时间优先、金额优先”的原则确认有效认购申请。超出基金投资者人数规模上限的认购申请为无效申请。</w:t>
      </w:r>
    </w:p>
    <w:p>
      <w:pPr>
        <w:pStyle w:val="a-BR303871"/>
        <w:spacing w:line="360" w:lineRule="auto"/>
        <w:ind w:firstLine="420" w:firstLineChars="200"/>
        <w:rPr>
          <w:rFonts w:ascii="宋体" w:hAnsi="宋体"/>
          <w:szCs w:val="21"/>
        </w:rPr>
      </w:pPr>
      <w:r>
        <w:rPr>
          <w:rFonts w:ascii="宋体" w:hAnsi="宋体"/>
          <w:szCs w:val="21"/>
        </w:rPr>
        <w:t>3、认购金额的限制</w:t>
      </w:r>
    </w:p>
    <w:p>
      <w:pPr>
        <w:pStyle w:val="a-BR303871"/>
        <w:spacing w:line="360" w:lineRule="auto"/>
        <w:ind w:firstLine="420" w:firstLineChars="200"/>
        <w:rPr>
          <w:rFonts w:ascii="宋体" w:hAnsi="宋体"/>
          <w:szCs w:val="21"/>
        </w:rPr>
      </w:pPr>
      <w:r>
        <w:rPr>
          <w:rFonts w:ascii="宋体" w:hAnsi="宋体" w:hint="eastAsia"/>
          <w:szCs w:val="21"/>
        </w:rPr>
        <w:t>基金投资者首次净认购金额应不低于1</w:t>
      </w:r>
      <w:r>
        <w:rPr>
          <w:rFonts w:ascii="宋体" w:hAnsi="宋体"/>
          <w:szCs w:val="21"/>
        </w:rPr>
        <w:t>00</w:t>
      </w:r>
      <w:r>
        <w:rPr>
          <w:rFonts w:ascii="宋体" w:hAnsi="宋体" w:hint="eastAsia"/>
          <w:szCs w:val="21"/>
        </w:rPr>
        <w:t>万元人民币（不含认购费，且本合同“私募基金的募集对象”中的“特殊合格投资者”不受此限）。</w:t>
      </w:r>
    </w:p>
    <w:p>
      <w:pPr>
        <w:pStyle w:val="a-BR303871"/>
        <w:spacing w:line="360" w:lineRule="auto"/>
        <w:ind w:firstLine="420" w:firstLineChars="200"/>
        <w:rPr>
          <w:rFonts w:ascii="宋体" w:hAnsi="宋体"/>
          <w:szCs w:val="21"/>
        </w:rPr>
      </w:pPr>
      <w:r>
        <w:rPr>
          <w:rFonts w:ascii="宋体" w:hAnsi="宋体"/>
          <w:szCs w:val="21"/>
        </w:rPr>
        <w:t>4、认购的费率</w:t>
      </w:r>
    </w:p>
    <w:p>
      <w:pPr>
        <w:pStyle w:val="a-BR303871"/>
        <w:spacing w:line="360" w:lineRule="auto"/>
        <w:ind w:firstLine="420" w:firstLineChars="200"/>
      </w:pPr>
      <w:r>
        <w:rPr>
          <w:rFonts w:hint="eastAsia"/>
        </w:rPr>
        <w:t>本基金认购费率为0</w:t>
      </w:r>
      <w:r>
        <w:t>%。</w:t>
      </w:r>
    </w:p>
    <w:p>
      <w:pPr>
        <w:pStyle w:val="a-BR303871"/>
        <w:spacing w:line="360" w:lineRule="auto"/>
        <w:ind w:firstLine="420" w:firstLineChars="200"/>
        <w:rPr>
          <w:rFonts w:ascii="宋体" w:hAnsi="宋体"/>
          <w:szCs w:val="21"/>
        </w:rPr>
      </w:pPr>
      <w:r>
        <w:rPr>
          <w:rFonts w:ascii="宋体" w:hAnsi="宋体"/>
          <w:szCs w:val="21"/>
        </w:rPr>
        <w:t>5、认购份额的计算方式</w:t>
      </w:r>
    </w:p>
    <w:p>
      <w:pPr>
        <w:pStyle w:val="a-BR303871"/>
        <w:spacing w:line="360" w:lineRule="auto"/>
        <w:ind w:firstLine="420" w:firstLineChars="200"/>
        <w:rPr>
          <w:rFonts w:ascii="宋体" w:hAnsi="宋体"/>
          <w:szCs w:val="21"/>
        </w:rPr>
      </w:pPr>
      <w:r>
        <w:rPr>
          <w:rFonts w:ascii="宋体" w:hAnsi="宋体" w:hint="eastAsia"/>
          <w:szCs w:val="21"/>
        </w:rPr>
        <w:t>认购份额</w:t>
      </w:r>
      <w:r>
        <w:rPr>
          <w:rFonts w:ascii="宋体" w:hAnsi="宋体"/>
          <w:szCs w:val="21"/>
        </w:rPr>
        <w:t>=</w:t>
      </w:r>
      <w:r>
        <w:rPr>
          <w:rFonts w:ascii="宋体" w:hAnsi="宋体" w:hint="eastAsia"/>
          <w:szCs w:val="21"/>
        </w:rPr>
        <w:t>认购金额</w:t>
      </w:r>
      <w:r>
        <w:rPr>
          <w:rFonts w:ascii="宋体" w:hAnsi="宋体"/>
          <w:szCs w:val="21"/>
        </w:rPr>
        <w:t>/（1+</w:t>
      </w:r>
      <w:r>
        <w:rPr>
          <w:rFonts w:ascii="宋体" w:hAnsi="宋体" w:hint="eastAsia"/>
          <w:szCs w:val="21"/>
        </w:rPr>
        <w:t>认购费率</w:t>
      </w:r>
      <w:r>
        <w:rPr>
          <w:rFonts w:ascii="宋体" w:hAnsi="宋体"/>
          <w:szCs w:val="21"/>
        </w:rPr>
        <w:t>）/</w:t>
      </w:r>
      <w:r>
        <w:rPr>
          <w:rFonts w:ascii="宋体" w:hAnsi="宋体" w:hint="eastAsia"/>
          <w:szCs w:val="21"/>
        </w:rPr>
        <w:t>面值。</w:t>
      </w:r>
    </w:p>
    <w:p>
      <w:pPr>
        <w:pStyle w:val="a-BR303871"/>
        <w:spacing w:line="360" w:lineRule="auto"/>
        <w:ind w:firstLine="420" w:firstLineChars="200"/>
        <w:rPr>
          <w:rFonts w:ascii="宋体" w:hAnsi="宋体"/>
          <w:szCs w:val="21"/>
        </w:rPr>
      </w:pPr>
      <w:r>
        <w:rPr>
          <w:rFonts w:ascii="宋体" w:hAnsi="宋体" w:hint="eastAsia"/>
          <w:szCs w:val="21"/>
        </w:rPr>
        <w:t>认购费用</w:t>
      </w:r>
      <w:r>
        <w:rPr>
          <w:rFonts w:ascii="宋体" w:hAnsi="宋体"/>
          <w:szCs w:val="21"/>
        </w:rPr>
        <w:t>=认购金额*认购费率/</w:t>
      </w:r>
      <w:r>
        <w:rPr>
          <w:rFonts w:ascii="宋体" w:hAnsi="宋体" w:hint="eastAsia"/>
          <w:szCs w:val="21"/>
        </w:rPr>
        <w:t>（</w:t>
      </w:r>
      <w:r>
        <w:rPr>
          <w:rFonts w:ascii="宋体" w:hAnsi="宋体"/>
          <w:szCs w:val="21"/>
        </w:rPr>
        <w:t>1+认购费率</w:t>
      </w:r>
      <w:r>
        <w:rPr>
          <w:rFonts w:ascii="宋体" w:hAnsi="宋体" w:hint="eastAsia"/>
          <w:szCs w:val="21"/>
        </w:rPr>
        <w:t>）。</w:t>
      </w:r>
    </w:p>
    <w:p>
      <w:pPr>
        <w:pStyle w:val="a-BR303871"/>
        <w:spacing w:line="360" w:lineRule="auto"/>
        <w:ind w:firstLine="420" w:firstLineChars="200"/>
        <w:rPr>
          <w:rFonts w:ascii="宋体" w:hAnsi="宋体"/>
          <w:szCs w:val="21"/>
        </w:rPr>
      </w:pPr>
      <w:r>
        <w:rPr>
          <w:rFonts w:ascii="宋体" w:hAnsi="宋体" w:hint="eastAsia"/>
          <w:szCs w:val="21"/>
        </w:rPr>
        <w:t>净认购金额</w:t>
      </w:r>
      <w:r>
        <w:rPr>
          <w:rFonts w:ascii="宋体" w:hAnsi="宋体"/>
          <w:szCs w:val="21"/>
        </w:rPr>
        <w:t>=认购金额/</w:t>
      </w:r>
      <w:r>
        <w:rPr>
          <w:rFonts w:ascii="宋体" w:hAnsi="宋体" w:hint="eastAsia"/>
          <w:szCs w:val="21"/>
        </w:rPr>
        <w:t>（</w:t>
      </w:r>
      <w:r>
        <w:rPr>
          <w:rFonts w:ascii="宋体" w:hAnsi="宋体"/>
          <w:szCs w:val="21"/>
        </w:rPr>
        <w:t>1+认购费率</w:t>
      </w:r>
      <w:r>
        <w:rPr>
          <w:rFonts w:ascii="宋体" w:hAnsi="宋体" w:hint="eastAsia"/>
          <w:szCs w:val="21"/>
        </w:rPr>
        <w:t>）。</w:t>
      </w:r>
    </w:p>
    <w:p>
      <w:pPr>
        <w:pStyle w:val="a-BR303871"/>
        <w:spacing w:line="360" w:lineRule="auto"/>
        <w:ind w:firstLine="420"/>
        <w:rPr>
          <w:rFonts w:ascii="宋体" w:hAnsi="宋体"/>
          <w:szCs w:val="21"/>
        </w:rPr>
      </w:pPr>
      <w:r>
        <w:rPr>
          <w:rFonts w:ascii="宋体" w:hAnsi="宋体" w:hint="eastAsia"/>
          <w:szCs w:val="21"/>
        </w:rPr>
        <w:t>认购份额保留到小数点后</w:t>
      </w:r>
      <w:r>
        <w:rPr>
          <w:rFonts w:ascii="宋体" w:hAnsi="宋体"/>
          <w:szCs w:val="21"/>
        </w:rPr>
        <w:t>2</w:t>
      </w:r>
      <w:r>
        <w:rPr>
          <w:rFonts w:ascii="宋体" w:hAnsi="宋体" w:hint="eastAsia"/>
          <w:szCs w:val="21"/>
        </w:rPr>
        <w:t>位，小数点后第</w:t>
      </w:r>
      <w:r>
        <w:rPr>
          <w:rFonts w:ascii="宋体" w:hAnsi="宋体"/>
          <w:szCs w:val="21"/>
        </w:rPr>
        <w:t>3</w:t>
      </w:r>
      <w:r>
        <w:rPr>
          <w:rFonts w:ascii="宋体" w:hAnsi="宋体" w:hint="eastAsia"/>
          <w:szCs w:val="21"/>
        </w:rPr>
        <w:t>位四舍五入，由此带来的收益和损失归入基金财产。</w:t>
      </w:r>
    </w:p>
    <w:p>
      <w:pPr>
        <w:pStyle w:val="a-BR303871"/>
        <w:spacing w:line="360" w:lineRule="auto"/>
        <w:ind w:firstLine="420"/>
        <w:rPr>
          <w:rFonts w:ascii="宋体" w:hAnsi="宋体"/>
          <w:szCs w:val="21"/>
        </w:rPr>
      </w:pPr>
      <w:r>
        <w:rPr>
          <w:rFonts w:ascii="宋体" w:hAnsi="宋体"/>
          <w:szCs w:val="21"/>
        </w:rPr>
        <w:t>6、初始认购资金的管理及利息处理方式</w:t>
      </w:r>
    </w:p>
    <w:p>
      <w:pPr>
        <w:pStyle w:val="a-BR303871"/>
        <w:spacing w:line="360" w:lineRule="auto"/>
        <w:ind w:firstLine="420"/>
        <w:rPr>
          <w:rFonts w:ascii="宋体" w:hAnsi="宋体"/>
          <w:szCs w:val="21"/>
        </w:rPr>
      </w:pPr>
      <w:r>
        <w:rPr>
          <w:rFonts w:ascii="宋体" w:hAnsi="宋体" w:hint="eastAsia"/>
          <w:szCs w:val="21"/>
        </w:rPr>
        <w:t>基金募集期间认购资金利息归入基金资产，利息金额按银行同期活期利率计息，以份额登记机构的记录为准。</w:t>
      </w:r>
    </w:p>
    <w:p>
      <w:pPr>
        <w:pStyle w:val="a-BR303871"/>
        <w:spacing w:line="360" w:lineRule="auto"/>
        <w:ind w:firstLine="420"/>
        <w:rPr>
          <w:rFonts w:ascii="宋体" w:hAnsi="宋体"/>
          <w:szCs w:val="21"/>
        </w:rPr>
      </w:pPr>
      <w:r>
        <w:rPr>
          <w:rFonts w:ascii="宋体" w:hAnsi="宋体" w:hint="eastAsia"/>
          <w:szCs w:val="21"/>
        </w:rPr>
        <w:t>（三）私募基金份额认购金额、付款期限</w:t>
      </w:r>
    </w:p>
    <w:p>
      <w:pPr>
        <w:pStyle w:val="a-BR303871"/>
        <w:spacing w:line="360" w:lineRule="auto"/>
        <w:ind w:firstLine="420" w:firstLineChars="200"/>
        <w:rPr>
          <w:rFonts w:ascii="宋体" w:hAnsi="宋体"/>
          <w:szCs w:val="21"/>
        </w:rPr>
      </w:pPr>
      <w:r>
        <w:rPr>
          <w:rFonts w:ascii="宋体" w:hAnsi="宋体"/>
          <w:szCs w:val="21"/>
        </w:rPr>
        <w:t>1</w:t>
      </w:r>
      <w:r>
        <w:rPr>
          <w:rFonts w:ascii="宋体" w:hAnsi="宋体" w:hint="eastAsia"/>
          <w:szCs w:val="21"/>
        </w:rPr>
        <w:t>、基金投资者的实际认购金额应当以其实际支付的认购款项为准。</w:t>
      </w:r>
    </w:p>
    <w:p>
      <w:pPr>
        <w:pStyle w:val="a-BR303871"/>
        <w:spacing w:line="360" w:lineRule="auto"/>
        <w:ind w:firstLine="420" w:firstLineChars="200"/>
        <w:rPr>
          <w:rFonts w:ascii="宋体" w:hAnsi="宋体"/>
          <w:szCs w:val="21"/>
        </w:rPr>
      </w:pPr>
      <w:r>
        <w:rPr>
          <w:rFonts w:ascii="宋体" w:hAnsi="宋体"/>
          <w:szCs w:val="21"/>
        </w:rPr>
        <w:t>2</w:t>
      </w:r>
      <w:r>
        <w:rPr>
          <w:rFonts w:ascii="宋体" w:hAnsi="宋体" w:hint="eastAsia"/>
          <w:szCs w:val="21"/>
        </w:rPr>
        <w:t>、基金投资者应按照募集机构指定的日期及方式支付认购款项。</w:t>
      </w:r>
    </w:p>
    <w:p>
      <w:pPr>
        <w:pStyle w:val="a-BR303871"/>
        <w:spacing w:line="360" w:lineRule="auto"/>
        <w:ind w:firstLine="420"/>
        <w:rPr>
          <w:rFonts w:ascii="宋体" w:hAnsi="宋体"/>
          <w:szCs w:val="21"/>
        </w:rPr>
      </w:pPr>
      <w:r>
        <w:rPr>
          <w:rFonts w:ascii="宋体" w:hAnsi="宋体" w:hint="eastAsia"/>
          <w:szCs w:val="21"/>
        </w:rPr>
        <w:t>（四）投资者冷静期及回访确认</w:t>
      </w:r>
    </w:p>
    <w:p>
      <w:pPr>
        <w:pStyle w:val="a-BR303871"/>
        <w:spacing w:line="360" w:lineRule="auto"/>
        <w:ind w:firstLine="420"/>
        <w:rPr>
          <w:rFonts w:ascii="宋体" w:hAnsi="宋体"/>
          <w:szCs w:val="21"/>
        </w:rPr>
      </w:pPr>
      <w:r>
        <w:rPr>
          <w:rFonts w:ascii="宋体" w:hAnsi="宋体" w:hint="eastAsia"/>
          <w:szCs w:val="21"/>
        </w:rPr>
        <w:t>募集机构应当在投资者签署基金合同之前，向其说明投资冷静期、回访确认（若有）等程序性安排以及投资者的相关权利，向投资者重点揭示私募基金风险，并与投资者签署风险揭示书。</w:t>
      </w:r>
    </w:p>
    <w:p>
      <w:pPr>
        <w:pStyle w:val="a-BR303871"/>
        <w:spacing w:line="360" w:lineRule="auto"/>
        <w:ind w:firstLine="420"/>
        <w:rPr>
          <w:rFonts w:ascii="宋体" w:hAnsi="宋体"/>
          <w:szCs w:val="21"/>
        </w:rPr>
      </w:pPr>
      <w:r>
        <w:rPr>
          <w:rFonts w:ascii="宋体" w:hAnsi="宋体" w:hint="eastAsia"/>
          <w:szCs w:val="21"/>
        </w:rPr>
        <w:t>1、投资者冷静期</w:t>
      </w:r>
    </w:p>
    <w:p>
      <w:pPr>
        <w:pStyle w:val="a-BR303871"/>
        <w:spacing w:line="360" w:lineRule="auto"/>
        <w:ind w:firstLine="420"/>
        <w:rPr>
          <w:rFonts w:ascii="宋体" w:hAnsi="宋体"/>
          <w:szCs w:val="21"/>
        </w:rPr>
      </w:pPr>
      <w:r>
        <w:rPr>
          <w:rFonts w:ascii="宋体" w:hAnsi="宋体" w:hint="eastAsia"/>
          <w:szCs w:val="21"/>
        </w:rPr>
        <w:t>投资者认购</w:t>
      </w:r>
      <w:r>
        <w:rPr>
          <w:rFonts w:ascii="宋体" w:hAnsi="宋体"/>
          <w:szCs w:val="21"/>
        </w:rPr>
        <w:t>或</w:t>
      </w:r>
      <w:r>
        <w:rPr>
          <w:rFonts w:ascii="宋体" w:hAnsi="宋体" w:hint="eastAsia"/>
          <w:szCs w:val="21"/>
        </w:rPr>
        <w:t>申购本基金时，募集机构为</w:t>
      </w:r>
      <w:r>
        <w:rPr>
          <w:rFonts w:ascii="宋体" w:hAnsi="宋体"/>
          <w:szCs w:val="21"/>
        </w:rPr>
        <w:t>投资者</w:t>
      </w:r>
      <w:r>
        <w:rPr>
          <w:rFonts w:ascii="宋体" w:hAnsi="宋体" w:hint="eastAsia"/>
          <w:szCs w:val="21"/>
        </w:rPr>
        <w:t>设置二十四小时的投资冷静期，冷静期自基金合同签署完毕且投资者交纳认购</w:t>
      </w:r>
      <w:r>
        <w:rPr>
          <w:rFonts w:ascii="宋体" w:hAnsi="宋体"/>
          <w:szCs w:val="21"/>
        </w:rPr>
        <w:t>或申购</w:t>
      </w:r>
      <w:r>
        <w:rPr>
          <w:rFonts w:ascii="宋体" w:hAnsi="宋体" w:hint="eastAsia"/>
          <w:szCs w:val="21"/>
        </w:rPr>
        <w:t>基金的款项后起算，募集机构及其员工在投资冷静期内不得主动联系投资者。投资者在投资冷静期内，有权主动联系募集机构解除基金合同或撤销认购/申购申请。</w:t>
      </w:r>
      <w:r>
        <w:rPr>
          <w:rFonts w:ascii="宋体" w:hAnsi="宋体" w:hint="eastAsia"/>
          <w:b/>
          <w:szCs w:val="21"/>
        </w:rPr>
        <w:t>出现前述情形时，募集机构应当按合同</w:t>
      </w:r>
      <w:r>
        <w:rPr>
          <w:rFonts w:ascii="宋体" w:hAnsi="宋体"/>
          <w:b/>
          <w:szCs w:val="21"/>
        </w:rPr>
        <w:t>约定</w:t>
      </w:r>
      <w:r>
        <w:rPr>
          <w:rFonts w:ascii="宋体" w:hAnsi="宋体" w:hint="eastAsia"/>
          <w:b/>
          <w:szCs w:val="21"/>
        </w:rPr>
        <w:t>及时无息退还投资者的全部认购</w:t>
      </w:r>
      <w:r>
        <w:rPr>
          <w:rFonts w:ascii="宋体" w:hAnsi="宋体"/>
          <w:b/>
          <w:szCs w:val="21"/>
        </w:rPr>
        <w:t>或申购</w:t>
      </w:r>
      <w:r>
        <w:rPr>
          <w:rFonts w:ascii="宋体" w:hAnsi="宋体" w:hint="eastAsia"/>
          <w:b/>
          <w:szCs w:val="21"/>
        </w:rPr>
        <w:t>款项。</w:t>
      </w:r>
    </w:p>
    <w:p>
      <w:pPr>
        <w:pStyle w:val="a-BR303871"/>
        <w:spacing w:line="360" w:lineRule="auto"/>
        <w:ind w:firstLine="420"/>
        <w:rPr>
          <w:rFonts w:ascii="宋体" w:hAnsi="宋体"/>
          <w:szCs w:val="21"/>
        </w:rPr>
      </w:pPr>
      <w:r>
        <w:rPr>
          <w:rFonts w:ascii="宋体" w:hAnsi="宋体" w:hint="eastAsia"/>
          <w:szCs w:val="21"/>
        </w:rPr>
        <w:t>但是，“特殊合格投资者”、专业投资机构、受国务院金融监督管理机构监管的金融产品</w:t>
      </w:r>
      <w:r>
        <w:rPr>
          <w:rFonts w:ascii="宋体" w:hAnsi="宋体"/>
          <w:szCs w:val="21"/>
        </w:rPr>
        <w:t>不适用</w:t>
      </w:r>
      <w:r>
        <w:rPr>
          <w:rFonts w:ascii="宋体" w:hAnsi="宋体" w:hint="eastAsia"/>
          <w:szCs w:val="21"/>
        </w:rPr>
        <w:t>上述投资冷静期的约定。</w:t>
      </w:r>
    </w:p>
    <w:p>
      <w:pPr>
        <w:pStyle w:val="a-BR303871"/>
        <w:spacing w:line="360" w:lineRule="auto"/>
        <w:ind w:firstLine="420"/>
        <w:rPr>
          <w:rFonts w:ascii="宋体" w:hAnsi="宋体"/>
          <w:szCs w:val="21"/>
        </w:rPr>
      </w:pPr>
      <w:r>
        <w:rPr>
          <w:rFonts w:ascii="宋体" w:hAnsi="宋体"/>
          <w:szCs w:val="21"/>
        </w:rPr>
        <w:t>2</w:t>
      </w:r>
      <w:r>
        <w:rPr>
          <w:rFonts w:ascii="宋体" w:hAnsi="宋体" w:hint="eastAsia"/>
          <w:szCs w:val="21"/>
        </w:rPr>
        <w:t>、募集</w:t>
      </w:r>
      <w:r>
        <w:rPr>
          <w:rFonts w:ascii="宋体" w:hAnsi="宋体"/>
          <w:szCs w:val="21"/>
        </w:rPr>
        <w:t>机构</w:t>
      </w:r>
      <w:r>
        <w:rPr>
          <w:rFonts w:ascii="宋体" w:hAnsi="宋体" w:hint="eastAsia"/>
          <w:szCs w:val="21"/>
        </w:rPr>
        <w:t>的回访</w:t>
      </w:r>
      <w:r>
        <w:rPr>
          <w:rFonts w:ascii="宋体" w:hAnsi="宋体"/>
          <w:szCs w:val="21"/>
        </w:rPr>
        <w:t>确认</w:t>
      </w:r>
    </w:p>
    <w:p>
      <w:pPr>
        <w:pStyle w:val="a-BR303871"/>
        <w:spacing w:line="360" w:lineRule="auto"/>
        <w:ind w:firstLine="420"/>
        <w:rPr>
          <w:rStyle w:val="a0"/>
        </w:rPr>
      </w:pPr>
      <w:r>
        <w:rPr>
          <w:rFonts w:ascii="宋体" w:hAnsi="宋体" w:hint="eastAsia"/>
          <w:b/>
          <w:szCs w:val="21"/>
        </w:rPr>
        <w:t>（1）本基金通过私募基金管理人直接募集的，</w:t>
      </w:r>
      <w:r>
        <w:rPr>
          <w:rFonts w:ascii="宋体" w:hAnsi="宋体" w:hint="eastAsia"/>
          <w:b/>
          <w:bCs/>
          <w:szCs w:val="21"/>
        </w:rPr>
        <w:t>暂不设置募集机构的回访确认制度，</w:t>
      </w:r>
      <w:r>
        <w:rPr>
          <w:rFonts w:ascii="宋体" w:hAnsi="宋体" w:hint="eastAsia"/>
          <w:b/>
          <w:szCs w:val="21"/>
        </w:rPr>
        <w:t>与基金业协会合同指引规定不一致，该不一致可能给基金投资者带来一定的风险。</w:t>
      </w:r>
      <w:r>
        <w:rPr>
          <w:rFonts w:ascii="宋体" w:hAnsi="宋体" w:hint="eastAsia"/>
          <w:bCs/>
          <w:szCs w:val="21"/>
        </w:rPr>
        <w:t>在本基金存续期内，如基金业协会正式要求私募基金的募集机构实施《私募投资基金募集行为管理办法》第三十一条规定的回访制度的，则募集机构应当并有权根据《私募投资基金募集行为管理办法》的规定对届时新参与本基金的投资者实施回访制度。在此情况下，私募基金管理人有权根据回访制度的实施需要而变更本合同项下的相关条款，但应提前通知基金投资者，对基金投资者履行告知义务。</w:t>
      </w:r>
      <w:r>
        <w:rPr>
          <w:rFonts w:ascii="宋体" w:hAnsi="宋体" w:hint="eastAsia"/>
          <w:b/>
          <w:szCs w:val="21"/>
        </w:rPr>
        <w:t>私募基金管理人进一步说明，除非届时中国基金业协会要求回访制度追溯适用，否则届时实施的回访制度不适用于实施回访制度前已参与本基金的投资者。</w:t>
      </w:r>
    </w:p>
    <w:p>
      <w:pPr>
        <w:pStyle w:val="a-BR303871"/>
        <w:spacing w:line="360" w:lineRule="auto"/>
        <w:ind w:firstLine="420"/>
        <w:rPr>
          <w:rFonts w:ascii="宋体" w:hAnsi="宋体" w:cs="宋体"/>
          <w:szCs w:val="21"/>
        </w:rPr>
      </w:pPr>
      <w:r>
        <w:rPr>
          <w:rFonts w:ascii="宋体" w:hAnsi="宋体" w:cs="宋体" w:hint="eastAsia"/>
          <w:b/>
          <w:szCs w:val="21"/>
        </w:rPr>
        <w:t>（2）本基金通过</w:t>
      </w:r>
      <w:r>
        <w:rPr>
          <w:rFonts w:ascii="宋体" w:hAnsi="宋体" w:hint="eastAsia"/>
          <w:b/>
          <w:bCs/>
          <w:kern w:val="0"/>
          <w:szCs w:val="21"/>
        </w:rPr>
        <w:t>代理销售</w:t>
      </w:r>
      <w:r>
        <w:rPr>
          <w:rFonts w:ascii="宋体" w:hAnsi="宋体" w:cs="宋体" w:hint="eastAsia"/>
          <w:b/>
          <w:bCs/>
          <w:szCs w:val="21"/>
        </w:rPr>
        <w:t>机构募集的（如有），</w:t>
      </w:r>
      <w:r>
        <w:rPr>
          <w:rFonts w:ascii="宋体" w:hAnsi="宋体" w:hint="eastAsia"/>
          <w:b/>
          <w:bCs/>
          <w:kern w:val="0"/>
          <w:szCs w:val="21"/>
        </w:rPr>
        <w:t>代理销售</w:t>
      </w:r>
      <w:r>
        <w:rPr>
          <w:rFonts w:ascii="宋体" w:hAnsi="宋体" w:cs="宋体" w:hint="eastAsia"/>
          <w:b/>
          <w:bCs/>
          <w:szCs w:val="21"/>
        </w:rPr>
        <w:t>机构是否适用回访确认制度以</w:t>
      </w:r>
      <w:r>
        <w:rPr>
          <w:rFonts w:ascii="宋体" w:hAnsi="宋体" w:hint="eastAsia"/>
          <w:b/>
          <w:bCs/>
          <w:kern w:val="0"/>
          <w:szCs w:val="21"/>
        </w:rPr>
        <w:t>代理销售</w:t>
      </w:r>
      <w:r>
        <w:rPr>
          <w:rFonts w:ascii="宋体" w:hAnsi="宋体" w:cs="宋体" w:hint="eastAsia"/>
          <w:b/>
          <w:szCs w:val="21"/>
        </w:rPr>
        <w:t>机构规则为准。</w:t>
      </w:r>
    </w:p>
    <w:p>
      <w:pPr>
        <w:pStyle w:val="a-BR303871"/>
        <w:spacing w:line="360" w:lineRule="auto"/>
        <w:ind w:left="420"/>
        <w:rPr>
          <w:rFonts w:ascii="宋体" w:hAnsi="宋体"/>
          <w:szCs w:val="21"/>
        </w:rPr>
      </w:pPr>
      <w:r>
        <w:rPr>
          <w:rFonts w:ascii="宋体" w:hAnsi="宋体" w:hint="eastAsia"/>
          <w:szCs w:val="21"/>
        </w:rPr>
        <w:t>（五）募集期间资金的处理</w:t>
      </w:r>
    </w:p>
    <w:p>
      <w:pPr>
        <w:pStyle w:val="a-BR303871"/>
        <w:spacing w:line="360" w:lineRule="auto"/>
        <w:ind w:firstLine="420" w:firstLineChars="200"/>
        <w:rPr>
          <w:rFonts w:ascii="宋体" w:hAnsi="宋体"/>
          <w:szCs w:val="21"/>
        </w:rPr>
      </w:pPr>
      <w:r>
        <w:rPr>
          <w:rFonts w:ascii="宋体" w:hAnsi="宋体" w:hint="eastAsia"/>
          <w:szCs w:val="21"/>
        </w:rPr>
        <w:t>1、直销处理</w:t>
      </w:r>
    </w:p>
    <w:p>
      <w:pPr>
        <w:pStyle w:val="a-BR303871"/>
        <w:spacing w:line="360" w:lineRule="auto"/>
        <w:ind w:firstLine="420" w:firstLineChars="200"/>
        <w:rPr>
          <w:rFonts w:ascii="宋体" w:hAnsi="宋体"/>
          <w:szCs w:val="21"/>
        </w:rPr>
      </w:pPr>
      <w:r>
        <w:rPr>
          <w:rFonts w:ascii="宋体" w:hAnsi="宋体" w:hint="eastAsia"/>
          <w:szCs w:val="21"/>
        </w:rPr>
        <w:t>基金投资者通过私募基金管理人直销渠道购买基金的，应将款项划入如下募集账户：</w:t>
      </w:r>
    </w:p>
    <w:p>
      <w:pPr>
        <w:pStyle w:val="a-BR303871"/>
        <w:spacing w:line="360" w:lineRule="auto"/>
        <w:ind w:firstLine="630" w:firstLineChars="300"/>
        <w:rPr>
          <w:rFonts w:ascii="宋体" w:hAnsi="宋体"/>
          <w:szCs w:val="21"/>
        </w:rPr>
      </w:pPr>
      <w:r>
        <w:rPr>
          <w:rFonts w:ascii="宋体" w:hAnsi="宋体" w:hint="eastAsia"/>
          <w:szCs w:val="21"/>
        </w:rPr>
        <w:t>募集账户名称：【国泰君安运营外包户】</w:t>
      </w:r>
    </w:p>
    <w:p>
      <w:pPr>
        <w:pStyle w:val="a-BR303871"/>
        <w:spacing w:line="360" w:lineRule="auto"/>
        <w:ind w:firstLine="630" w:firstLineChars="300"/>
        <w:rPr>
          <w:rFonts w:ascii="宋体" w:hAnsi="宋体"/>
          <w:szCs w:val="21"/>
        </w:rPr>
      </w:pPr>
      <w:r>
        <w:rPr>
          <w:rFonts w:ascii="宋体" w:hAnsi="宋体" w:hint="eastAsia"/>
          <w:szCs w:val="21"/>
        </w:rPr>
        <w:t>募集账户账号：【</w:t>
      </w:r>
      <w:r>
        <w:rPr>
          <w:rFonts w:ascii="宋体" w:hAnsi="宋体"/>
          <w:szCs w:val="21"/>
        </w:rPr>
        <w:t>30200339015827</w:t>
      </w:r>
      <w:r>
        <w:rPr>
          <w:rFonts w:ascii="宋体" w:hAnsi="宋体" w:hint="eastAsia"/>
          <w:szCs w:val="21"/>
        </w:rPr>
        <w:t>】</w:t>
      </w:r>
    </w:p>
    <w:p>
      <w:pPr>
        <w:pStyle w:val="a-BR303871"/>
        <w:spacing w:line="360" w:lineRule="auto"/>
        <w:ind w:firstLine="630" w:firstLineChars="300"/>
        <w:rPr>
          <w:rFonts w:ascii="宋体" w:hAnsi="宋体"/>
          <w:szCs w:val="21"/>
        </w:rPr>
      </w:pPr>
      <w:r>
        <w:rPr>
          <w:rFonts w:ascii="宋体" w:hAnsi="宋体" w:hint="eastAsia"/>
          <w:szCs w:val="21"/>
        </w:rPr>
        <w:t>募集账户开户银行名称：【平安银行股份有限公司上海分行营业部】</w:t>
      </w:r>
    </w:p>
    <w:p>
      <w:pPr>
        <w:pStyle w:val="a-BR303871"/>
        <w:spacing w:line="360" w:lineRule="auto"/>
        <w:ind w:firstLine="630" w:firstLineChars="300"/>
        <w:rPr>
          <w:rFonts w:ascii="宋体" w:hAnsi="宋体"/>
          <w:szCs w:val="21"/>
        </w:rPr>
      </w:pPr>
      <w:r>
        <w:rPr>
          <w:rFonts w:ascii="宋体" w:hAnsi="宋体" w:hint="eastAsia"/>
          <w:szCs w:val="21"/>
        </w:rPr>
        <w:t>募集账户大额支付号：【</w:t>
      </w:r>
      <w:r>
        <w:rPr>
          <w:rFonts w:ascii="宋体" w:hAnsi="宋体"/>
          <w:szCs w:val="21"/>
        </w:rPr>
        <w:t>307290002014</w:t>
      </w:r>
      <w:r>
        <w:rPr>
          <w:rFonts w:ascii="宋体" w:hAnsi="宋体" w:hint="eastAsia"/>
          <w:szCs w:val="21"/>
        </w:rPr>
        <w:t>】</w:t>
      </w:r>
    </w:p>
    <w:p>
      <w:pPr>
        <w:pStyle w:val="a-BR303871"/>
        <w:spacing w:line="360" w:lineRule="auto"/>
        <w:ind w:firstLine="420" w:firstLineChars="200"/>
        <w:rPr>
          <w:rFonts w:ascii="宋体" w:hAnsi="宋体"/>
          <w:b/>
          <w:bCs/>
          <w:szCs w:val="21"/>
        </w:rPr>
      </w:pPr>
      <w:r>
        <w:rPr>
          <w:rFonts w:ascii="宋体" w:hAnsi="宋体" w:hint="eastAsia"/>
          <w:szCs w:val="21"/>
        </w:rPr>
        <w:t>在基金募集行为结束之前，募集资金任何人不能动用。</w:t>
      </w:r>
      <w:r>
        <w:rPr>
          <w:rFonts w:ascii="宋体" w:hAnsi="宋体" w:hint="eastAsia"/>
          <w:b/>
          <w:bCs/>
          <w:szCs w:val="21"/>
        </w:rPr>
        <w:t>对直销募集账户的监督由监督机构负责。全体基金份额持有人特别知悉且确认：根据监督机构与私募基金管理人签署的私募基金账户监督协议或者含有账户监督内容的其他协议（以下简称“监督协议”），在特定条件下监督机构有权单方面解除监督协议，自监督协议解除之日起不再担任本基金的募集账户监督机构；私募基金管理人应自行负责及时更换新的监督机构，并在上述事项发生之日起三个工作日内以本合同约定的方式之一告知全体基金份额持有人及私募基金托管人。</w:t>
      </w:r>
    </w:p>
    <w:p>
      <w:pPr>
        <w:pStyle w:val="a-BR303871"/>
        <w:spacing w:line="360" w:lineRule="auto"/>
        <w:ind w:firstLine="420" w:firstLineChars="200"/>
        <w:rPr>
          <w:rFonts w:ascii="宋体" w:hAnsi="宋体"/>
          <w:b/>
          <w:bCs/>
          <w:szCs w:val="21"/>
        </w:rPr>
      </w:pPr>
      <w:r>
        <w:rPr>
          <w:rFonts w:ascii="宋体" w:hAnsi="宋体" w:hint="eastAsia"/>
          <w:szCs w:val="21"/>
        </w:rPr>
        <w:t>基金投资者将委托资金划入本基金募集账户的汇出账户为投资者收益账户。募集账户是监督机构接受私募基金管理人委托代为提供基金服务的专用账户，并不代表监督机构接受投资者的认购或申购资金，也不表明监督机构对本基金的价值和收益作出实质性判断或保证，也不表明投资于本基金没有风险。在募集账户的使用过程中，除非有足够的证据证明是因监督机构的原因造成的损失外，私募基金管理人应就其自身操作不当等原因所造成的损失承担相关责任，监督机构对于私募基金管理人的投资运作不承担任何责任。</w:t>
      </w:r>
    </w:p>
    <w:p>
      <w:pPr>
        <w:pStyle w:val="a-BR303871"/>
        <w:spacing w:line="360" w:lineRule="auto"/>
        <w:ind w:firstLine="420" w:firstLineChars="200"/>
        <w:rPr>
          <w:rFonts w:ascii="宋体" w:hAnsi="宋体"/>
          <w:szCs w:val="21"/>
        </w:rPr>
      </w:pPr>
      <w:r>
        <w:rPr>
          <w:rFonts w:ascii="宋体" w:hAnsi="宋体" w:hint="eastAsia"/>
          <w:szCs w:val="21"/>
        </w:rPr>
        <w:t>2、代销处理（如有）</w:t>
      </w:r>
    </w:p>
    <w:p>
      <w:pPr>
        <w:pStyle w:val="a-BR303871"/>
        <w:spacing w:line="360" w:lineRule="auto"/>
        <w:ind w:firstLine="420" w:firstLineChars="200"/>
        <w:rPr>
          <w:rFonts w:ascii="宋体" w:hAnsi="宋体"/>
          <w:szCs w:val="21"/>
        </w:rPr>
      </w:pPr>
      <w:r>
        <w:rPr>
          <w:rFonts w:ascii="宋体" w:hAnsi="宋体" w:hint="eastAsia"/>
          <w:szCs w:val="21"/>
        </w:rPr>
        <w:t>基金投资者通过私募基金管理人委托的代理销售机构购买基金的，应将款项划入代理销售机构指定的募集专用账户，或由代理销售机构根据投资者的购买指令从投资者账户中进行扣划。</w:t>
      </w:r>
    </w:p>
    <w:p>
      <w:pPr>
        <w:pStyle w:val="a7-BR648578"/>
        <w:ind w:firstLine="420"/>
        <w:rPr>
          <w:szCs w:val="21"/>
        </w:rPr>
      </w:pPr>
      <w:bookmarkStart w:id="21" w:name="_Hlt211344873"/>
      <w:bookmarkEnd w:id="21"/>
      <w:bookmarkStart w:id="22" w:name="_Toc256000006"/>
      <w:r>
        <w:rPr>
          <w:rFonts w:hint="eastAsia"/>
          <w:sz w:val="21"/>
          <w:szCs w:val="21"/>
        </w:rPr>
        <w:t>六、私募基金的成立与备案</w:t>
      </w:r>
      <w:bookmarkEnd w:id="22"/>
    </w:p>
    <w:p>
      <w:pPr>
        <w:pStyle w:val="a-BR648578"/>
        <w:spacing w:line="360" w:lineRule="auto"/>
        <w:ind w:left="420"/>
        <w:rPr>
          <w:rFonts w:ascii="宋体" w:hAnsi="宋体"/>
          <w:szCs w:val="21"/>
        </w:rPr>
      </w:pPr>
      <w:r>
        <w:rPr>
          <w:rFonts w:ascii="宋体" w:hAnsi="宋体" w:hint="eastAsia"/>
          <w:szCs w:val="21"/>
        </w:rPr>
        <w:t>（一）私募基金的成立</w:t>
      </w:r>
    </w:p>
    <w:p>
      <w:pPr>
        <w:pStyle w:val="a-BR648578"/>
        <w:spacing w:line="360" w:lineRule="auto"/>
        <w:ind w:left="420"/>
        <w:rPr>
          <w:rFonts w:ascii="宋体" w:hAnsi="宋体"/>
          <w:szCs w:val="21"/>
        </w:rPr>
      </w:pPr>
      <w:r>
        <w:rPr>
          <w:rFonts w:ascii="宋体" w:hAnsi="宋体"/>
          <w:szCs w:val="21"/>
        </w:rPr>
        <w:t>1、</w:t>
      </w:r>
      <w:r>
        <w:rPr>
          <w:rFonts w:ascii="宋体" w:hAnsi="宋体" w:hint="eastAsia"/>
          <w:szCs w:val="21"/>
        </w:rPr>
        <w:t>私募基金合同的签署方式</w:t>
      </w:r>
    </w:p>
    <w:p>
      <w:pPr>
        <w:pStyle w:val="a-BR648578"/>
        <w:spacing w:line="360" w:lineRule="auto"/>
        <w:ind w:firstLine="420" w:firstLineChars="200"/>
        <w:rPr>
          <w:rFonts w:ascii="宋体" w:hAnsi="宋体"/>
          <w:szCs w:val="21"/>
        </w:rPr>
      </w:pPr>
      <w:r>
        <w:rPr>
          <w:rFonts w:ascii="宋体" w:hAnsi="宋体" w:hint="eastAsia"/>
          <w:szCs w:val="21"/>
        </w:rPr>
        <w:t>本合同的签署可采用纸质</w:t>
      </w:r>
      <w:r>
        <w:rPr>
          <w:rFonts w:ascii="宋体" w:hAnsi="宋体"/>
          <w:szCs w:val="21"/>
        </w:rPr>
        <w:t>或电子签名</w:t>
      </w:r>
      <w:r>
        <w:rPr>
          <w:rFonts w:ascii="宋体" w:hAnsi="宋体" w:hint="eastAsia"/>
          <w:szCs w:val="21"/>
        </w:rPr>
        <w:t>方式。</w:t>
      </w:r>
    </w:p>
    <w:p>
      <w:pPr>
        <w:pStyle w:val="a-BR648578"/>
        <w:spacing w:line="360" w:lineRule="auto"/>
        <w:ind w:left="420"/>
        <w:rPr>
          <w:rFonts w:ascii="宋体" w:hAnsi="宋体"/>
          <w:szCs w:val="21"/>
        </w:rPr>
      </w:pPr>
      <w:r>
        <w:rPr>
          <w:rFonts w:ascii="宋体" w:hAnsi="宋体"/>
          <w:szCs w:val="21"/>
        </w:rPr>
        <w:t>2、私募基金的成立的条件</w:t>
      </w:r>
    </w:p>
    <w:p>
      <w:pPr>
        <w:pStyle w:val="a-BR64857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本基金募集期结束后，私募基金管理人应确认认购结果，并将经确认的全部募集资金划入基金托管资金账户。</w:t>
      </w:r>
    </w:p>
    <w:p>
      <w:pPr>
        <w:pStyle w:val="a-BR648578"/>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私募基金托管人核实资金到账情况，并向私募基金管理人出具资金到账通知书，基金成立日即为资金到账通知书中载明的资金划入托管户的日期。</w:t>
      </w:r>
    </w:p>
    <w:p>
      <w:pPr>
        <w:pStyle w:val="a-BR648578"/>
        <w:spacing w:line="360" w:lineRule="auto"/>
        <w:ind w:firstLine="420" w:firstLineChars="200"/>
        <w:rPr>
          <w:rFonts w:ascii="宋体" w:hAnsi="宋体"/>
          <w:szCs w:val="21"/>
        </w:rPr>
      </w:pPr>
      <w:r>
        <w:rPr>
          <w:rFonts w:ascii="宋体" w:hAnsi="宋体"/>
          <w:szCs w:val="21"/>
        </w:rPr>
        <w:t>3、</w:t>
      </w:r>
      <w:r>
        <w:rPr>
          <w:rFonts w:ascii="宋体" w:hAnsi="宋体" w:hint="eastAsia"/>
          <w:szCs w:val="21"/>
        </w:rPr>
        <w:t>私募基金托管人的监督职责自基金募集期结束、基金成立后开始。私募基金管理人应于基金成立后通知全体基金份额持有人。</w:t>
      </w:r>
    </w:p>
    <w:p>
      <w:pPr>
        <w:pStyle w:val="a-BR648578"/>
        <w:spacing w:line="360" w:lineRule="auto"/>
        <w:ind w:firstLine="420" w:firstLineChars="200"/>
        <w:rPr>
          <w:rFonts w:ascii="宋体" w:hAnsi="宋体"/>
          <w:szCs w:val="21"/>
        </w:rPr>
      </w:pPr>
      <w:r>
        <w:rPr>
          <w:rFonts w:ascii="宋体" w:hAnsi="宋体" w:hint="eastAsia"/>
          <w:szCs w:val="21"/>
        </w:rPr>
        <w:t>（二）基金募集失败的处理方式</w:t>
      </w:r>
    </w:p>
    <w:p>
      <w:pPr>
        <w:pStyle w:val="a-BR648578"/>
        <w:spacing w:line="360" w:lineRule="auto"/>
        <w:ind w:firstLine="420" w:firstLineChars="200"/>
        <w:rPr>
          <w:rFonts w:ascii="宋体" w:hAnsi="宋体"/>
          <w:szCs w:val="21"/>
        </w:rPr>
      </w:pPr>
      <w:r>
        <w:rPr>
          <w:rFonts w:ascii="宋体" w:hAnsi="宋体" w:hint="eastAsia"/>
          <w:szCs w:val="21"/>
        </w:rPr>
        <w:t>如果募集期限届满，本基金不能成立的，私募基金管理人应当承担下列责任：</w:t>
      </w:r>
    </w:p>
    <w:p>
      <w:pPr>
        <w:pStyle w:val="a-BR648578"/>
        <w:spacing w:line="360" w:lineRule="auto"/>
        <w:ind w:firstLine="420" w:firstLineChars="200"/>
        <w:rPr>
          <w:rFonts w:ascii="宋体" w:hAnsi="宋体"/>
          <w:szCs w:val="21"/>
        </w:rPr>
      </w:pPr>
      <w:r>
        <w:rPr>
          <w:rFonts w:ascii="宋体" w:hAnsi="宋体"/>
          <w:szCs w:val="21"/>
        </w:rPr>
        <w:t>1</w:t>
      </w:r>
      <w:r>
        <w:rPr>
          <w:rFonts w:ascii="宋体" w:hAnsi="宋体" w:hint="eastAsia"/>
          <w:szCs w:val="21"/>
        </w:rPr>
        <w:t>、以其固有财产承担因募集行为而产生的债务和费用；</w:t>
      </w:r>
    </w:p>
    <w:p>
      <w:pPr>
        <w:pStyle w:val="a-BR648578"/>
        <w:spacing w:line="360" w:lineRule="auto"/>
        <w:ind w:firstLine="420" w:firstLineChars="200"/>
        <w:rPr>
          <w:rFonts w:ascii="宋体" w:hAnsi="宋体"/>
          <w:szCs w:val="21"/>
        </w:rPr>
      </w:pPr>
      <w:r>
        <w:rPr>
          <w:rFonts w:ascii="宋体" w:hAnsi="宋体"/>
          <w:szCs w:val="21"/>
        </w:rPr>
        <w:t>2</w:t>
      </w:r>
      <w:r>
        <w:rPr>
          <w:rFonts w:ascii="宋体" w:hAnsi="宋体" w:hint="eastAsia"/>
          <w:szCs w:val="21"/>
        </w:rPr>
        <w:t>、在基金募集期限届满后</w:t>
      </w:r>
      <w:r>
        <w:rPr>
          <w:rFonts w:ascii="宋体" w:hAnsi="宋体"/>
          <w:szCs w:val="21"/>
        </w:rPr>
        <w:t>30</w:t>
      </w:r>
      <w:r>
        <w:rPr>
          <w:rFonts w:ascii="宋体" w:hAnsi="宋体" w:hint="eastAsia"/>
          <w:szCs w:val="21"/>
        </w:rPr>
        <w:t>日内返还投资者已缴纳的款项，并加计银行同期活期存款利息，计息天数按每年360天计算，以份额登记机构的记录为准；</w:t>
      </w:r>
    </w:p>
    <w:p>
      <w:pPr>
        <w:pStyle w:val="a-BR648578"/>
        <w:spacing w:line="360" w:lineRule="auto"/>
        <w:ind w:firstLine="420" w:firstLineChars="200"/>
        <w:rPr>
          <w:rFonts w:ascii="宋体" w:hAnsi="宋体"/>
          <w:szCs w:val="21"/>
        </w:rPr>
      </w:pPr>
      <w:r>
        <w:rPr>
          <w:rFonts w:ascii="宋体" w:hAnsi="宋体"/>
          <w:szCs w:val="21"/>
        </w:rPr>
        <w:t>3</w:t>
      </w:r>
      <w:r>
        <w:rPr>
          <w:rFonts w:ascii="宋体" w:hAnsi="宋体" w:hint="eastAsia"/>
          <w:szCs w:val="21"/>
        </w:rPr>
        <w:t>、将私募基金托管人已盖章的基金合同及其他相关协议在基金募集期限届满后</w:t>
      </w:r>
      <w:r>
        <w:rPr>
          <w:rFonts w:ascii="宋体" w:hAnsi="宋体"/>
          <w:szCs w:val="21"/>
        </w:rPr>
        <w:t>10</w:t>
      </w:r>
      <w:r>
        <w:rPr>
          <w:rFonts w:ascii="宋体" w:hAnsi="宋体" w:hint="eastAsia"/>
          <w:szCs w:val="21"/>
        </w:rPr>
        <w:t>日内如数原件返还私募基金托管人。未能如数返还的，应向私募基金托管人书面说明原因、去向并加盖公章。</w:t>
      </w:r>
    </w:p>
    <w:p>
      <w:pPr>
        <w:pStyle w:val="a-BR648578"/>
        <w:spacing w:line="360" w:lineRule="auto"/>
        <w:ind w:firstLine="420" w:firstLineChars="200"/>
        <w:rPr>
          <w:rFonts w:ascii="宋体" w:hAnsi="宋体"/>
          <w:szCs w:val="21"/>
        </w:rPr>
      </w:pPr>
      <w:r>
        <w:rPr>
          <w:rFonts w:ascii="宋体" w:hAnsi="宋体" w:hint="eastAsia"/>
          <w:szCs w:val="21"/>
        </w:rPr>
        <w:t>（三）基金的备案</w:t>
      </w:r>
    </w:p>
    <w:p>
      <w:pPr>
        <w:pStyle w:val="a-BR648578"/>
        <w:spacing w:line="360" w:lineRule="auto"/>
        <w:ind w:firstLine="420" w:firstLineChars="200"/>
        <w:rPr>
          <w:rFonts w:ascii="宋体" w:hAnsi="宋体"/>
          <w:szCs w:val="21"/>
        </w:rPr>
      </w:pPr>
      <w:r>
        <w:rPr>
          <w:rFonts w:ascii="宋体" w:hAnsi="宋体" w:hint="eastAsia"/>
          <w:szCs w:val="21"/>
        </w:rPr>
        <w:t>私募基金管理人在基金成立后</w:t>
      </w:r>
      <w:r>
        <w:rPr>
          <w:rFonts w:ascii="宋体" w:hAnsi="宋体"/>
          <w:szCs w:val="21"/>
        </w:rPr>
        <w:t>20</w:t>
      </w:r>
      <w:r>
        <w:rPr>
          <w:rFonts w:ascii="宋体" w:hAnsi="宋体" w:hint="eastAsia"/>
          <w:szCs w:val="21"/>
        </w:rPr>
        <w:t>个工作日内，向基金业协会办理基金备案手续。私募基金投资者可在本基金完成备案之后通过中国基金业协会网站查询本基金公示信息。私募基金的备案由私募基金管理人负责，若私募基金管理人未按照中国基金业协会规定履行基金备案手续，私募基金托管人不承担相关责任。</w:t>
      </w:r>
    </w:p>
    <w:p>
      <w:pPr>
        <w:pStyle w:val="a-BR648578"/>
        <w:spacing w:line="360" w:lineRule="auto"/>
        <w:ind w:firstLine="420" w:firstLineChars="200"/>
        <w:rPr>
          <w:rFonts w:ascii="宋体" w:hAnsi="宋体"/>
          <w:szCs w:val="21"/>
        </w:rPr>
      </w:pPr>
      <w:r>
        <w:rPr>
          <w:rFonts w:ascii="宋体" w:hAnsi="宋体" w:hint="eastAsia"/>
          <w:szCs w:val="21"/>
        </w:rPr>
        <w:t>（四）基金备案失败的处理方式</w:t>
      </w:r>
    </w:p>
    <w:p>
      <w:pPr>
        <w:pStyle w:val="a-BR648578"/>
        <w:spacing w:line="360" w:lineRule="auto"/>
        <w:ind w:firstLine="420" w:firstLineChars="200"/>
        <w:rPr>
          <w:rFonts w:ascii="宋体" w:hAnsi="宋体"/>
          <w:szCs w:val="21"/>
        </w:rPr>
      </w:pPr>
      <w:r>
        <w:rPr>
          <w:rFonts w:ascii="宋体" w:hAnsi="宋体" w:hint="eastAsia"/>
          <w:szCs w:val="21"/>
        </w:rPr>
        <w:t>如果基金备案失败，私募基金管理人经与私募基金托管人协商一致，有权提前终止本基金，并将私募基金托管人已盖章的基金合同及其他相关协议在基金提前终止后</w:t>
      </w:r>
      <w:r>
        <w:rPr>
          <w:rFonts w:ascii="宋体" w:hAnsi="宋体"/>
          <w:szCs w:val="21"/>
        </w:rPr>
        <w:t>10</w:t>
      </w:r>
      <w:r>
        <w:rPr>
          <w:rFonts w:ascii="宋体" w:hAnsi="宋体" w:hint="eastAsia"/>
          <w:szCs w:val="21"/>
        </w:rPr>
        <w:t>日内如数原件返还私募基金托管人。未能如数返还的，应向私募基金托管人书面说明原因、去向并加盖公章。基金终止后，按本合同“私募基金的清算”章节的约定进行清算。</w:t>
      </w:r>
    </w:p>
    <w:p>
      <w:pPr>
        <w:pStyle w:val="af-BR377247"/>
        <w:rPr>
          <w:sz w:val="21"/>
          <w:szCs w:val="21"/>
        </w:rPr>
      </w:pPr>
      <w:bookmarkStart w:id="23" w:name="_Toc256000007"/>
      <w:r>
        <w:rPr>
          <w:rFonts w:hint="eastAsia"/>
          <w:sz w:val="21"/>
          <w:szCs w:val="21"/>
        </w:rPr>
        <w:t>七、私募基金的申购、赎回和转让</w:t>
      </w:r>
      <w:bookmarkEnd w:id="23"/>
    </w:p>
    <w:p>
      <w:pPr>
        <w:pStyle w:val="a-BR377247"/>
        <w:spacing w:line="360" w:lineRule="auto"/>
        <w:ind w:firstLine="420" w:firstLineChars="200"/>
        <w:rPr>
          <w:rFonts w:ascii="宋体" w:hAnsi="宋体"/>
          <w:szCs w:val="21"/>
        </w:rPr>
      </w:pPr>
      <w:r>
        <w:rPr>
          <w:rFonts w:ascii="宋体" w:hAnsi="宋体" w:hint="eastAsia"/>
          <w:szCs w:val="21"/>
        </w:rPr>
        <w:t>（一）申购和赎回的场所、时间</w:t>
      </w:r>
    </w:p>
    <w:p>
      <w:pPr>
        <w:pStyle w:val="a-BR377247"/>
        <w:spacing w:line="360" w:lineRule="auto"/>
        <w:ind w:firstLine="420" w:firstLineChars="200"/>
        <w:rPr>
          <w:rFonts w:ascii="宋体" w:hAnsi="宋体"/>
          <w:szCs w:val="21"/>
        </w:rPr>
      </w:pPr>
      <w:r>
        <w:rPr>
          <w:rFonts w:ascii="宋体" w:hAnsi="宋体"/>
          <w:szCs w:val="21"/>
        </w:rPr>
        <w:t>1、申购和赎回的场所</w:t>
      </w:r>
    </w:p>
    <w:p>
      <w:pPr>
        <w:pStyle w:val="a-BR377247"/>
        <w:spacing w:line="360" w:lineRule="auto"/>
        <w:ind w:firstLine="420" w:firstLineChars="200"/>
        <w:rPr>
          <w:rFonts w:ascii="宋体" w:hAnsi="宋体"/>
          <w:szCs w:val="21"/>
        </w:rPr>
      </w:pPr>
      <w:r>
        <w:rPr>
          <w:rFonts w:ascii="宋体" w:hAnsi="宋体"/>
          <w:szCs w:val="21"/>
        </w:rPr>
        <w:t>基金</w:t>
      </w:r>
      <w:r>
        <w:rPr>
          <w:rFonts w:ascii="宋体" w:hAnsi="宋体" w:hint="eastAsia"/>
          <w:szCs w:val="21"/>
        </w:rPr>
        <w:t>投资者</w:t>
      </w:r>
      <w:r>
        <w:rPr>
          <w:rFonts w:ascii="宋体" w:hAnsi="宋体"/>
          <w:szCs w:val="21"/>
        </w:rPr>
        <w:t>可以在</w:t>
      </w:r>
      <w:r>
        <w:rPr>
          <w:rFonts w:ascii="宋体" w:hAnsi="宋体" w:hint="eastAsia"/>
          <w:szCs w:val="21"/>
        </w:rPr>
        <w:t>募集</w:t>
      </w:r>
      <w:r>
        <w:rPr>
          <w:rFonts w:ascii="宋体" w:hAnsi="宋体"/>
          <w:szCs w:val="21"/>
        </w:rPr>
        <w:t>机构的营业场所或者按照</w:t>
      </w:r>
      <w:r>
        <w:rPr>
          <w:rFonts w:ascii="宋体" w:hAnsi="宋体" w:hint="eastAsia"/>
          <w:szCs w:val="21"/>
        </w:rPr>
        <w:t>募集</w:t>
      </w:r>
      <w:r>
        <w:rPr>
          <w:rFonts w:ascii="宋体" w:hAnsi="宋体"/>
          <w:szCs w:val="21"/>
        </w:rPr>
        <w:t>机构提供的其他方式办理基金的申购与赎回。私募基金管理人可根据情况变更或增减</w:t>
      </w:r>
      <w:r>
        <w:rPr>
          <w:rFonts w:ascii="宋体" w:hAnsi="宋体" w:hint="eastAsia"/>
          <w:szCs w:val="21"/>
        </w:rPr>
        <w:t>代销</w:t>
      </w:r>
      <w:r>
        <w:rPr>
          <w:rFonts w:ascii="宋体" w:hAnsi="宋体"/>
          <w:szCs w:val="21"/>
        </w:rPr>
        <w:t>机构</w:t>
      </w:r>
      <w:r>
        <w:rPr>
          <w:rFonts w:ascii="宋体" w:hAnsi="宋体" w:hint="eastAsia"/>
          <w:szCs w:val="21"/>
        </w:rPr>
        <w:t>，但应当提前通知份额登记机构</w:t>
      </w:r>
      <w:r>
        <w:rPr>
          <w:rFonts w:ascii="宋体" w:hAnsi="宋体"/>
          <w:szCs w:val="21"/>
        </w:rPr>
        <w:t>。</w:t>
      </w:r>
    </w:p>
    <w:p>
      <w:pPr>
        <w:pStyle w:val="a-BR377247"/>
        <w:spacing w:line="360" w:lineRule="auto"/>
        <w:ind w:firstLine="420" w:firstLineChars="200"/>
        <w:rPr>
          <w:rFonts w:ascii="宋体" w:hAnsi="宋体"/>
          <w:szCs w:val="21"/>
        </w:rPr>
      </w:pPr>
      <w:r>
        <w:rPr>
          <w:rFonts w:ascii="宋体" w:hAnsi="宋体"/>
          <w:szCs w:val="21"/>
        </w:rPr>
        <w:t>2、申购和赎回的开放日</w:t>
      </w:r>
      <w:r>
        <w:rPr>
          <w:rFonts w:ascii="宋体" w:hAnsi="宋体" w:hint="eastAsia"/>
          <w:szCs w:val="21"/>
        </w:rPr>
        <w:t>（以下简称为</w:t>
      </w:r>
      <w:r>
        <w:rPr>
          <w:rFonts w:ascii="宋体" w:hAnsi="宋体"/>
          <w:szCs w:val="21"/>
        </w:rPr>
        <w:t>T日或开放日）及时间</w:t>
      </w:r>
    </w:p>
    <w:tbl>
      <w:tblPr>
        <w:tblStyle w:val="a6-BR377247"/>
        <w:tblW w:w="5000" w:type="pct"/>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
      <w:tblGrid>
        <w:gridCol w:w="2403"/>
        <w:gridCol w:w="5887"/>
      </w:tblGrid>
      <w:tr>
        <w:tblPrEx>
          <w:tblW w:w="5000" w:type="pct"/>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108" w:type="dxa"/>
            <w:bottom w:w="0" w:type="dxa"/>
            <w:right w:w="108" w:type="dxa"/>
          </w:tblCellMar>
        </w:tblPrEx>
        <w:tc>
          <w:tcPr>
            <w:tcW w:w="2403" w:type="dxa"/>
            <w:tcBorders>
              <w:top w:val="single" w:sz="6" w:space="0" w:color="auto"/>
              <w:left w:val="single" w:sz="6" w:space="0" w:color="auto"/>
              <w:bottom w:val="single" w:sz="6" w:space="0" w:color="auto"/>
              <w:right w:val="single" w:sz="6" w:space="0" w:color="auto"/>
            </w:tcBorders>
          </w:tcPr>
          <w:p>
            <w:pPr>
              <w:pStyle w:val="a-BR377247"/>
              <w:jc w:val="center"/>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封闭期</w:t>
            </w:r>
          </w:p>
        </w:tc>
        <w:tc>
          <w:tcPr>
            <w:tcW w:w="5887" w:type="dxa"/>
            <w:tcBorders>
              <w:top w:val="single" w:sz="6" w:space="0" w:color="auto"/>
              <w:left w:val="single" w:sz="6" w:space="0" w:color="auto"/>
              <w:bottom w:val="single" w:sz="6" w:space="0" w:color="auto"/>
              <w:right w:val="single" w:sz="6" w:space="0" w:color="auto"/>
            </w:tcBorders>
          </w:tcPr>
          <w:p>
            <w:pPr>
              <w:pStyle w:val="a-BR377247"/>
              <w:jc w:val="left"/>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不设置</w:t>
            </w:r>
          </w:p>
        </w:tc>
      </w:tr>
      <w:tr>
        <w:tblPrEx>
          <w:tblW w:w="5000" w:type="pct"/>
          <w:tblInd w:w="0" w:type="dxa"/>
          <w:tblCellMar>
            <w:top w:w="0" w:type="dxa"/>
            <w:left w:w="108" w:type="dxa"/>
            <w:bottom w:w="0" w:type="dxa"/>
            <w:right w:w="108" w:type="dxa"/>
          </w:tblCellMar>
        </w:tblPrEx>
        <w:tc>
          <w:tcPr>
            <w:tcW w:w="2403" w:type="dxa"/>
            <w:tcBorders>
              <w:top w:val="single" w:sz="6" w:space="0" w:color="auto"/>
              <w:left w:val="single" w:sz="6" w:space="0" w:color="auto"/>
              <w:bottom w:val="single" w:sz="6" w:space="0" w:color="auto"/>
              <w:right w:val="single" w:sz="6" w:space="0" w:color="auto"/>
            </w:tcBorders>
            <w:vAlign w:val="center"/>
          </w:tcPr>
          <w:p>
            <w:pPr>
              <w:pStyle w:val="a-BR377247"/>
              <w:jc w:val="center"/>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固定开放日</w:t>
            </w:r>
          </w:p>
        </w:tc>
        <w:tc>
          <w:tcPr>
            <w:tcW w:w="5887" w:type="dxa"/>
            <w:tcBorders>
              <w:top w:val="single" w:sz="6" w:space="0" w:color="auto"/>
              <w:left w:val="single" w:sz="6" w:space="0" w:color="auto"/>
              <w:bottom w:val="single" w:sz="6" w:space="0" w:color="auto"/>
              <w:right w:val="single" w:sz="6" w:space="0" w:color="auto"/>
            </w:tcBorders>
          </w:tcPr>
          <w:p>
            <w:pPr>
              <w:pStyle w:val="a-BR377247"/>
              <w:spacing w:line="360" w:lineRule="auto"/>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基金成立之后的每周第3个交易日。</w:t>
            </w:r>
          </w:p>
        </w:tc>
      </w:tr>
      <w:tr>
        <w:tblPrEx>
          <w:tblW w:w="5000" w:type="pct"/>
          <w:tblInd w:w="0" w:type="dxa"/>
          <w:tblCellMar>
            <w:top w:w="0" w:type="dxa"/>
            <w:left w:w="108" w:type="dxa"/>
            <w:bottom w:w="0" w:type="dxa"/>
            <w:right w:w="108" w:type="dxa"/>
          </w:tblCellMar>
        </w:tblPrEx>
        <w:tc>
          <w:tcPr>
            <w:tcW w:w="2403" w:type="dxa"/>
            <w:tcBorders>
              <w:top w:val="single" w:sz="6" w:space="0" w:color="auto"/>
              <w:left w:val="single" w:sz="6" w:space="0" w:color="auto"/>
              <w:bottom w:val="single" w:sz="6" w:space="0" w:color="auto"/>
              <w:right w:val="single" w:sz="6" w:space="0" w:color="auto"/>
            </w:tcBorders>
          </w:tcPr>
          <w:p>
            <w:pPr>
              <w:pStyle w:val="a-BR377247"/>
              <w:jc w:val="center"/>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份额锁定期</w:t>
            </w:r>
          </w:p>
        </w:tc>
        <w:tc>
          <w:tcPr>
            <w:tcW w:w="5887" w:type="dxa"/>
            <w:tcBorders>
              <w:top w:val="single" w:sz="6" w:space="0" w:color="auto"/>
              <w:left w:val="single" w:sz="6" w:space="0" w:color="auto"/>
              <w:bottom w:val="single" w:sz="6" w:space="0" w:color="auto"/>
              <w:right w:val="single" w:sz="6" w:space="0" w:color="auto"/>
            </w:tcBorders>
          </w:tcPr>
          <w:p>
            <w:pPr>
              <w:pStyle w:val="a-BR377247"/>
              <w:spacing w:line="360" w:lineRule="auto"/>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持有期低于180天的基金份额经管理人同意后可以赎回，未经管理人同意不得赎回。</w:t>
            </w:r>
          </w:p>
        </w:tc>
      </w:tr>
      <w:tr>
        <w:tblPrEx>
          <w:tblW w:w="5000" w:type="pct"/>
          <w:tblInd w:w="0" w:type="dxa"/>
          <w:tblCellMar>
            <w:top w:w="0" w:type="dxa"/>
            <w:left w:w="108" w:type="dxa"/>
            <w:bottom w:w="0" w:type="dxa"/>
            <w:right w:w="108" w:type="dxa"/>
          </w:tblCellMar>
        </w:tblPrEx>
        <w:tc>
          <w:tcPr>
            <w:tcW w:w="2403" w:type="dxa"/>
            <w:tcBorders>
              <w:top w:val="single" w:sz="6" w:space="0" w:color="auto"/>
              <w:left w:val="single" w:sz="6" w:space="0" w:color="auto"/>
              <w:bottom w:val="single" w:sz="6" w:space="0" w:color="auto"/>
              <w:right w:val="single" w:sz="6" w:space="0" w:color="auto"/>
            </w:tcBorders>
          </w:tcPr>
          <w:p>
            <w:pPr>
              <w:pStyle w:val="a-BR377247"/>
              <w:jc w:val="center"/>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临时开放日</w:t>
            </w:r>
          </w:p>
        </w:tc>
        <w:tc>
          <w:tcPr>
            <w:tcW w:w="5887" w:type="dxa"/>
            <w:tcBorders>
              <w:top w:val="single" w:sz="6" w:space="0" w:color="auto"/>
              <w:left w:val="single" w:sz="6" w:space="0" w:color="auto"/>
              <w:bottom w:val="single" w:sz="6" w:space="0" w:color="auto"/>
              <w:right w:val="single" w:sz="6" w:space="0" w:color="auto"/>
            </w:tcBorders>
          </w:tcPr>
          <w:p>
            <w:pPr>
              <w:pStyle w:val="a-BR377247"/>
              <w:spacing w:line="360" w:lineRule="auto"/>
              <w:rPr>
                <w:rFonts w:ascii="宋体" w:hAnsi="宋体"/>
                <w:color w:val="000000" w:themeColor="text1"/>
                <w:szCs w:val="21"/>
                <w14:textFill>
                  <w14:solidFill>
                    <w14:schemeClr w14:val="tx1"/>
                  </w14:solidFill>
                </w14:textFill>
              </w:rPr>
            </w:pPr>
            <w:r>
              <w:rPr>
                <w:rFonts w:ascii="宋体" w:hAnsi="宋体" w:hint="eastAsia"/>
                <w:color w:val="000000" w:themeColor="text1"/>
                <w:szCs w:val="21"/>
                <w14:textFill>
                  <w14:solidFill>
                    <w14:schemeClr w14:val="tx1"/>
                  </w14:solidFill>
                </w14:textFill>
              </w:rPr>
              <w:t xml:space="preserve">    除本合同另有约定外，私募基金管理人在下列情形下可根据基金运作需求增设临时开放日，具体以私募基金管理人通知为准：</w:t>
            </w:r>
            <w:r>
              <w:rPr>
                <w:rFonts w:ascii="宋体" w:hAnsi="宋体" w:hint="eastAsia"/>
                <w:color w:val="000000" w:themeColor="text1"/>
                <w:szCs w:val="21"/>
                <w14:textFill>
                  <w14:solidFill>
                    <w14:schemeClr w14:val="tx1"/>
                  </w14:solidFill>
                </w14:textFill>
              </w:rPr>
              <w:br/>
            </w:r>
            <w:r>
              <w:rPr>
                <w:rFonts w:ascii="宋体" w:hAnsi="宋体" w:hint="eastAsia"/>
                <w:color w:val="000000" w:themeColor="text1"/>
                <w:szCs w:val="21"/>
                <w14:textFill>
                  <w14:solidFill>
                    <w14:schemeClr w14:val="tx1"/>
                  </w14:solidFill>
                </w14:textFill>
              </w:rPr>
              <w:t xml:space="preserve">    1、本合同发生变更，私募基金管理人为保障份额持有人利益或为本基金运作需要，认为有必要临时开放的；</w:t>
            </w:r>
            <w:r>
              <w:rPr>
                <w:rFonts w:ascii="宋体" w:hAnsi="宋体" w:hint="eastAsia"/>
                <w:color w:val="000000" w:themeColor="text1"/>
                <w:szCs w:val="21"/>
                <w14:textFill>
                  <w14:solidFill>
                    <w14:schemeClr w14:val="tx1"/>
                  </w14:solidFill>
                </w14:textFill>
              </w:rPr>
              <w:br/>
            </w:r>
            <w:r>
              <w:rPr>
                <w:rFonts w:ascii="宋体" w:hAnsi="宋体" w:hint="eastAsia"/>
                <w:color w:val="000000" w:themeColor="text1"/>
                <w:szCs w:val="21"/>
                <w14:textFill>
                  <w14:solidFill>
                    <w14:schemeClr w14:val="tx1"/>
                  </w14:solidFill>
                </w14:textFill>
              </w:rPr>
              <w:t xml:space="preserve">    2、私募基金管理人根据基金投资者申请或本基金的实际运作情况，在对全体基金份额持有人利益无实质不利影响的前提下，认为有必要设置临时开放日的；</w:t>
            </w:r>
            <w:r>
              <w:rPr>
                <w:rFonts w:ascii="宋体" w:hAnsi="宋体" w:hint="eastAsia"/>
                <w:color w:val="000000" w:themeColor="text1"/>
                <w:szCs w:val="21"/>
                <w14:textFill>
                  <w14:solidFill>
                    <w14:schemeClr w14:val="tx1"/>
                  </w14:solidFill>
                </w14:textFill>
              </w:rPr>
              <w:br/>
            </w:r>
            <w:r>
              <w:rPr>
                <w:rFonts w:ascii="宋体" w:hAnsi="宋体" w:hint="eastAsia"/>
                <w:color w:val="000000" w:themeColor="text1"/>
                <w:szCs w:val="21"/>
                <w14:textFill>
                  <w14:solidFill>
                    <w14:schemeClr w14:val="tx1"/>
                  </w14:solidFill>
                </w14:textFill>
              </w:rPr>
              <w:t xml:space="preserve">    3、法律法规规定和本合同约定的其他情形。</w:t>
            </w:r>
            <w:r>
              <w:rPr>
                <w:rFonts w:ascii="宋体" w:hAnsi="宋体" w:hint="eastAsia"/>
                <w:color w:val="000000" w:themeColor="text1"/>
                <w:szCs w:val="21"/>
                <w14:textFill>
                  <w14:solidFill>
                    <w14:schemeClr w14:val="tx1"/>
                  </w14:solidFill>
                </w14:textFill>
              </w:rPr>
              <w:br/>
            </w:r>
            <w:r>
              <w:rPr>
                <w:rFonts w:ascii="宋体" w:hAnsi="宋体" w:hint="eastAsia"/>
                <w:color w:val="000000" w:themeColor="text1"/>
                <w:szCs w:val="21"/>
                <w14:textFill>
                  <w14:solidFill>
                    <w14:schemeClr w14:val="tx1"/>
                  </w14:solidFill>
                </w14:textFill>
              </w:rPr>
              <w:t xml:space="preserve">    除本合同另有约定外，临时开放日仅允许赎回。临时开放日可能存在计提业绩报酬的情况（如涉及）。 </w:t>
            </w:r>
            <w:r>
              <w:rPr>
                <w:rFonts w:ascii="宋体" w:hAnsi="宋体" w:hint="eastAsia"/>
                <w:color w:val="000000" w:themeColor="text1"/>
                <w:szCs w:val="21"/>
                <w14:textFill>
                  <w14:solidFill>
                    <w14:schemeClr w14:val="tx1"/>
                  </w14:solidFill>
                </w14:textFill>
              </w:rPr>
              <w:br/>
            </w:r>
            <w:r>
              <w:rPr>
                <w:rFonts w:ascii="宋体" w:hAnsi="宋体" w:hint="eastAsia"/>
                <w:bCs/>
                <w:color w:val="000000" w:themeColor="text1"/>
                <w:szCs w:val="21"/>
                <w14:textFill>
                  <w14:solidFill>
                    <w14:schemeClr w14:val="tx1"/>
                  </w14:solidFill>
                </w14:textFill>
              </w:rPr>
              <w:t xml:space="preserve">    </w:t>
            </w:r>
            <w:r>
              <w:rPr>
                <w:rFonts w:ascii="宋体" w:hAnsi="宋体" w:hint="eastAsia"/>
                <w:b/>
                <w:bCs/>
                <w:color w:val="000000" w:themeColor="text1"/>
                <w:szCs w:val="21"/>
                <w14:textFill>
                  <w14:solidFill>
                    <w14:schemeClr w14:val="tx1"/>
                  </w14:solidFill>
                </w14:textFill>
              </w:rPr>
              <w:t>除非本合同另有约定，私募基金管理人有权自行决定是否在上述情形下设置临时开放日。</w:t>
            </w:r>
            <w:r>
              <w:rPr>
                <w:rFonts w:ascii="宋体" w:hAnsi="宋体" w:hint="eastAsia"/>
                <w:color w:val="000000" w:themeColor="text1"/>
                <w:szCs w:val="21"/>
                <w14:textFill>
                  <w14:solidFill>
                    <w14:schemeClr w14:val="tx1"/>
                  </w14:solidFill>
                </w14:textFill>
              </w:rPr>
              <w:t>私募基金管理人决定增设临时开放日的，应当提前发函通知私募基金托管人，并提前与运营服务机构确认临时开放的可行性。私募</w:t>
            </w:r>
            <w:r>
              <w:rPr>
                <w:rFonts w:ascii="宋体" w:hAnsi="宋体"/>
                <w:color w:val="000000" w:themeColor="text1"/>
                <w:szCs w:val="21"/>
                <w14:textFill>
                  <w14:solidFill>
                    <w14:schemeClr w14:val="tx1"/>
                  </w14:solidFill>
                </w14:textFill>
              </w:rPr>
              <w:t>基金托管人、运营服务机构对于临时开放日的设置是否满足</w:t>
            </w:r>
            <w:r>
              <w:rPr>
                <w:rFonts w:ascii="宋体" w:hAnsi="宋体" w:hint="eastAsia"/>
                <w:color w:val="000000" w:themeColor="text1"/>
                <w:szCs w:val="21"/>
                <w14:textFill>
                  <w14:solidFill>
                    <w14:schemeClr w14:val="tx1"/>
                  </w14:solidFill>
                </w14:textFill>
              </w:rPr>
              <w:t>上述情形</w:t>
            </w:r>
            <w:r>
              <w:rPr>
                <w:rFonts w:ascii="宋体" w:hAnsi="宋体"/>
                <w:color w:val="000000" w:themeColor="text1"/>
                <w:szCs w:val="21"/>
                <w14:textFill>
                  <w14:solidFill>
                    <w14:schemeClr w14:val="tx1"/>
                  </w14:solidFill>
                </w14:textFill>
              </w:rPr>
              <w:t>不负监督义务。</w:t>
            </w:r>
          </w:p>
        </w:tc>
      </w:tr>
    </w:tbl>
    <w:p>
      <w:pPr>
        <w:pStyle w:val="a-BR377247"/>
        <w:spacing w:line="360" w:lineRule="auto"/>
        <w:ind w:firstLine="420" w:firstLineChars="200"/>
        <w:rPr>
          <w:rFonts w:ascii="宋体" w:hAnsi="宋体"/>
          <w:szCs w:val="21"/>
        </w:rPr>
      </w:pPr>
      <w:r>
        <w:rPr>
          <w:rFonts w:ascii="宋体" w:hAnsi="宋体" w:hint="eastAsia"/>
          <w:szCs w:val="21"/>
        </w:rPr>
        <w:t>（二）申购和赎回的方式、价格及程序</w:t>
      </w:r>
    </w:p>
    <w:p>
      <w:pPr>
        <w:pStyle w:val="a-BR377247"/>
        <w:spacing w:line="360" w:lineRule="auto"/>
        <w:ind w:firstLine="420" w:firstLineChars="200"/>
        <w:rPr>
          <w:rFonts w:ascii="宋体" w:hAnsi="宋体"/>
          <w:szCs w:val="21"/>
        </w:rPr>
      </w:pPr>
      <w:r>
        <w:rPr>
          <w:rFonts w:ascii="宋体" w:hAnsi="宋体" w:hint="eastAsia"/>
          <w:szCs w:val="21"/>
        </w:rPr>
        <w:t>基金投资者通过募集机构申购、赎回本基金，应根据募集机构制定的规则和流程办理申购、赎回业务。</w:t>
      </w:r>
    </w:p>
    <w:p>
      <w:pPr>
        <w:pStyle w:val="a-BR377247"/>
        <w:spacing w:line="360" w:lineRule="auto"/>
        <w:ind w:firstLine="420" w:firstLineChars="200"/>
        <w:rPr>
          <w:rFonts w:ascii="宋体" w:hAnsi="宋体"/>
          <w:szCs w:val="21"/>
        </w:rPr>
      </w:pPr>
      <w:r>
        <w:rPr>
          <w:rFonts w:ascii="宋体" w:hAnsi="宋体"/>
          <w:szCs w:val="21"/>
        </w:rPr>
        <w:t>1、本基金申购和赎回采用未知价原则，即基金的申购价格和赎回价格以</w:t>
      </w:r>
      <w:r>
        <w:rPr>
          <w:rFonts w:ascii="宋体" w:hAnsi="宋体" w:hint="eastAsia"/>
          <w:szCs w:val="21"/>
        </w:rPr>
        <w:t>基金投资者提交申购或赎回申请的</w:t>
      </w:r>
      <w:r>
        <w:rPr>
          <w:rFonts w:ascii="宋体" w:hAnsi="宋体"/>
          <w:szCs w:val="21"/>
        </w:rPr>
        <w:t>开放日的基金份额净值为基准进行计算。</w:t>
      </w:r>
    </w:p>
    <w:p>
      <w:pPr>
        <w:pStyle w:val="a-BR377247"/>
        <w:spacing w:line="360" w:lineRule="auto"/>
        <w:ind w:firstLine="420" w:firstLineChars="200"/>
        <w:rPr>
          <w:rFonts w:ascii="宋体" w:hAnsi="宋体"/>
          <w:szCs w:val="21"/>
        </w:rPr>
      </w:pPr>
      <w:r>
        <w:rPr>
          <w:rFonts w:ascii="宋体" w:hAnsi="宋体" w:hint="eastAsia"/>
          <w:szCs w:val="21"/>
        </w:rPr>
        <w:t>私募基金投资者、私募基金管理人一致确认份额登记机构仅根据募集机构提交的申购和</w:t>
      </w:r>
      <w:r>
        <w:rPr>
          <w:rFonts w:ascii="宋体" w:hAnsi="宋体"/>
          <w:szCs w:val="21"/>
        </w:rPr>
        <w:t>/或赎回申请中所载明的申请时间办理份额登记手续，对于募集机构提交的上述申请中所载明时间的准确性，私募基金托管人和份额登记机构不负有核实义务，且不承担任何责任。</w:t>
      </w:r>
    </w:p>
    <w:p>
      <w:pPr>
        <w:pStyle w:val="a-BR377247"/>
        <w:spacing w:line="360" w:lineRule="auto"/>
        <w:ind w:firstLine="420" w:firstLineChars="200"/>
        <w:rPr>
          <w:rFonts w:ascii="宋体" w:hAnsi="宋体"/>
          <w:szCs w:val="21"/>
        </w:rPr>
      </w:pPr>
      <w:r>
        <w:rPr>
          <w:rFonts w:ascii="宋体" w:hAnsi="宋体"/>
          <w:szCs w:val="21"/>
        </w:rPr>
        <w:t>2、本基金采用金额申购和份额赎回的方式，即申购以金额申请，赎回以份额申请。</w:t>
      </w:r>
    </w:p>
    <w:p>
      <w:pPr>
        <w:pStyle w:val="a-BR377247"/>
        <w:spacing w:line="360" w:lineRule="auto"/>
        <w:ind w:firstLine="420" w:firstLineChars="200"/>
        <w:rPr>
          <w:rFonts w:ascii="宋体" w:hAnsi="宋体"/>
          <w:szCs w:val="21"/>
        </w:rPr>
      </w:pPr>
      <w:r>
        <w:rPr>
          <w:rFonts w:ascii="宋体" w:hAnsi="宋体"/>
          <w:szCs w:val="21"/>
        </w:rPr>
        <w:t>3、基金份额的赎回遵循“先进先出”原则，即按照基金</w:t>
      </w:r>
      <w:r>
        <w:rPr>
          <w:rFonts w:ascii="宋体" w:hAnsi="宋体" w:hint="eastAsia"/>
          <w:szCs w:val="21"/>
        </w:rPr>
        <w:t>投资者</w:t>
      </w:r>
      <w:r>
        <w:rPr>
          <w:rFonts w:ascii="宋体" w:hAnsi="宋体"/>
          <w:szCs w:val="21"/>
        </w:rPr>
        <w:t>认购、申购和红利再投资</w:t>
      </w:r>
      <w:r>
        <w:rPr>
          <w:rFonts w:ascii="宋体" w:hAnsi="宋体" w:hint="eastAsia"/>
          <w:szCs w:val="21"/>
        </w:rPr>
        <w:t>所得份额的先后次序进行赎回。</w:t>
      </w:r>
    </w:p>
    <w:p>
      <w:pPr>
        <w:pStyle w:val="a-BR377247"/>
        <w:spacing w:line="360" w:lineRule="auto"/>
        <w:ind w:firstLine="420" w:firstLineChars="200"/>
        <w:rPr>
          <w:rFonts w:ascii="宋体" w:hAnsi="宋体"/>
          <w:szCs w:val="21"/>
        </w:rPr>
      </w:pPr>
      <w:r>
        <w:rPr>
          <w:rFonts w:ascii="宋体" w:hAnsi="宋体"/>
          <w:szCs w:val="21"/>
        </w:rPr>
        <w:t>4、基金投资者在提交申购申请时须按照</w:t>
      </w:r>
      <w:r>
        <w:rPr>
          <w:rFonts w:ascii="宋体" w:hAnsi="宋体" w:hint="eastAsia"/>
          <w:szCs w:val="21"/>
        </w:rPr>
        <w:t>募集</w:t>
      </w:r>
      <w:r>
        <w:rPr>
          <w:rFonts w:ascii="宋体" w:hAnsi="宋体"/>
          <w:szCs w:val="21"/>
        </w:rPr>
        <w:t>机构规定的方式全额支付申购资金，在提交赎回申请时须持有足够的基金份额余额，否则所提交的申购、赎回申请无效而不予确认。</w:t>
      </w:r>
    </w:p>
    <w:p>
      <w:pPr>
        <w:pStyle w:val="a-BR377247"/>
        <w:spacing w:line="360" w:lineRule="auto"/>
        <w:ind w:firstLine="420" w:firstLineChars="200"/>
        <w:rPr>
          <w:rFonts w:ascii="宋体" w:hAnsi="宋体"/>
          <w:szCs w:val="21"/>
        </w:rPr>
      </w:pPr>
      <w:r>
        <w:rPr>
          <w:rFonts w:ascii="宋体" w:hAnsi="宋体" w:hint="eastAsia"/>
          <w:szCs w:val="21"/>
        </w:rPr>
        <w:t>（三）申购和赎回申请的确认</w:t>
      </w:r>
    </w:p>
    <w:p>
      <w:pPr>
        <w:pStyle w:val="a-BR377247"/>
        <w:spacing w:line="360" w:lineRule="auto"/>
        <w:ind w:firstLine="420" w:firstLineChars="200"/>
        <w:rPr>
          <w:rFonts w:ascii="宋体" w:hAnsi="宋体"/>
          <w:szCs w:val="21"/>
        </w:rPr>
      </w:pPr>
      <w:r>
        <w:rPr>
          <w:rFonts w:ascii="宋体" w:hAnsi="宋体" w:hint="eastAsia"/>
          <w:szCs w:val="21"/>
        </w:rPr>
        <w:t>募集机构接受申请并不表示申购或赎回确认成功，而仅代表募集机构确实收到了申请。申购和赎回申请的确认以份额登记机构的确认结果为准。</w:t>
      </w:r>
    </w:p>
    <w:p>
      <w:pPr>
        <w:pStyle w:val="a-BR377247"/>
        <w:spacing w:line="360" w:lineRule="auto"/>
        <w:ind w:firstLine="420" w:firstLineChars="200"/>
        <w:rPr>
          <w:rFonts w:ascii="宋体" w:hAnsi="宋体"/>
          <w:szCs w:val="21"/>
        </w:rPr>
      </w:pPr>
      <w:r>
        <w:rPr>
          <w:rFonts w:ascii="宋体" w:hAnsi="宋体" w:hint="eastAsia"/>
          <w:szCs w:val="21"/>
        </w:rPr>
        <w:t>私募基金管理人在可接受的人数限制内，按照“时间优先、金额优先”的原则确认有效申购申请。超出基金投资者人数规模上限的申购申请为无效申请。</w:t>
      </w:r>
    </w:p>
    <w:p>
      <w:pPr>
        <w:pStyle w:val="a-BR377247"/>
        <w:spacing w:line="360" w:lineRule="auto"/>
        <w:ind w:firstLine="420" w:firstLineChars="200"/>
        <w:rPr>
          <w:rFonts w:ascii="宋体" w:hAnsi="宋体"/>
          <w:szCs w:val="21"/>
        </w:rPr>
      </w:pPr>
      <w:r>
        <w:rPr>
          <w:rFonts w:ascii="宋体" w:hAnsi="宋体" w:hint="eastAsia"/>
          <w:szCs w:val="21"/>
        </w:rPr>
        <w:t>在正常情况下，份额登记机构在</w:t>
      </w:r>
      <w:r>
        <w:rPr>
          <w:rFonts w:ascii="宋体" w:hAnsi="宋体"/>
          <w:szCs w:val="21"/>
        </w:rPr>
        <w:t>T+</w:t>
      </w:r>
      <w:r>
        <w:rPr>
          <w:rFonts w:ascii="宋体" w:hAnsi="宋体" w:hint="eastAsia"/>
          <w:szCs w:val="21"/>
        </w:rPr>
        <w:t>2日内对</w:t>
      </w:r>
      <w:r>
        <w:rPr>
          <w:rFonts w:ascii="宋体" w:hAnsi="宋体"/>
          <w:szCs w:val="21"/>
        </w:rPr>
        <w:t>T</w:t>
      </w:r>
      <w:r>
        <w:rPr>
          <w:rFonts w:ascii="宋体" w:hAnsi="宋体" w:hint="eastAsia"/>
          <w:szCs w:val="21"/>
        </w:rPr>
        <w:t>日申购和赎回申请的有效性进行确认。若申购不成功，私募基金管理人应在</w:t>
      </w:r>
      <w:r>
        <w:rPr>
          <w:rFonts w:ascii="宋体" w:hAnsi="宋体"/>
          <w:szCs w:val="21"/>
        </w:rPr>
        <w:t>T+</w:t>
      </w:r>
      <w:r>
        <w:rPr>
          <w:rFonts w:ascii="宋体" w:hAnsi="宋体" w:hint="eastAsia"/>
          <w:szCs w:val="21"/>
        </w:rPr>
        <w:t>2日起三十日内返还投资者已缴纳的款项。</w:t>
      </w:r>
    </w:p>
    <w:p>
      <w:pPr>
        <w:pStyle w:val="a-BR377247"/>
        <w:spacing w:line="360" w:lineRule="auto"/>
        <w:ind w:firstLine="420" w:firstLineChars="200"/>
        <w:rPr>
          <w:rFonts w:ascii="宋体" w:hAnsi="宋体"/>
          <w:szCs w:val="21"/>
        </w:rPr>
      </w:pPr>
      <w:r>
        <w:rPr>
          <w:rFonts w:ascii="宋体" w:hAnsi="宋体" w:hint="eastAsia"/>
          <w:szCs w:val="21"/>
        </w:rPr>
        <w:t>在本章“申购、赎回的限制情形及处理”约定的情况下，份额登记机构有权对T日的申购、赎回申请进行延期确认，延期确认的结果包括确认成功或确认失败。延期确认成功的，</w:t>
      </w:r>
      <w:r>
        <w:rPr>
          <w:rFonts w:ascii="宋体" w:hAnsi="宋体"/>
          <w:szCs w:val="21"/>
        </w:rPr>
        <w:t>申购价格</w:t>
      </w:r>
      <w:r>
        <w:rPr>
          <w:rFonts w:ascii="宋体" w:hAnsi="宋体" w:hint="eastAsia"/>
          <w:szCs w:val="21"/>
        </w:rPr>
        <w:t>、</w:t>
      </w:r>
      <w:r>
        <w:rPr>
          <w:rFonts w:ascii="宋体" w:hAnsi="宋体"/>
          <w:szCs w:val="21"/>
        </w:rPr>
        <w:t>赎回价格</w:t>
      </w:r>
      <w:r>
        <w:rPr>
          <w:rFonts w:ascii="宋体" w:hAnsi="宋体" w:hint="eastAsia"/>
          <w:szCs w:val="21"/>
        </w:rPr>
        <w:t>仍依据提交申购或赎回申请的</w:t>
      </w:r>
      <w:r>
        <w:rPr>
          <w:rFonts w:ascii="宋体" w:hAnsi="宋体"/>
          <w:szCs w:val="21"/>
        </w:rPr>
        <w:t>开放日</w:t>
      </w:r>
      <w:r>
        <w:rPr>
          <w:rFonts w:ascii="宋体" w:hAnsi="宋体" w:hint="eastAsia"/>
          <w:szCs w:val="21"/>
        </w:rPr>
        <w:t>当日日终</w:t>
      </w:r>
      <w:r>
        <w:rPr>
          <w:rFonts w:ascii="宋体" w:hAnsi="宋体"/>
          <w:szCs w:val="21"/>
        </w:rPr>
        <w:t>的基金份额净值为基准进行计算</w:t>
      </w:r>
      <w:r>
        <w:rPr>
          <w:rFonts w:ascii="宋体" w:hAnsi="宋体" w:hint="eastAsia"/>
          <w:szCs w:val="21"/>
        </w:rPr>
        <w:t>。同时，基金申购、赎回的划款时间根据延期确认的时间相应进行顺延。发生延期确认时，私募基金管理人应当负责及时将延期确认相关事项与最终结果告知投资者。因延期确认对投资者、管理人造成损失的，份额登记机构不承担任何赔偿责任。</w:t>
      </w:r>
    </w:p>
    <w:p>
      <w:pPr>
        <w:pStyle w:val="a-BR377247"/>
        <w:spacing w:line="360" w:lineRule="auto"/>
        <w:ind w:firstLine="420" w:firstLineChars="200"/>
      </w:pPr>
      <w:r>
        <w:rPr>
          <w:rFonts w:ascii="宋体" w:hAnsi="宋体" w:hint="eastAsia"/>
          <w:szCs w:val="21"/>
        </w:rPr>
        <w:t>基金份额持有人赎回申请确认成功后，私募基金管理人将在赎回确认日后7个交易日内支付赎回款项。若因私募基金管理人未合理安排基金资产的变现，赎回申请确认后，募集账户未收到相关款项，导致无法及时支付赎回款项的，可能出现赎回款项延期支付的情形。</w:t>
      </w:r>
      <w:r>
        <w:rPr>
          <w:rFonts w:hint="eastAsia"/>
        </w:rPr>
        <w:t>如因此造成基金份额持有人损失的，应由私募基金管理人根据本合同约定承担相应责任。</w:t>
      </w:r>
    </w:p>
    <w:p>
      <w:pPr>
        <w:pStyle w:val="a-BR377247"/>
        <w:spacing w:line="360" w:lineRule="auto"/>
        <w:ind w:firstLine="420" w:firstLineChars="200"/>
        <w:rPr>
          <w:rFonts w:ascii="宋体" w:hAnsi="宋体"/>
          <w:szCs w:val="21"/>
        </w:rPr>
      </w:pPr>
      <w:r>
        <w:rPr>
          <w:rFonts w:ascii="宋体" w:hAnsi="宋体" w:hint="eastAsia"/>
          <w:szCs w:val="21"/>
        </w:rPr>
        <w:t>（四）申购和赎回的金额限制</w:t>
      </w:r>
    </w:p>
    <w:p>
      <w:pPr>
        <w:pStyle w:val="a-BR377247"/>
        <w:spacing w:line="360" w:lineRule="auto"/>
        <w:ind w:firstLine="420" w:firstLineChars="200"/>
        <w:rPr>
          <w:rFonts w:ascii="宋体" w:hAnsi="宋体"/>
          <w:szCs w:val="21"/>
        </w:rPr>
      </w:pPr>
      <w:r>
        <w:rPr>
          <w:rFonts w:ascii="宋体" w:hAnsi="宋体" w:hint="eastAsia"/>
          <w:szCs w:val="21"/>
        </w:rPr>
        <w:t>基金投资者首次净申购金额应不低于</w:t>
      </w:r>
      <w:r>
        <w:rPr>
          <w:rFonts w:ascii="宋体" w:hAnsi="宋体"/>
          <w:szCs w:val="21"/>
        </w:rPr>
        <w:t>100</w:t>
      </w:r>
      <w:r>
        <w:rPr>
          <w:rFonts w:ascii="宋体" w:hAnsi="宋体" w:hint="eastAsia"/>
          <w:szCs w:val="21"/>
        </w:rPr>
        <w:t>万元人民币（不含申购费，以下简称“最低申购金额”）且符合合格投资者标准，但本合同“私募基金的募集对象”中的“特殊合格投资者”不适用前述最低申购金额的限制。</w:t>
      </w:r>
    </w:p>
    <w:p>
      <w:pPr>
        <w:pStyle w:val="a-BR377247"/>
        <w:spacing w:line="360" w:lineRule="auto"/>
        <w:ind w:firstLine="420" w:firstLineChars="200"/>
        <w:rPr>
          <w:rFonts w:ascii="宋体" w:hAnsi="宋体"/>
          <w:szCs w:val="21"/>
        </w:rPr>
      </w:pPr>
      <w:r>
        <w:rPr>
          <w:rFonts w:ascii="宋体" w:hAnsi="宋体" w:hint="eastAsia"/>
          <w:szCs w:val="21"/>
        </w:rPr>
        <w:t>基金份额持有人持有的</w:t>
      </w:r>
      <w:r>
        <w:rPr>
          <w:rFonts w:ascii="宋体" w:hAnsi="宋体"/>
          <w:szCs w:val="21"/>
        </w:rPr>
        <w:t>基金资产净值</w:t>
      </w:r>
      <w:r>
        <w:rPr>
          <w:rFonts w:ascii="宋体" w:hAnsi="宋体" w:hint="eastAsia"/>
          <w:szCs w:val="21"/>
        </w:rPr>
        <w:t>高于</w:t>
      </w:r>
      <w:r>
        <w:rPr>
          <w:rFonts w:ascii="宋体" w:hAnsi="宋体"/>
          <w:szCs w:val="21"/>
        </w:rPr>
        <w:t>100</w:t>
      </w:r>
      <w:r>
        <w:rPr>
          <w:rFonts w:ascii="宋体" w:hAnsi="宋体" w:hint="eastAsia"/>
          <w:szCs w:val="21"/>
        </w:rPr>
        <w:t>万元人民币时，基金份额持有人可对份额全部赎回或者部分赎回；</w:t>
      </w:r>
      <w:r>
        <w:rPr>
          <w:rFonts w:ascii="宋体" w:hAnsi="宋体"/>
          <w:szCs w:val="21"/>
        </w:rPr>
        <w:t>选择部分赎回基金份额的，</w:t>
      </w:r>
      <w:r>
        <w:rPr>
          <w:rFonts w:ascii="宋体" w:hAnsi="宋体" w:hint="eastAsia"/>
          <w:szCs w:val="21"/>
        </w:rPr>
        <w:t>赎回后持有的</w:t>
      </w:r>
      <w:r>
        <w:rPr>
          <w:rFonts w:ascii="宋体" w:hAnsi="宋体"/>
          <w:szCs w:val="21"/>
        </w:rPr>
        <w:t>基金资产净值</w:t>
      </w:r>
      <w:r>
        <w:rPr>
          <w:rFonts w:ascii="宋体" w:hAnsi="宋体" w:hint="eastAsia"/>
          <w:szCs w:val="21"/>
        </w:rPr>
        <w:t>不得低于</w:t>
      </w:r>
      <w:r>
        <w:rPr>
          <w:rFonts w:ascii="宋体" w:hAnsi="宋体"/>
          <w:szCs w:val="21"/>
        </w:rPr>
        <w:t>100</w:t>
      </w:r>
      <w:r>
        <w:rPr>
          <w:rFonts w:ascii="宋体" w:hAnsi="宋体" w:hint="eastAsia"/>
          <w:szCs w:val="21"/>
        </w:rPr>
        <w:t>万元人民币。</w:t>
      </w:r>
    </w:p>
    <w:p>
      <w:pPr>
        <w:pStyle w:val="a-BR377247"/>
        <w:spacing w:line="360" w:lineRule="auto"/>
        <w:ind w:firstLine="420" w:firstLineChars="200"/>
        <w:rPr>
          <w:rFonts w:ascii="宋体" w:hAnsi="宋体"/>
          <w:szCs w:val="21"/>
        </w:rPr>
      </w:pPr>
      <w:r>
        <w:rPr>
          <w:rFonts w:ascii="宋体" w:hAnsi="宋体"/>
          <w:szCs w:val="21"/>
        </w:rPr>
        <w:t>当</w:t>
      </w:r>
      <w:r>
        <w:rPr>
          <w:rFonts w:ascii="宋体" w:hAnsi="宋体" w:hint="eastAsia"/>
          <w:szCs w:val="21"/>
        </w:rPr>
        <w:t>私募基金管理人确认</w:t>
      </w:r>
      <w:r>
        <w:rPr>
          <w:rFonts w:ascii="宋体" w:hAnsi="宋体"/>
          <w:szCs w:val="21"/>
        </w:rPr>
        <w:t>基金</w:t>
      </w:r>
      <w:r>
        <w:rPr>
          <w:rFonts w:ascii="宋体" w:hAnsi="宋体" w:hint="eastAsia"/>
          <w:szCs w:val="21"/>
        </w:rPr>
        <w:t>份额持有人</w:t>
      </w:r>
      <w:r>
        <w:rPr>
          <w:rFonts w:ascii="宋体" w:hAnsi="宋体"/>
          <w:szCs w:val="21"/>
        </w:rPr>
        <w:t>申请部分赎回基金份额将致使部分赎回申请确认后其</w:t>
      </w:r>
      <w:r>
        <w:rPr>
          <w:rFonts w:ascii="宋体" w:hAnsi="宋体" w:hint="eastAsia"/>
          <w:szCs w:val="21"/>
        </w:rPr>
        <w:t>所</w:t>
      </w:r>
      <w:r>
        <w:rPr>
          <w:rFonts w:ascii="宋体" w:hAnsi="宋体"/>
          <w:szCs w:val="21"/>
        </w:rPr>
        <w:t>持有的基金资产净值低于100万元</w:t>
      </w:r>
      <w:r>
        <w:rPr>
          <w:rFonts w:ascii="宋体" w:hAnsi="宋体" w:hint="eastAsia"/>
          <w:szCs w:val="21"/>
        </w:rPr>
        <w:t>人民币</w:t>
      </w:r>
      <w:r>
        <w:rPr>
          <w:rFonts w:ascii="宋体" w:hAnsi="宋体"/>
          <w:szCs w:val="21"/>
        </w:rPr>
        <w:t>的</w:t>
      </w:r>
      <w:r>
        <w:rPr>
          <w:rFonts w:ascii="宋体" w:hAnsi="宋体" w:hint="eastAsia"/>
          <w:szCs w:val="21"/>
        </w:rPr>
        <w:t>，私募基金管理人应当将该基金份额持有人所持剩余份额做全部赎回处</w:t>
      </w:r>
      <w:r>
        <w:rPr>
          <w:rFonts w:hint="eastAsia"/>
        </w:rPr>
        <w:t>理，该等赎回不受本</w:t>
      </w:r>
      <w:r>
        <w:rPr>
          <w:rFonts w:ascii="宋体" w:hAnsi="宋体" w:hint="eastAsia"/>
          <w:bCs/>
          <w:szCs w:val="21"/>
        </w:rPr>
        <w:t>合同关于基金赎回的期限限制</w:t>
      </w:r>
      <w:r>
        <w:rPr>
          <w:rFonts w:ascii="宋体" w:hAnsi="宋体" w:hint="eastAsia"/>
          <w:szCs w:val="21"/>
        </w:rPr>
        <w:t>。</w:t>
      </w:r>
    </w:p>
    <w:p>
      <w:pPr>
        <w:pStyle w:val="a-BR377247"/>
        <w:spacing w:line="360" w:lineRule="auto"/>
        <w:ind w:firstLine="420" w:firstLineChars="200"/>
        <w:rPr>
          <w:rFonts w:ascii="宋体" w:hAnsi="宋体"/>
          <w:szCs w:val="21"/>
        </w:rPr>
      </w:pPr>
      <w:r>
        <w:rPr>
          <w:rFonts w:ascii="宋体" w:hAnsi="宋体" w:hint="eastAsia"/>
          <w:szCs w:val="21"/>
        </w:rPr>
        <w:t>基金份额持有人申请赎回基金份额时，持有</w:t>
      </w:r>
      <w:r>
        <w:rPr>
          <w:rFonts w:ascii="宋体" w:hAnsi="宋体"/>
          <w:szCs w:val="21"/>
        </w:rPr>
        <w:t>基金资产净值</w:t>
      </w:r>
      <w:r>
        <w:rPr>
          <w:rFonts w:ascii="宋体" w:hAnsi="宋体" w:hint="eastAsia"/>
          <w:szCs w:val="21"/>
        </w:rPr>
        <w:t>低于</w:t>
      </w:r>
      <w:r>
        <w:rPr>
          <w:rFonts w:ascii="宋体" w:hAnsi="宋体"/>
          <w:szCs w:val="21"/>
        </w:rPr>
        <w:t>100</w:t>
      </w:r>
      <w:r>
        <w:rPr>
          <w:rFonts w:ascii="宋体" w:hAnsi="宋体" w:hint="eastAsia"/>
          <w:szCs w:val="21"/>
        </w:rPr>
        <w:t>万元人民币的</w:t>
      </w:r>
      <w:r>
        <w:rPr>
          <w:rFonts w:ascii="宋体" w:hAnsi="宋体"/>
          <w:szCs w:val="21"/>
        </w:rPr>
        <w:t>，持有人只能</w:t>
      </w:r>
      <w:r>
        <w:rPr>
          <w:rFonts w:ascii="宋体" w:hAnsi="宋体" w:hint="eastAsia"/>
          <w:szCs w:val="21"/>
        </w:rPr>
        <w:t>一次性</w:t>
      </w:r>
      <w:r>
        <w:rPr>
          <w:rFonts w:ascii="宋体" w:hAnsi="宋体"/>
          <w:szCs w:val="21"/>
        </w:rPr>
        <w:t>全部赎回持有份额</w:t>
      </w:r>
      <w:r>
        <w:rPr>
          <w:rFonts w:ascii="宋体" w:hAnsi="宋体" w:hint="eastAsia"/>
          <w:szCs w:val="21"/>
        </w:rPr>
        <w:t>，基金份额持有人没有一次性全部赎回持有份额的，私募基金管理人应当将该基金份额持有人所持份额做全部赎回处理</w:t>
      </w:r>
      <w:r>
        <w:rPr>
          <w:rFonts w:ascii="宋体" w:hAnsi="宋体"/>
          <w:szCs w:val="21"/>
        </w:rPr>
        <w:t>。</w:t>
      </w:r>
    </w:p>
    <w:p>
      <w:pPr>
        <w:pStyle w:val="a-BR377247"/>
        <w:spacing w:line="360" w:lineRule="auto"/>
        <w:ind w:firstLine="420" w:firstLineChars="200"/>
        <w:rPr>
          <w:rFonts w:ascii="宋体" w:hAnsi="宋体"/>
          <w:szCs w:val="21"/>
        </w:rPr>
      </w:pPr>
      <w:r>
        <w:rPr>
          <w:rFonts w:ascii="宋体" w:hAnsi="宋体" w:hint="eastAsia"/>
          <w:szCs w:val="21"/>
        </w:rPr>
        <w:t>本合同“私募基金的募集对象”中的“特殊合格投资者”不适用于上述规定的申购和赎回金额限制。</w:t>
      </w:r>
    </w:p>
    <w:p>
      <w:pPr>
        <w:pStyle w:val="a-BR377247"/>
        <w:spacing w:line="360" w:lineRule="auto"/>
        <w:ind w:firstLine="420" w:firstLineChars="200"/>
        <w:rPr>
          <w:rFonts w:ascii="宋体" w:hAnsi="宋体"/>
          <w:szCs w:val="21"/>
        </w:rPr>
      </w:pPr>
      <w:r>
        <w:rPr>
          <w:rFonts w:ascii="宋体" w:hAnsi="宋体" w:hint="eastAsia"/>
          <w:szCs w:val="21"/>
        </w:rPr>
        <w:t>（五）申购和赎回的费率</w:t>
      </w:r>
    </w:p>
    <w:p>
      <w:pPr>
        <w:pStyle w:val="a-BR377247"/>
        <w:spacing w:line="360" w:lineRule="auto"/>
        <w:ind w:firstLine="420" w:firstLineChars="200"/>
        <w:rPr>
          <w:rStyle w:val="a0"/>
          <w:rFonts w:ascii="宋体" w:hAnsi="宋体"/>
        </w:rPr>
      </w:pPr>
      <w:r>
        <w:t>1、申购费率</w:t>
      </w:r>
    </w:p>
    <w:p>
      <w:pPr>
        <w:pStyle w:val="a-BR377247"/>
        <w:spacing w:line="360" w:lineRule="auto"/>
        <w:ind w:firstLine="420" w:firstLineChars="200"/>
      </w:pPr>
      <w:r>
        <w:rPr>
          <w:rFonts w:hint="eastAsia"/>
        </w:rPr>
        <w:t>本基金申购费率为1</w:t>
      </w:r>
      <w:r>
        <w:t>%。</w:t>
      </w:r>
    </w:p>
    <w:p>
      <w:pPr>
        <w:pStyle w:val="a-BR377247"/>
        <w:spacing w:line="360" w:lineRule="auto"/>
        <w:ind w:firstLine="420" w:firstLineChars="200"/>
        <w:rPr>
          <w:rStyle w:val="a0"/>
          <w:rFonts w:ascii="宋体" w:hAnsi="宋体"/>
        </w:rPr>
      </w:pPr>
      <w:r>
        <w:t>2、赎回费率</w:t>
      </w:r>
    </w:p>
    <w:p>
      <w:pPr>
        <w:pStyle w:val="a-BR332808"/>
        <w:spacing w:line="360" w:lineRule="auto"/>
        <w:ind w:firstLine="420" w:firstLineChars="200"/>
        <w:rPr>
          <w:rFonts w:ascii="宋体" w:hAnsi="宋体"/>
        </w:rPr>
      </w:pPr>
      <w:r>
        <w:rPr>
          <w:rFonts w:hint="eastAsia"/>
        </w:rPr>
        <w:t>本基金份额持有期低于180天（不含）的，经管理人同意后可以赎回，赎回费率为1</w:t>
      </w:r>
      <w:r>
        <w:t>%，</w:t>
      </w:r>
      <w:r>
        <w:rPr>
          <w:rFonts w:hint="eastAsia"/>
        </w:rPr>
        <w:t>基金</w:t>
      </w:r>
      <w:r>
        <w:t>份额持有期在</w:t>
      </w:r>
      <w:r>
        <w:rPr>
          <w:rFonts w:hint="eastAsia"/>
        </w:rPr>
        <w:t>180天及以上但低于365天（不含</w:t>
      </w:r>
      <w:r>
        <w:t>）</w:t>
      </w:r>
      <w:r>
        <w:rPr>
          <w:rFonts w:hint="eastAsia"/>
        </w:rPr>
        <w:t>的赎回费率为1</w:t>
      </w:r>
      <w:r>
        <w:t>%</w:t>
      </w:r>
      <w:r>
        <w:rPr>
          <w:rFonts w:hint="eastAsia"/>
        </w:rPr>
        <w:t>，</w:t>
      </w:r>
      <w:r>
        <w:t>基金份额持有期在</w:t>
      </w:r>
      <w:r>
        <w:rPr>
          <w:rFonts w:hint="eastAsia"/>
        </w:rPr>
        <w:t>365天及以上的赎回费率为0</w:t>
      </w:r>
      <w:r>
        <w:t>%</w:t>
      </w:r>
      <w:r>
        <w:rPr>
          <w:rFonts w:hint="eastAsia"/>
        </w:rPr>
        <w:t>。</w:t>
      </w:r>
    </w:p>
    <w:p>
      <w:pPr>
        <w:pStyle w:val="a-BR332808"/>
        <w:spacing w:line="360" w:lineRule="auto"/>
        <w:ind w:firstLine="420" w:firstLineChars="200"/>
        <w:rPr>
          <w:rFonts w:ascii="宋体" w:hAnsi="宋体"/>
        </w:rPr>
      </w:pPr>
      <w:r>
        <w:rPr>
          <w:rFonts w:hint="eastAsia"/>
        </w:rPr>
        <w:t>本基金赎回费归私募基金管理人所有。</w:t>
      </w:r>
      <w:r>
        <w:rPr>
          <w:rStyle w:val="a7-BR332808"/>
          <w:rFonts w:ascii="宋体" w:hAnsi="宋体" w:hint="eastAsia"/>
        </w:rPr>
        <w:t xml:space="preserve"> </w:t>
      </w:r>
    </w:p>
    <w:p>
      <w:pPr>
        <w:pStyle w:val="a-BR377247"/>
        <w:spacing w:line="360" w:lineRule="auto"/>
        <w:ind w:firstLine="420" w:firstLineChars="200"/>
        <w:rPr>
          <w:rFonts w:ascii="宋体" w:hAnsi="宋体"/>
          <w:szCs w:val="21"/>
        </w:rPr>
      </w:pPr>
      <w:r>
        <w:rPr>
          <w:rFonts w:ascii="宋体" w:hAnsi="宋体" w:hint="eastAsia"/>
          <w:szCs w:val="21"/>
        </w:rPr>
        <w:t>（六）申购份额与赎回金额的计算方式</w:t>
      </w:r>
    </w:p>
    <w:p>
      <w:pPr>
        <w:pStyle w:val="a-BR377247"/>
        <w:spacing w:line="360" w:lineRule="auto"/>
        <w:ind w:firstLine="420" w:firstLineChars="200"/>
        <w:rPr>
          <w:rFonts w:ascii="宋体" w:hAnsi="宋体"/>
          <w:szCs w:val="21"/>
        </w:rPr>
      </w:pPr>
      <w:r>
        <w:rPr>
          <w:rFonts w:ascii="宋体" w:hAnsi="宋体"/>
          <w:szCs w:val="21"/>
        </w:rPr>
        <w:t>1</w:t>
      </w:r>
      <w:r>
        <w:rPr>
          <w:rFonts w:ascii="宋体" w:hAnsi="宋体" w:hint="eastAsia"/>
          <w:szCs w:val="21"/>
        </w:rPr>
        <w:t>、申购份额计算</w:t>
      </w:r>
    </w:p>
    <w:p>
      <w:pPr>
        <w:pStyle w:val="a-BR377247"/>
        <w:spacing w:line="360" w:lineRule="auto"/>
        <w:ind w:firstLine="420" w:firstLineChars="200"/>
        <w:rPr>
          <w:rFonts w:ascii="宋体" w:hAnsi="宋体"/>
          <w:szCs w:val="21"/>
        </w:rPr>
      </w:pPr>
      <w:r>
        <w:rPr>
          <w:rFonts w:ascii="宋体" w:hAnsi="宋体" w:hint="eastAsia"/>
          <w:szCs w:val="21"/>
        </w:rPr>
        <w:t>申购份额</w:t>
      </w:r>
      <w:r>
        <w:rPr>
          <w:rFonts w:ascii="宋体" w:hAnsi="宋体"/>
          <w:szCs w:val="21"/>
        </w:rPr>
        <w:t>=</w:t>
      </w:r>
      <w:r>
        <w:rPr>
          <w:rFonts w:ascii="宋体" w:hAnsi="宋体" w:hint="eastAsia"/>
          <w:szCs w:val="21"/>
        </w:rPr>
        <w:t>申购金额</w:t>
      </w:r>
      <w:r>
        <w:rPr>
          <w:rFonts w:ascii="宋体" w:hAnsi="宋体"/>
          <w:szCs w:val="21"/>
        </w:rPr>
        <w:t>/（1+</w:t>
      </w:r>
      <w:r>
        <w:rPr>
          <w:rFonts w:ascii="宋体" w:hAnsi="宋体" w:hint="eastAsia"/>
          <w:szCs w:val="21"/>
        </w:rPr>
        <w:t>申购费率</w:t>
      </w:r>
      <w:r>
        <w:rPr>
          <w:rFonts w:ascii="宋体" w:hAnsi="宋体"/>
          <w:szCs w:val="21"/>
        </w:rPr>
        <w:t>）/</w:t>
      </w:r>
      <w:r>
        <w:rPr>
          <w:rFonts w:ascii="宋体" w:hAnsi="宋体" w:hint="eastAsia"/>
          <w:szCs w:val="21"/>
        </w:rPr>
        <w:t>申购价格。</w:t>
      </w:r>
    </w:p>
    <w:p>
      <w:pPr>
        <w:pStyle w:val="a-BR377247"/>
        <w:spacing w:line="360" w:lineRule="auto"/>
        <w:ind w:firstLine="420" w:firstLineChars="200"/>
        <w:rPr>
          <w:rFonts w:ascii="宋体" w:hAnsi="宋体"/>
          <w:szCs w:val="21"/>
        </w:rPr>
      </w:pPr>
      <w:r>
        <w:rPr>
          <w:rFonts w:ascii="宋体" w:hAnsi="宋体" w:hint="eastAsia"/>
          <w:szCs w:val="21"/>
        </w:rPr>
        <w:t>申购费用</w:t>
      </w:r>
      <w:r>
        <w:rPr>
          <w:rFonts w:ascii="宋体" w:hAnsi="宋体"/>
          <w:szCs w:val="21"/>
        </w:rPr>
        <w:t>=申购金额×申购费率/</w:t>
      </w:r>
      <w:r>
        <w:rPr>
          <w:rFonts w:ascii="宋体" w:hAnsi="宋体" w:hint="eastAsia"/>
          <w:szCs w:val="21"/>
        </w:rPr>
        <w:t>（</w:t>
      </w:r>
      <w:r>
        <w:rPr>
          <w:rFonts w:ascii="宋体" w:hAnsi="宋体"/>
          <w:szCs w:val="21"/>
        </w:rPr>
        <w:t>1+申购费率</w:t>
      </w:r>
      <w:r>
        <w:rPr>
          <w:rFonts w:ascii="宋体" w:hAnsi="宋体" w:hint="eastAsia"/>
          <w:szCs w:val="21"/>
        </w:rPr>
        <w:t>）。</w:t>
      </w:r>
    </w:p>
    <w:p>
      <w:pPr>
        <w:pStyle w:val="a-BR377247"/>
        <w:spacing w:line="360" w:lineRule="auto"/>
        <w:ind w:firstLine="420" w:firstLineChars="200"/>
        <w:rPr>
          <w:rFonts w:ascii="宋体" w:hAnsi="宋体"/>
          <w:szCs w:val="21"/>
        </w:rPr>
      </w:pPr>
      <w:r>
        <w:rPr>
          <w:rFonts w:ascii="宋体" w:hAnsi="宋体" w:hint="eastAsia"/>
          <w:szCs w:val="21"/>
        </w:rPr>
        <w:t>净申购金额</w:t>
      </w:r>
      <w:r>
        <w:rPr>
          <w:rFonts w:ascii="宋体" w:hAnsi="宋体"/>
          <w:szCs w:val="21"/>
        </w:rPr>
        <w:t>=申购金额/</w:t>
      </w:r>
      <w:r>
        <w:rPr>
          <w:rFonts w:ascii="宋体" w:hAnsi="宋体" w:hint="eastAsia"/>
          <w:szCs w:val="21"/>
        </w:rPr>
        <w:t>（</w:t>
      </w:r>
      <w:r>
        <w:rPr>
          <w:rFonts w:ascii="宋体" w:hAnsi="宋体"/>
          <w:szCs w:val="21"/>
        </w:rPr>
        <w:t>1+申购费率</w:t>
      </w:r>
      <w:r>
        <w:rPr>
          <w:rFonts w:ascii="宋体" w:hAnsi="宋体" w:hint="eastAsia"/>
          <w:szCs w:val="21"/>
        </w:rPr>
        <w:t>）。</w:t>
      </w:r>
    </w:p>
    <w:p>
      <w:pPr>
        <w:pStyle w:val="a-BR377247"/>
        <w:spacing w:line="360" w:lineRule="auto"/>
        <w:ind w:firstLine="420" w:firstLineChars="200"/>
        <w:rPr>
          <w:rFonts w:ascii="宋体" w:hAnsi="宋体"/>
          <w:szCs w:val="21"/>
        </w:rPr>
      </w:pPr>
      <w:r>
        <w:rPr>
          <w:rFonts w:ascii="宋体" w:hAnsi="宋体" w:hint="eastAsia"/>
          <w:szCs w:val="21"/>
        </w:rPr>
        <w:t>申购份额的计算保留到小数点后</w:t>
      </w:r>
      <w:r>
        <w:rPr>
          <w:rFonts w:ascii="宋体" w:hAnsi="宋体"/>
          <w:szCs w:val="21"/>
        </w:rPr>
        <w:t>2</w:t>
      </w:r>
      <w:r>
        <w:rPr>
          <w:rFonts w:ascii="宋体" w:hAnsi="宋体" w:hint="eastAsia"/>
          <w:szCs w:val="21"/>
        </w:rPr>
        <w:t>位，小数点后第</w:t>
      </w:r>
      <w:r>
        <w:rPr>
          <w:rFonts w:ascii="宋体" w:hAnsi="宋体"/>
          <w:szCs w:val="21"/>
        </w:rPr>
        <w:t>3</w:t>
      </w:r>
      <w:r>
        <w:rPr>
          <w:rFonts w:ascii="宋体" w:hAnsi="宋体" w:hint="eastAsia"/>
          <w:szCs w:val="21"/>
        </w:rPr>
        <w:t>位四舍五入，由此带来的收益和损失归入基金财产。</w:t>
      </w:r>
    </w:p>
    <w:p>
      <w:pPr>
        <w:pStyle w:val="a-BR377247"/>
        <w:spacing w:line="360" w:lineRule="auto"/>
        <w:ind w:firstLine="420" w:firstLineChars="200"/>
        <w:rPr>
          <w:rFonts w:ascii="宋体" w:hAnsi="宋体"/>
          <w:szCs w:val="21"/>
        </w:rPr>
      </w:pPr>
      <w:r>
        <w:rPr>
          <w:rFonts w:ascii="宋体" w:hAnsi="宋体"/>
          <w:szCs w:val="21"/>
        </w:rPr>
        <w:t>2</w:t>
      </w:r>
      <w:r>
        <w:rPr>
          <w:rFonts w:ascii="宋体" w:hAnsi="宋体" w:hint="eastAsia"/>
          <w:szCs w:val="21"/>
        </w:rPr>
        <w:t>、赎回金额计算</w:t>
      </w:r>
    </w:p>
    <w:p>
      <w:pPr>
        <w:pStyle w:val="a-BR377247"/>
        <w:spacing w:line="360" w:lineRule="auto"/>
        <w:ind w:left="420"/>
        <w:rPr>
          <w:rFonts w:ascii="宋体" w:hAnsi="宋体"/>
          <w:szCs w:val="21"/>
        </w:rPr>
      </w:pPr>
      <w:r>
        <w:rPr>
          <w:rFonts w:ascii="宋体" w:hAnsi="宋体" w:hint="eastAsia"/>
          <w:szCs w:val="21"/>
        </w:rPr>
        <w:t>赎回金额</w:t>
      </w:r>
      <w:r>
        <w:rPr>
          <w:rFonts w:ascii="宋体" w:hAnsi="宋体"/>
          <w:szCs w:val="21"/>
        </w:rPr>
        <w:t>=</w:t>
      </w:r>
      <w:r>
        <w:rPr>
          <w:rFonts w:ascii="宋体" w:hAnsi="宋体" w:hint="eastAsia"/>
          <w:szCs w:val="21"/>
        </w:rPr>
        <w:t>赎回份数×赎回价格</w:t>
      </w:r>
      <w:r>
        <w:rPr>
          <w:rFonts w:ascii="宋体" w:hAnsi="宋体"/>
          <w:szCs w:val="21"/>
        </w:rPr>
        <w:t>-</w:t>
      </w:r>
      <w:r>
        <w:rPr>
          <w:rFonts w:ascii="宋体" w:hAnsi="宋体" w:hint="eastAsia"/>
          <w:szCs w:val="21"/>
        </w:rPr>
        <w:t>赎回费用（如有）</w:t>
      </w:r>
      <w:r>
        <w:rPr>
          <w:rFonts w:ascii="宋体" w:hAnsi="宋体"/>
          <w:szCs w:val="21"/>
        </w:rPr>
        <w:t>-</w:t>
      </w:r>
      <w:r>
        <w:rPr>
          <w:rFonts w:ascii="宋体" w:hAnsi="宋体" w:hint="eastAsia"/>
          <w:szCs w:val="21"/>
        </w:rPr>
        <w:t>应计提业绩报酬（如有）-应计提浮动投资顾问费（如有）。</w:t>
      </w:r>
    </w:p>
    <w:p>
      <w:pPr>
        <w:pStyle w:val="a-BR377247"/>
        <w:spacing w:line="360" w:lineRule="auto"/>
        <w:ind w:left="420"/>
        <w:rPr>
          <w:rFonts w:ascii="宋体" w:hAnsi="宋体"/>
          <w:szCs w:val="21"/>
        </w:rPr>
      </w:pPr>
      <w:r>
        <w:rPr>
          <w:rFonts w:ascii="宋体" w:hAnsi="宋体" w:hint="eastAsia"/>
          <w:szCs w:val="21"/>
        </w:rPr>
        <w:t>赎回费用=赎回份数×赎回价格×赎回费率（如有）。</w:t>
      </w:r>
    </w:p>
    <w:p>
      <w:pPr>
        <w:pStyle w:val="a-BR377247"/>
        <w:spacing w:line="360" w:lineRule="auto"/>
        <w:ind w:firstLine="420" w:firstLineChars="200"/>
        <w:rPr>
          <w:rFonts w:ascii="宋体" w:hAnsi="宋体"/>
          <w:szCs w:val="21"/>
        </w:rPr>
      </w:pPr>
      <w:r>
        <w:rPr>
          <w:rFonts w:ascii="宋体" w:hAnsi="宋体" w:hint="eastAsia"/>
          <w:bCs/>
          <w:szCs w:val="21"/>
        </w:rPr>
        <w:t>赎回费用（如有）由赎回基金份额的基金份额持有人承担，在基金份额持有人赎回基金份额时收取。</w:t>
      </w:r>
    </w:p>
    <w:p>
      <w:pPr>
        <w:pStyle w:val="a-BR377247"/>
        <w:spacing w:line="360" w:lineRule="auto"/>
        <w:ind w:firstLine="420" w:firstLineChars="200"/>
        <w:rPr>
          <w:rFonts w:ascii="宋体" w:hAnsi="宋体"/>
          <w:szCs w:val="21"/>
        </w:rPr>
      </w:pPr>
      <w:r>
        <w:rPr>
          <w:rFonts w:ascii="宋体" w:hAnsi="宋体" w:hint="eastAsia"/>
          <w:szCs w:val="21"/>
        </w:rPr>
        <w:t>赎回金额的计算保留到小数点后</w:t>
      </w:r>
      <w:r>
        <w:rPr>
          <w:rFonts w:ascii="宋体" w:hAnsi="宋体"/>
          <w:szCs w:val="21"/>
        </w:rPr>
        <w:t>2</w:t>
      </w:r>
      <w:r>
        <w:rPr>
          <w:rFonts w:ascii="宋体" w:hAnsi="宋体" w:hint="eastAsia"/>
          <w:szCs w:val="21"/>
        </w:rPr>
        <w:t>位，小数点后第</w:t>
      </w:r>
      <w:r>
        <w:rPr>
          <w:rFonts w:ascii="宋体" w:hAnsi="宋体"/>
          <w:szCs w:val="21"/>
        </w:rPr>
        <w:t>3</w:t>
      </w:r>
      <w:r>
        <w:rPr>
          <w:rFonts w:ascii="宋体" w:hAnsi="宋体" w:hint="eastAsia"/>
          <w:szCs w:val="21"/>
        </w:rPr>
        <w:t>位四舍五入，由此带来的收益和损失归入基金财产。</w:t>
      </w:r>
    </w:p>
    <w:p>
      <w:pPr>
        <w:pStyle w:val="a-BR377247"/>
        <w:spacing w:line="360" w:lineRule="auto"/>
        <w:ind w:left="420"/>
        <w:rPr>
          <w:rFonts w:ascii="宋体" w:hAnsi="宋体"/>
          <w:szCs w:val="21"/>
        </w:rPr>
      </w:pPr>
      <w:r>
        <w:rPr>
          <w:rFonts w:ascii="宋体" w:hAnsi="宋体" w:hint="eastAsia"/>
          <w:szCs w:val="21"/>
        </w:rPr>
        <w:t>（七）申购、赎回的限制情形及处理</w:t>
      </w:r>
    </w:p>
    <w:p>
      <w:pPr>
        <w:pStyle w:val="a-BR377247"/>
        <w:numPr>
          <w:ilvl w:val="12"/>
          <w:numId w:val="0"/>
        </w:numPr>
        <w:spacing w:line="360" w:lineRule="auto"/>
        <w:ind w:firstLine="420"/>
        <w:rPr>
          <w:rFonts w:ascii="宋体" w:hAnsi="宋体"/>
          <w:b/>
          <w:bCs/>
          <w:szCs w:val="21"/>
        </w:rPr>
      </w:pPr>
      <w:r>
        <w:rPr>
          <w:rFonts w:ascii="宋体" w:hAnsi="宋体" w:hint="eastAsia"/>
          <w:b/>
          <w:bCs/>
          <w:szCs w:val="21"/>
        </w:rPr>
        <w:t>在特定情况下，为保护全体基金份额持有人利益，投资者的申购、赎回可能受到限制，包括但不限于申请被拒绝、确认失败、延期确认等。投资者应当谨慎阅读本条款规定，充分了解并评估由此带来的流动性风险。</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1、在如下情形下，私募基金管理人有权拒绝接受基金投资者的申购、赎回申请：</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（1）本基金的基金份额持有人人数达到本合同约定的人数上限，私募基金管理人有权拒绝接受基金投资者的申购申请；</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（2）根据市场情况，私募基金管理人认为不宜扩大基金管理规模的情形下，其有权拒绝基金投资者的申购申请；</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（3）申请申购的投资者不符合本合同的相关要求，私募基金管理人有权拒绝基金投资者的申购申请；</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）发生本合同约定的暂停估值的情形时，私募基金管理人有权拒绝基金投资者的申购、赎回申请；</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）私募基金管理人认为接受全部或部分申购或赎回申请可能会影响或损害其他基金份额持有人利益时，其有权拒绝该等申购、赎回申请；</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w:t>
      </w:r>
      <w:r>
        <w:rPr>
          <w:rFonts w:ascii="宋体" w:hAnsi="宋体"/>
          <w:szCs w:val="21"/>
        </w:rPr>
        <w:t>6</w:t>
      </w:r>
      <w:r>
        <w:rPr>
          <w:rFonts w:ascii="宋体" w:hAnsi="宋体" w:hint="eastAsia"/>
          <w:szCs w:val="21"/>
        </w:rPr>
        <w:t>）法律法规规定、经中国证监会认定或本合同约定的其他情形。</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b/>
          <w:szCs w:val="21"/>
        </w:rPr>
      </w:pPr>
      <w:r>
        <w:rPr>
          <w:rFonts w:hint="eastAsia"/>
        </w:rPr>
        <w:t>私募基金管理人决定拒绝接受基金投资者的全部或部分申购、赎回申请时，应当告知基金投资者，并将拒绝接受部分的申购款项退回基金投资</w:t>
      </w:r>
      <w:r>
        <w:rPr>
          <w:rFonts w:ascii="宋体" w:hAnsi="宋体" w:hint="eastAsia"/>
          <w:szCs w:val="21"/>
        </w:rPr>
        <w:t>者账户。</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2、在如下情形下，私募基金管理人接受基金份额持有人的申购申请后，该等申购申请仍然可能被延期确认或确认失败：</w:t>
      </w:r>
    </w:p>
    <w:p>
      <w:pPr>
        <w:pStyle w:val="ae-BR377247"/>
        <w:numPr>
          <w:ilvl w:val="0"/>
          <w:numId w:val="3"/>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jc w:val="left"/>
        <w:rPr>
          <w:rFonts w:ascii="宋体" w:hAnsi="宋体"/>
          <w:szCs w:val="21"/>
        </w:rPr>
      </w:pPr>
      <w:r>
        <w:rPr>
          <w:rFonts w:hint="eastAsia"/>
        </w:rPr>
        <w:t>证券/期货经纪服务机构未及时提供估值所需资料，导致运营服务机构、私募基金托管人无法及时对开放日基金资产估值的情况下</w:t>
      </w:r>
      <w:r>
        <w:rPr>
          <w:rFonts w:ascii="宋体" w:hAnsi="宋体" w:hint="eastAsia"/>
          <w:szCs w:val="21"/>
        </w:rPr>
        <w:t>；</w:t>
      </w:r>
    </w:p>
    <w:p>
      <w:pPr>
        <w:pStyle w:val="ae-BR377247"/>
        <w:numPr>
          <w:ilvl w:val="0"/>
          <w:numId w:val="3"/>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jc w:val="left"/>
        <w:rPr>
          <w:rFonts w:ascii="宋体" w:hAnsi="宋体"/>
          <w:szCs w:val="21"/>
        </w:rPr>
      </w:pPr>
      <w:r>
        <w:rPr>
          <w:rFonts w:ascii="宋体" w:hAnsi="宋体" w:hint="eastAsia"/>
          <w:szCs w:val="21"/>
        </w:rPr>
        <w:t>无法获取或未能及时获取场外交易数据或场外行情数据、场外交易数据或场外行情数据不完整或有误，导致无法或未能及时计算当日基金资产净值的情形；</w:t>
      </w:r>
    </w:p>
    <w:p>
      <w:pPr>
        <w:pStyle w:val="ae-BR377247"/>
        <w:numPr>
          <w:ilvl w:val="0"/>
          <w:numId w:val="3"/>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szCs w:val="21"/>
        </w:rPr>
        <w:t>当本基金持有的无法通过做市商或连续竞价方式进行交易的新三板挂牌公司股票、因退市（摘牌）而持有的新三板未挂牌且未在证券交易所上市的股权，以合同约定的估值方法计算，合计超过基金资产净值的10%的；</w:t>
      </w:r>
    </w:p>
    <w:p>
      <w:pPr>
        <w:pStyle w:val="ae-BR377247"/>
        <w:numPr>
          <w:ilvl w:val="0"/>
          <w:numId w:val="3"/>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szCs w:val="21"/>
        </w:rPr>
        <w:t>本基金持有违约债券及其同一发行人发行的其他债券、资产支持证券劣后级份额、非上市股权及非金融企业定向债务融资工具市值合计超过基金资产净值的</w:t>
      </w:r>
      <w:r>
        <w:rPr>
          <w:rFonts w:ascii="宋体" w:hAnsi="宋体"/>
          <w:szCs w:val="21"/>
        </w:rPr>
        <w:t>20%</w:t>
      </w:r>
      <w:r>
        <w:rPr>
          <w:rFonts w:ascii="宋体" w:hAnsi="宋体" w:hint="eastAsia"/>
          <w:szCs w:val="21"/>
        </w:rPr>
        <w:t>的；</w:t>
      </w:r>
    </w:p>
    <w:p>
      <w:pPr>
        <w:pStyle w:val="ae-BR377247"/>
        <w:numPr>
          <w:ilvl w:val="0"/>
          <w:numId w:val="3"/>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szCs w:val="21"/>
        </w:rPr>
        <w:t>因未满足本合同第十五章中“估值材料的交互要求”，开放日本基金份额净值无法作为申购依据的；</w:t>
      </w:r>
    </w:p>
    <w:p>
      <w:pPr>
        <w:pStyle w:val="ae-BR377247"/>
        <w:numPr>
          <w:ilvl w:val="0"/>
          <w:numId w:val="3"/>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szCs w:val="21"/>
        </w:rPr>
        <w:t>法律法规规定、经中国证监会认定或本合同约定的其他情形；</w:t>
      </w:r>
    </w:p>
    <w:p>
      <w:pPr>
        <w:pStyle w:val="ae-BR377247"/>
        <w:numPr>
          <w:ilvl w:val="0"/>
          <w:numId w:val="3"/>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szCs w:val="21"/>
        </w:rPr>
        <w:t>发生本合同约定的暂停估值的情形。</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rPr>
          <w:rFonts w:ascii="宋体" w:hAnsi="宋体"/>
          <w:szCs w:val="21"/>
        </w:rPr>
      </w:pPr>
      <w:r>
        <w:rPr>
          <w:rFonts w:ascii="宋体" w:hAnsi="宋体" w:hint="eastAsia"/>
          <w:szCs w:val="21"/>
        </w:rPr>
        <w:t>因上述情形导致申购申请可能被延期确认或确认失败的，私募基金管理人应当及时告知相关基金投资者。</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pPr>
      <w:r>
        <w:rPr>
          <w:rFonts w:ascii="宋体" w:hAnsi="宋体" w:hint="eastAsia"/>
          <w:szCs w:val="21"/>
        </w:rPr>
        <w:t>在以上情形消除时，私募基金管理人应及时恢复申购业务的办理并及时告知相关基金投资者。</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3、在如下情形下，私募基金管理人接受基金份额持有人的赎回申请后，该等赎回申请仍然可能被延期确认或确认失败：</w:t>
      </w:r>
    </w:p>
    <w:p>
      <w:pPr>
        <w:pStyle w:val="ae-BR377247"/>
        <w:numPr>
          <w:ilvl w:val="0"/>
          <w:numId w:val="4"/>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jc w:val="left"/>
        <w:rPr>
          <w:rFonts w:ascii="宋体" w:hAnsi="宋体"/>
          <w:szCs w:val="21"/>
        </w:rPr>
      </w:pPr>
      <w:r>
        <w:rPr>
          <w:rFonts w:ascii="宋体" w:hAnsi="宋体" w:hint="eastAsia"/>
          <w:szCs w:val="21"/>
        </w:rPr>
        <w:t>证券/期货经纪服务机构未及时提供估值所需资料，导致运营服务机构、私募基金托管人无法及时对开放日基金资产估值的情况下；</w:t>
      </w:r>
    </w:p>
    <w:p>
      <w:pPr>
        <w:pStyle w:val="ae-BR377247"/>
        <w:numPr>
          <w:ilvl w:val="0"/>
          <w:numId w:val="4"/>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jc w:val="left"/>
        <w:rPr>
          <w:rFonts w:ascii="宋体" w:hAnsi="宋体"/>
          <w:szCs w:val="21"/>
        </w:rPr>
      </w:pPr>
      <w:r>
        <w:rPr>
          <w:rFonts w:ascii="宋体" w:hAnsi="宋体" w:hint="eastAsia"/>
          <w:szCs w:val="21"/>
        </w:rPr>
        <w:t>无法获取或未能及时获取场外交易数据或场外行情数据、场外交易数据或场外行情数据不完整或有误，导致无法或未能及时计算当日基金资产净值的情形；</w:t>
      </w:r>
    </w:p>
    <w:p>
      <w:pPr>
        <w:pStyle w:val="ae-BR377247"/>
        <w:numPr>
          <w:ilvl w:val="0"/>
          <w:numId w:val="4"/>
        </w:numPr>
        <w:tabs>
          <w:tab w:val="left" w:pos="0"/>
          <w:tab w:val="left" w:pos="306"/>
          <w:tab w:val="left" w:pos="1440"/>
          <w:tab w:val="left" w:pos="2160"/>
          <w:tab w:val="left" w:pos="2880"/>
          <w:tab w:val="left" w:pos="3600"/>
          <w:tab w:val="left" w:pos="4320"/>
        </w:tabs>
        <w:autoSpaceDE w:val="0"/>
        <w:autoSpaceDN w:val="0"/>
        <w:adjustRightInd w:val="0"/>
        <w:spacing w:line="360" w:lineRule="auto"/>
        <w:ind w:left="0" w:firstLine="420"/>
        <w:jc w:val="left"/>
        <w:rPr>
          <w:rFonts w:ascii="宋体" w:hAnsi="宋体"/>
          <w:szCs w:val="21"/>
        </w:rPr>
      </w:pPr>
      <w:r>
        <w:rPr>
          <w:rFonts w:ascii="宋体" w:hAnsi="宋体" w:hint="eastAsia"/>
          <w:szCs w:val="21"/>
        </w:rPr>
        <w:t>当本基金持有的无法通过做市商或连续竞价方式进行交易的新三板挂牌公司股票、因退市（摘牌）而持有的新三板未挂牌且未在证券交易所上市的股权，以合同约定的估值方法计算，合计超过基金资产净值的10%的；</w:t>
      </w:r>
    </w:p>
    <w:p>
      <w:pPr>
        <w:pStyle w:val="ae-BR377247"/>
        <w:numPr>
          <w:ilvl w:val="0"/>
          <w:numId w:val="4"/>
        </w:numPr>
        <w:tabs>
          <w:tab w:val="left" w:pos="0"/>
          <w:tab w:val="left" w:pos="306"/>
          <w:tab w:val="left" w:pos="1440"/>
          <w:tab w:val="left" w:pos="2160"/>
          <w:tab w:val="left" w:pos="2880"/>
          <w:tab w:val="left" w:pos="3600"/>
          <w:tab w:val="left" w:pos="4320"/>
        </w:tabs>
        <w:autoSpaceDE w:val="0"/>
        <w:autoSpaceDN w:val="0"/>
        <w:adjustRightInd w:val="0"/>
        <w:spacing w:line="360" w:lineRule="auto"/>
        <w:ind w:left="0" w:firstLine="420"/>
        <w:jc w:val="left"/>
        <w:rPr>
          <w:rFonts w:ascii="宋体" w:hAnsi="宋体"/>
          <w:szCs w:val="21"/>
        </w:rPr>
      </w:pPr>
      <w:r>
        <w:rPr>
          <w:rFonts w:ascii="宋体" w:hAnsi="宋体" w:hint="eastAsia"/>
          <w:szCs w:val="21"/>
        </w:rPr>
        <w:t>本基金持有违约债券及其同一发行人发行的其他债券、资产支持证券劣后级份额、非上市股权及非金融企业定向债务融资工具市值合计超过基金资产净值的</w:t>
      </w:r>
      <w:r>
        <w:rPr>
          <w:rFonts w:ascii="宋体" w:hAnsi="宋体"/>
          <w:szCs w:val="21"/>
        </w:rPr>
        <w:t>20%</w:t>
      </w:r>
      <w:r>
        <w:rPr>
          <w:rFonts w:ascii="宋体" w:hAnsi="宋体" w:hint="eastAsia"/>
          <w:szCs w:val="21"/>
        </w:rPr>
        <w:t>的；</w:t>
      </w:r>
    </w:p>
    <w:p>
      <w:pPr>
        <w:pStyle w:val="ae-BR377247"/>
        <w:numPr>
          <w:ilvl w:val="0"/>
          <w:numId w:val="4"/>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bCs/>
          <w:szCs w:val="21"/>
        </w:rPr>
        <w:t>因未满足本合同第十五章中“估值材料的交互要求”，开放日本基金份额净值无法作为赎回依据的；</w:t>
      </w:r>
    </w:p>
    <w:p>
      <w:pPr>
        <w:pStyle w:val="ae-BR377247"/>
        <w:numPr>
          <w:ilvl w:val="0"/>
          <w:numId w:val="4"/>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szCs w:val="21"/>
        </w:rPr>
        <w:t>法律法规规定、经中国证监会认定或本合同约定的其他情形；</w:t>
      </w:r>
    </w:p>
    <w:p>
      <w:pPr>
        <w:pStyle w:val="ae-BR377247"/>
        <w:numPr>
          <w:ilvl w:val="0"/>
          <w:numId w:val="4"/>
        </w:numPr>
        <w:tabs>
          <w:tab w:val="left" w:pos="0"/>
          <w:tab w:val="left" w:pos="720"/>
          <w:tab w:val="left" w:pos="1440"/>
          <w:tab w:val="left" w:pos="2160"/>
          <w:tab w:val="left" w:pos="2880"/>
          <w:tab w:val="left" w:pos="3600"/>
          <w:tab w:val="left" w:pos="4320"/>
        </w:tabs>
        <w:autoSpaceDE w:val="0"/>
        <w:autoSpaceDN w:val="0"/>
        <w:adjustRightInd w:val="0"/>
        <w:spacing w:line="360" w:lineRule="auto"/>
        <w:ind w:left="0" w:firstLine="420"/>
        <w:rPr>
          <w:rFonts w:ascii="宋体" w:hAnsi="宋体"/>
          <w:szCs w:val="21"/>
        </w:rPr>
      </w:pPr>
      <w:r>
        <w:rPr>
          <w:rFonts w:ascii="宋体" w:hAnsi="宋体" w:hint="eastAsia"/>
          <w:szCs w:val="21"/>
        </w:rPr>
        <w:t>发生本合同约定的暂停估值的情形。</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rPr>
          <w:rFonts w:ascii="宋体" w:hAnsi="宋体"/>
          <w:szCs w:val="21"/>
        </w:rPr>
      </w:pPr>
      <w:r>
        <w:rPr>
          <w:rFonts w:ascii="宋体" w:hAnsi="宋体" w:hint="eastAsia"/>
          <w:szCs w:val="21"/>
        </w:rPr>
        <w:t>因上述情形导致赎回申请可能被延期确认或确认失败的，私募基金管理人应当及时告知相关基金份额持有人。</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pPr>
      <w:r>
        <w:rPr>
          <w:rFonts w:ascii="宋体" w:hAnsi="宋体" w:hint="eastAsia"/>
          <w:szCs w:val="21"/>
        </w:rPr>
        <w:t>在以上情形消除时，私募基金管理人应及时恢复赎回业务的办理并及时告知全体基金份额持有人。为免疑义，在发生上述第（</w:t>
      </w:r>
      <w:r>
        <w:rPr>
          <w:rFonts w:ascii="宋体" w:hAnsi="宋体"/>
          <w:szCs w:val="21"/>
        </w:rPr>
        <w:t>3</w:t>
      </w:r>
      <w:r>
        <w:rPr>
          <w:rFonts w:ascii="宋体" w:hAnsi="宋体" w:hint="eastAsia"/>
          <w:szCs w:val="21"/>
        </w:rPr>
        <w:t>）、（</w:t>
      </w:r>
      <w:r>
        <w:rPr>
          <w:rFonts w:ascii="宋体" w:hAnsi="宋体"/>
          <w:szCs w:val="21"/>
        </w:rPr>
        <w:t>4</w:t>
      </w:r>
      <w:r>
        <w:rPr>
          <w:rFonts w:ascii="宋体" w:hAnsi="宋体" w:hint="eastAsia"/>
          <w:szCs w:val="21"/>
        </w:rPr>
        <w:t>）种情况时，私募基金管理人可以依据合同约定启用侧袋机制，如未根据合同约定启用侧袋机制，则该等赎回申请会被确认失败。</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rPr>
          <w:rFonts w:ascii="宋体" w:hAnsi="宋体"/>
          <w:szCs w:val="21"/>
        </w:rPr>
      </w:pPr>
      <w:r>
        <w:rPr>
          <w:rFonts w:ascii="宋体" w:hAnsi="宋体" w:hint="eastAsia"/>
          <w:szCs w:val="21"/>
        </w:rPr>
        <w:t>因申购、赎回申请被拒绝、延期确认或确认失败的，运营服务机构不承担任何赔偿责任。</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rPr>
          <w:rFonts w:ascii="宋体" w:hAnsi="宋体"/>
          <w:szCs w:val="21"/>
        </w:rPr>
      </w:pPr>
      <w:r>
        <w:rPr>
          <w:rFonts w:ascii="宋体" w:hAnsi="宋体" w:hint="eastAsia"/>
          <w:szCs w:val="21"/>
        </w:rPr>
        <w:t>4、启用侧袋机制情况下的赎回安排</w:t>
      </w:r>
    </w:p>
    <w:p>
      <w:pPr>
        <w:pStyle w:val="a-BR377247"/>
        <w:tabs>
          <w:tab w:val="left" w:pos="142"/>
          <w:tab w:val="left" w:pos="720"/>
          <w:tab w:val="left" w:pos="1440"/>
          <w:tab w:val="left" w:pos="2160"/>
          <w:tab w:val="left" w:pos="2880"/>
          <w:tab w:val="left" w:pos="3600"/>
          <w:tab w:val="left" w:pos="4320"/>
        </w:tabs>
        <w:autoSpaceDE w:val="0"/>
        <w:autoSpaceDN w:val="0"/>
        <w:adjustRightInd w:val="0"/>
        <w:spacing w:line="360" w:lineRule="auto"/>
        <w:ind w:firstLine="420" w:firstLineChars="200"/>
        <w:rPr>
          <w:rFonts w:ascii="宋体" w:hAnsi="宋体"/>
          <w:szCs w:val="21"/>
        </w:rPr>
      </w:pPr>
      <w:r>
        <w:rPr>
          <w:rFonts w:ascii="宋体" w:hAnsi="宋体" w:hint="eastAsia"/>
          <w:szCs w:val="21"/>
        </w:rPr>
        <w:t>如本基金启用侧袋估值机制的，基金资产将被分为主袋资产和侧袋资产两部分。在侧袋资产变现前，基金份额持有人仅可赎回主袋资产基金份额。侧袋资产将于变现后分配给基金份额持有人。关于侧袋机制的具体内容详见第十五章第（一）条相关内容。</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（八）巨额赎回的认定及处理方式</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szCs w:val="21"/>
        </w:rPr>
        <w:t>1</w:t>
      </w:r>
      <w:r>
        <w:rPr>
          <w:rFonts w:ascii="宋体" w:hAnsi="宋体" w:hint="eastAsia"/>
          <w:szCs w:val="21"/>
        </w:rPr>
        <w:t>、巨额赎回的认定</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单个开放日中，本基金需处理的净赎回申请份额超过本基金上一交易日基金总份额的</w:t>
      </w:r>
      <w:r>
        <w:rPr>
          <w:rFonts w:ascii="宋体" w:hAnsi="宋体" w:hint="eastAsia"/>
          <w:bCs/>
          <w:szCs w:val="21"/>
        </w:rPr>
        <w:t>20%</w:t>
      </w:r>
      <w:r>
        <w:rPr>
          <w:rFonts w:ascii="宋体" w:hAnsi="宋体" w:hint="eastAsia"/>
          <w:szCs w:val="21"/>
        </w:rPr>
        <w:t>时，即认为本基金发生了巨额赎回。</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szCs w:val="21"/>
        </w:rPr>
        <w:t>2</w:t>
      </w:r>
      <w:r>
        <w:rPr>
          <w:rFonts w:ascii="宋体" w:hAnsi="宋体" w:hint="eastAsia"/>
          <w:szCs w:val="21"/>
        </w:rPr>
        <w:t>、巨额赎回的处理方式</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当基金出现巨额赎回时，私募基金管理人可以根据基金当时的资产组合状况决定全额赎回或部分延期赎回。</w:t>
      </w:r>
    </w:p>
    <w:p>
      <w:pPr>
        <w:pStyle w:val="a-BR377247"/>
        <w:spacing w:line="360" w:lineRule="auto"/>
        <w:ind w:firstLine="420" w:firstLineChars="200"/>
        <w:rPr>
          <w:rFonts w:ascii="宋体" w:hAnsi="宋体"/>
          <w:bCs/>
          <w:szCs w:val="21"/>
        </w:rPr>
      </w:pPr>
      <w:r>
        <w:rPr>
          <w:rFonts w:ascii="宋体" w:hAnsi="宋体" w:hint="eastAsia"/>
          <w:bCs/>
          <w:szCs w:val="21"/>
        </w:rPr>
        <w:t>（</w:t>
      </w:r>
      <w:r>
        <w:rPr>
          <w:rFonts w:ascii="宋体" w:hAnsi="宋体"/>
          <w:bCs/>
          <w:szCs w:val="21"/>
        </w:rPr>
        <w:t>1</w:t>
      </w:r>
      <w:r>
        <w:rPr>
          <w:rFonts w:ascii="宋体" w:hAnsi="宋体" w:hint="eastAsia"/>
          <w:bCs/>
          <w:szCs w:val="21"/>
        </w:rPr>
        <w:t>）全额赎回：当私募基金管理人认为有能力支付基金份额持有人的全部赎回申请时，按正常赎回程序执行。</w:t>
      </w:r>
    </w:p>
    <w:p>
      <w:pPr>
        <w:pStyle w:val="a-BR377247"/>
        <w:spacing w:line="360" w:lineRule="auto"/>
        <w:ind w:firstLine="420" w:firstLineChars="200"/>
        <w:rPr>
          <w:rFonts w:ascii="宋体" w:hAnsi="宋体"/>
          <w:bCs/>
          <w:szCs w:val="21"/>
        </w:rPr>
      </w:pPr>
      <w:r>
        <w:rPr>
          <w:rFonts w:ascii="宋体" w:hAnsi="宋体" w:hint="eastAsia"/>
          <w:bCs/>
          <w:szCs w:val="21"/>
        </w:rPr>
        <w:t>（</w:t>
      </w:r>
      <w:r>
        <w:rPr>
          <w:rFonts w:ascii="宋体" w:hAnsi="宋体"/>
          <w:bCs/>
          <w:szCs w:val="21"/>
        </w:rPr>
        <w:t>2</w:t>
      </w:r>
      <w:r>
        <w:rPr>
          <w:rFonts w:ascii="宋体" w:hAnsi="宋体" w:hint="eastAsia"/>
          <w:bCs/>
          <w:szCs w:val="21"/>
        </w:rPr>
        <w:t>）部分延期赎回：当私募基金管理人认为支付基金份额持有人的赎回申请有困难或认为因支付基金份额持有人的赎回申请而进行的财产变现可能会对基金资产净值造成较大波动时，私募基金管理人在当日接受赎回比例不低于上述巨额赎回的认定比例前提下，可对其余赎回申请延期办理。对于当日的赎回申请，应当按单个账户赎回申请量占赎回申请总量的比例，确定当日受理的赎回份额；对于未能赎回部分，基金份额持有人在提交赎回申请时可以选择延期赎回或取消赎回。选择延期赎回的，将自动转入下一交易日继续赎回，直到全部赎回为止；选择取消赎回的，当日未获受理的部分赎回申请将被撤销。延期的赎回申请与下一交易日赎回申请（如有）一并处理，无优先权并以下一交易日的基金份额净值为基础计算赎回金额，以此类推，直到全部赎回为止。本基金不就延期赎回份额的相应款项计算利息。如基金份额持有人在提交赎回申请时未作明确选择，基金份额持有人未能赎回部分作自动延期赎回处理。</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bCs/>
          <w:szCs w:val="21"/>
        </w:rPr>
        <w:t>（</w:t>
      </w:r>
      <w:r>
        <w:rPr>
          <w:rFonts w:ascii="宋体" w:hAnsi="宋体"/>
          <w:bCs/>
          <w:szCs w:val="21"/>
        </w:rPr>
        <w:t>3</w:t>
      </w:r>
      <w:r>
        <w:rPr>
          <w:rFonts w:ascii="宋体" w:hAnsi="宋体" w:hint="eastAsia"/>
          <w:bCs/>
          <w:szCs w:val="21"/>
        </w:rPr>
        <w:t>）暂停赎回：连续</w:t>
      </w:r>
      <w:r>
        <w:rPr>
          <w:rFonts w:ascii="宋体" w:hAnsi="宋体"/>
          <w:bCs/>
          <w:szCs w:val="21"/>
        </w:rPr>
        <w:t>2</w:t>
      </w:r>
      <w:r>
        <w:rPr>
          <w:rFonts w:ascii="宋体" w:hAnsi="宋体" w:hint="eastAsia"/>
          <w:bCs/>
          <w:szCs w:val="21"/>
        </w:rPr>
        <w:t>（含）个开放日以上发生巨额赎回，如私募基金管理人认为有必要，可暂停接受基金的赎回申请；已经接受的赎回申请可以延缓支付赎回款项，但不得超过</w:t>
      </w:r>
      <w:r>
        <w:rPr>
          <w:rFonts w:ascii="宋体" w:hAnsi="宋体"/>
          <w:bCs/>
          <w:szCs w:val="21"/>
        </w:rPr>
        <w:t>20</w:t>
      </w:r>
      <w:r>
        <w:rPr>
          <w:rFonts w:ascii="宋体" w:hAnsi="宋体" w:hint="eastAsia"/>
          <w:bCs/>
          <w:szCs w:val="21"/>
        </w:rPr>
        <w:t>个交易日，并应当以书面或其他形式通知赎回申请基金份额持有人。</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pPr>
      <w:r>
        <w:rPr>
          <w:rFonts w:ascii="宋体" w:hAnsi="宋体"/>
          <w:szCs w:val="21"/>
        </w:rPr>
        <w:t>3</w:t>
      </w:r>
      <w:r>
        <w:rPr>
          <w:rFonts w:ascii="宋体" w:hAnsi="宋体" w:hint="eastAsia"/>
          <w:szCs w:val="21"/>
        </w:rPr>
        <w:t>、巨额赎回部分延期赎回的通知：当发生巨额赎回并且私募基金管理人决定执行部分延期赎回时，私募基金管理人应当选择信函、电话、手机短信、电子邮件、网站公告等方式之一，在开放日结束后的三个交易日内通知基金份额持有人，并说明相关处理方法。</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pPr>
      <w:r>
        <w:rPr>
          <w:rFonts w:hint="eastAsia"/>
        </w:rPr>
        <w:t>（九）发生全部份额赎回时的特殊处理</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Style w:val="a0"/>
        </w:rPr>
      </w:pPr>
      <w:r>
        <w:rPr>
          <w:rFonts w:ascii="宋体" w:hAnsi="宋体" w:hint="eastAsia"/>
          <w:bCs/>
          <w:szCs w:val="21"/>
        </w:rPr>
        <w:t>如本基金全体份额持有人申请赎回所持有的基金份额，致使所有基金份额被赎回，且无在途申购申请的，</w:t>
      </w:r>
      <w:r>
        <w:rPr>
          <w:rFonts w:hint="eastAsia"/>
        </w:rPr>
        <w:t>私募基金管理人应当拒绝接受该等赎回申请，按照合同约定终止基金运作并进行清算。</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pPr>
      <w:r>
        <w:rPr>
          <w:rFonts w:hint="eastAsia"/>
        </w:rPr>
        <w:t>本基金存续期间不开放赎回的，不适用上述约定。</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（十）基金份额的转让</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基金份额持有人可通过现时或将来法律、法规或监管机构允许的方式办理基金份额转让业务，其转让地点、时间、规则、费用等按照办理机构的规则执行。转让期间及转让后，持有基金份额的合格投资者数量合计不得超过法定及本合同约定的人数，且基金份额持有人仅可向符合《私募办法》规定的合格投资者转让基金份额。如果份额转让因不符合法律法规或办理机构的规则未办理成功的，基金份额持有人应当自行承担相应风险和损失。</w:t>
      </w:r>
    </w:p>
    <w:p>
      <w:pPr>
        <w:pStyle w:val="a-BR377247"/>
        <w:spacing w:line="360" w:lineRule="auto"/>
        <w:ind w:firstLine="420" w:firstLineChars="200"/>
        <w:rPr>
          <w:rFonts w:ascii="宋体" w:hAnsi="宋体"/>
          <w:szCs w:val="21"/>
        </w:rPr>
      </w:pPr>
      <w:r>
        <w:rPr>
          <w:rFonts w:ascii="宋体" w:hAnsi="宋体" w:hint="eastAsia"/>
          <w:szCs w:val="21"/>
        </w:rPr>
        <w:t>（十一）基金份额的非交易过户</w:t>
      </w:r>
    </w:p>
    <w:p>
      <w:pPr>
        <w:pStyle w:val="a-BR377247"/>
        <w:spacing w:line="360" w:lineRule="auto"/>
        <w:ind w:firstLine="420" w:firstLineChars="200"/>
        <w:rPr>
          <w:rFonts w:ascii="宋体" w:hAnsi="宋体"/>
          <w:szCs w:val="21"/>
        </w:rPr>
      </w:pPr>
      <w:r>
        <w:rPr>
          <w:rFonts w:ascii="宋体" w:hAnsi="宋体" w:hint="eastAsia"/>
          <w:szCs w:val="21"/>
        </w:rPr>
        <w:t>非交易过户是指不采用申购、赎回等交易方式，将一定数量的基金份额按照一定的规则从某一基金份额持有人账户转移到另一基金份额持有人账户的行为。非交易过户包括继承、捐赠、司法执行以及份额登记机构认可、符合法律法规的其他非交易过户。</w:t>
      </w:r>
    </w:p>
    <w:p>
      <w:pPr>
        <w:pStyle w:val="a-BR377247"/>
        <w:spacing w:line="360" w:lineRule="auto"/>
        <w:ind w:firstLine="420" w:firstLineChars="200"/>
        <w:rPr>
          <w:rFonts w:ascii="宋体" w:hAnsi="宋体"/>
          <w:szCs w:val="21"/>
        </w:rPr>
      </w:pPr>
      <w:r>
        <w:rPr>
          <w:rFonts w:ascii="宋体" w:hAnsi="宋体" w:hint="eastAsia"/>
          <w:szCs w:val="21"/>
        </w:rPr>
        <w:t>继承是指基金份额持有人死亡（包括自然死亡或者宣告死亡），其持有的基金份额由其合法的继承人继承；捐赠是指基金份额持有人将其合法持有的基金份额捐赠给具有福利性质的基金会或社会团体；司法强制执行是指司法机构依据生效司法文书将基金份额持有人持有的基金份额强制划转给其他自然人、法人或其他组织。</w:t>
      </w:r>
    </w:p>
    <w:p>
      <w:pPr>
        <w:pStyle w:val="a-BR377247"/>
        <w:spacing w:line="360" w:lineRule="auto"/>
        <w:ind w:firstLine="420" w:firstLineChars="200"/>
        <w:rPr>
          <w:rFonts w:ascii="宋体" w:hAnsi="宋体"/>
          <w:szCs w:val="21"/>
        </w:rPr>
      </w:pPr>
      <w:r>
        <w:rPr>
          <w:rFonts w:ascii="宋体" w:hAnsi="宋体" w:hint="eastAsia"/>
          <w:szCs w:val="21"/>
        </w:rPr>
        <w:t>办理非交易过户必须提供基金份额登记机构要求提供的相关资料，对于符合条件的非交易过户申请按基金份额登记机构的规定办理，并按基金份额登记机构规定的标准收费。</w:t>
      </w:r>
    </w:p>
    <w:p>
      <w:pPr>
        <w:pStyle w:val="a-BR377247"/>
        <w:spacing w:line="360" w:lineRule="auto"/>
        <w:ind w:firstLine="420" w:firstLineChars="200"/>
        <w:rPr>
          <w:rFonts w:ascii="宋体" w:hAnsi="宋体"/>
          <w:szCs w:val="21"/>
        </w:rPr>
      </w:pPr>
      <w:r>
        <w:rPr>
          <w:rFonts w:ascii="宋体" w:hAnsi="宋体" w:hint="eastAsia"/>
          <w:szCs w:val="21"/>
        </w:rPr>
        <w:t>（十二）基金份额的冻结与解冻</w:t>
      </w:r>
    </w:p>
    <w:p>
      <w:pPr>
        <w:pStyle w:val="a-BR377247"/>
        <w:tabs>
          <w:tab w:val="left" w:pos="0"/>
          <w:tab w:val="left" w:pos="720"/>
          <w:tab w:val="left" w:pos="1440"/>
          <w:tab w:val="left" w:pos="2160"/>
          <w:tab w:val="left" w:pos="2880"/>
          <w:tab w:val="left" w:pos="3600"/>
          <w:tab w:val="left" w:pos="4320"/>
        </w:tabs>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经有权机关依法要求或其他符合法律法规的情况下，经基金份额登记机构认可后本基金的基金份额方可冻结与解冻。</w:t>
      </w:r>
    </w:p>
    <w:p>
      <w:pPr>
        <w:pStyle w:val="a9-BR484252"/>
        <w:rPr>
          <w:sz w:val="21"/>
          <w:szCs w:val="21"/>
        </w:rPr>
      </w:pPr>
      <w:bookmarkStart w:id="24" w:name="_Toc256000008"/>
      <w:r>
        <w:rPr>
          <w:rFonts w:hint="eastAsia"/>
          <w:sz w:val="21"/>
          <w:szCs w:val="21"/>
        </w:rPr>
        <w:t>八、当事人及权利义务</w:t>
      </w:r>
      <w:bookmarkEnd w:id="24"/>
    </w:p>
    <w:p>
      <w:pPr>
        <w:pStyle w:val="a3-BR484252"/>
        <w:rPr>
          <w:rFonts w:hAnsi="宋体"/>
          <w:szCs w:val="21"/>
        </w:rPr>
      </w:pPr>
      <w:r>
        <w:rPr>
          <w:rFonts w:hAnsi="宋体" w:hint="eastAsia"/>
          <w:szCs w:val="21"/>
        </w:rPr>
        <w:t>（一）私募基金管理人</w:t>
      </w:r>
    </w:p>
    <w:p>
      <w:pPr>
        <w:pStyle w:val="a3-BR484252"/>
        <w:rPr>
          <w:rFonts w:hAnsi="宋体"/>
          <w:szCs w:val="21"/>
        </w:rPr>
      </w:pPr>
      <w:r>
        <w:rPr>
          <w:rFonts w:hAnsi="宋体" w:hint="eastAsia"/>
          <w:szCs w:val="21"/>
        </w:rPr>
        <w:t>名称：</w:t>
      </w:r>
      <w:r>
        <w:rPr>
          <w:rFonts w:hAnsi="宋体" w:hint="eastAsia"/>
          <w:szCs w:val="21"/>
          <w:lang w:eastAsia="zh-CN"/>
        </w:rPr>
        <w:t>海南正仁量化私募基金</w:t>
      </w:r>
      <w:r>
        <w:rPr>
          <w:rFonts w:hAnsi="宋体" w:hint="eastAsia"/>
          <w:szCs w:val="21"/>
        </w:rPr>
        <w:t>管理有限公司</w:t>
      </w:r>
    </w:p>
    <w:p>
      <w:pPr>
        <w:pStyle w:val="a3-BR484252"/>
        <w:rPr>
          <w:rFonts w:hAnsi="宋体"/>
          <w:szCs w:val="21"/>
        </w:rPr>
      </w:pPr>
      <w:r>
        <w:rPr>
          <w:rFonts w:hAnsi="宋体" w:hint="eastAsia"/>
          <w:szCs w:val="21"/>
        </w:rPr>
        <w:t>住所：</w:t>
      </w:r>
      <w:r>
        <w:rPr>
          <w:rFonts w:hAnsi="宋体" w:hint="eastAsia"/>
          <w:szCs w:val="21"/>
          <w:lang w:val="en-US" w:eastAsia="zh-CN"/>
        </w:rPr>
        <w:t>海南省海口市龙华区国贸大道56号北京大厦3楼</w:t>
      </w:r>
    </w:p>
    <w:p>
      <w:pPr>
        <w:pStyle w:val="a3-BR484252"/>
        <w:rPr>
          <w:rFonts w:hAnsi="宋体"/>
          <w:szCs w:val="21"/>
        </w:rPr>
      </w:pPr>
      <w:r>
        <w:rPr>
          <w:rFonts w:hAnsi="宋体" w:hint="eastAsia"/>
          <w:szCs w:val="21"/>
        </w:rPr>
        <w:t>联系人：曹爽</w:t>
      </w:r>
    </w:p>
    <w:p>
      <w:pPr>
        <w:pStyle w:val="a3-BR484252"/>
        <w:rPr>
          <w:rFonts w:hAnsi="宋体"/>
          <w:szCs w:val="21"/>
        </w:rPr>
      </w:pPr>
      <w:r>
        <w:rPr>
          <w:rFonts w:hAnsi="宋体" w:hint="eastAsia"/>
          <w:szCs w:val="21"/>
        </w:rPr>
        <w:t>通讯地址：浙江省杭州市余杭区仓前街道欧美金融城2幢2510室</w:t>
      </w:r>
    </w:p>
    <w:p>
      <w:pPr>
        <w:pStyle w:val="a3-BR484252"/>
        <w:rPr>
          <w:rFonts w:hAnsi="宋体"/>
          <w:szCs w:val="21"/>
        </w:rPr>
      </w:pPr>
      <w:r>
        <w:rPr>
          <w:rFonts w:hAnsi="宋体" w:hint="eastAsia"/>
          <w:szCs w:val="21"/>
        </w:rPr>
        <w:t>联系电话：18094785539</w:t>
      </w:r>
    </w:p>
    <w:p>
      <w:pPr>
        <w:pStyle w:val="a-BR484252"/>
        <w:spacing w:line="360" w:lineRule="auto"/>
        <w:ind w:firstLine="420" w:firstLineChars="200"/>
        <w:rPr>
          <w:rFonts w:ascii="宋体" w:hAnsi="宋体"/>
          <w:szCs w:val="21"/>
        </w:rPr>
      </w:pPr>
      <w:r>
        <w:rPr>
          <w:rFonts w:ascii="宋体" w:hAnsi="宋体"/>
          <w:szCs w:val="21"/>
        </w:rPr>
        <w:t>1</w:t>
      </w:r>
      <w:r>
        <w:rPr>
          <w:rFonts w:ascii="宋体" w:hAnsi="宋体" w:hint="eastAsia"/>
          <w:szCs w:val="21"/>
        </w:rPr>
        <w:t>、私募基金管理人的权利</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）按照本合同的约定，独立管理和运用基金财产；</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）依照本合同的约定，及时、足额获得私募基金管理人管理费用及业绩报酬（如有）；</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）依照有关规定和本合同约定行使因基金财产投资所产生的权利；</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）根据本合同及其他有关规定，监督私募基金托管人；对于私募基金托管人违反本合同或有关法律法规规定的行为，对基金财产及其他当事人的利益造成重大损失的，应当及时采取措施制止；</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）自行销售或者委托代理销售机构销售基金，制定和调整有关基金销售的业务规则，并对销售行为进行必要的监督；</w:t>
      </w:r>
    </w:p>
    <w:p>
      <w:pPr>
        <w:pStyle w:val="a-BR484252"/>
        <w:spacing w:line="360" w:lineRule="auto"/>
        <w:ind w:firstLine="420" w:firstLineChars="200"/>
        <w:rPr>
          <w:rFonts w:ascii="宋体" w:hAnsi="宋体"/>
          <w:szCs w:val="21"/>
        </w:rPr>
      </w:pPr>
      <w:r>
        <w:rPr>
          <w:rFonts w:ascii="宋体" w:hAnsi="宋体" w:cs="宋体" w:hint="eastAsia"/>
          <w:kern w:val="0"/>
          <w:szCs w:val="21"/>
        </w:rPr>
        <w:t>（</w:t>
      </w:r>
      <w:r>
        <w:rPr>
          <w:rFonts w:ascii="宋体" w:hAnsi="宋体" w:cs="宋体"/>
          <w:kern w:val="0"/>
          <w:szCs w:val="21"/>
        </w:rPr>
        <w:t>6</w:t>
      </w:r>
      <w:r>
        <w:rPr>
          <w:rFonts w:ascii="宋体" w:hAnsi="宋体" w:cs="宋体" w:hint="eastAsia"/>
          <w:kern w:val="0"/>
          <w:szCs w:val="21"/>
        </w:rPr>
        <w:t>）根据相关法律法规和本合同约定，自行或委托运营服务机构为投资者办理基金认购、申购、赎回、基金份额转让、非交易过户等份额登记业务；</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为保护投资者权益，根据相关法律法规和本合同约定，制定并根据市场情况调整与基金认购、申购、赎回、基金份额转让和非交易过户相关的业务操作细则（包括但不限于基金总规模、单个基金投资者首次认购、申购金额、每次申购金额及持有的本基金总金额限制等）；</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8）以</w:t>
      </w:r>
      <w:r>
        <w:rPr>
          <w:rFonts w:ascii="宋体" w:hAnsi="宋体" w:hint="eastAsia"/>
          <w:szCs w:val="21"/>
        </w:rPr>
        <w:t>私募基金管理人的名义，代表私募基金与其他第三方签署基金投资相关协议文件、行使诉讼权利或者实施其他法律行为；</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9）按照国家法律法规为基金的利益对基金债务人行使债权人的权利，为基金的利益行使因基金财产投资于债权资产所产生的权利</w:t>
      </w:r>
      <w:r>
        <w:rPr>
          <w:rFonts w:ascii="宋体" w:hAnsi="宋体" w:hint="eastAsia"/>
          <w:szCs w:val="21"/>
        </w:rPr>
        <w:t>以及</w:t>
      </w:r>
      <w:r>
        <w:rPr>
          <w:rFonts w:ascii="宋体" w:hAnsi="宋体"/>
          <w:szCs w:val="21"/>
        </w:rPr>
        <w:t>其他与债权有关的权利；</w:t>
      </w:r>
    </w:p>
    <w:p>
      <w:pPr>
        <w:pStyle w:val="a-BR484252"/>
        <w:spacing w:line="360" w:lineRule="auto"/>
        <w:ind w:firstLine="420" w:firstLineChars="200"/>
        <w:rPr>
          <w:rFonts w:ascii="宋体" w:hAnsi="宋体" w:cs="宋体"/>
          <w:kern w:val="0"/>
          <w:szCs w:val="21"/>
        </w:rPr>
      </w:pPr>
      <w:r>
        <w:rPr>
          <w:rFonts w:ascii="宋体" w:hAnsi="宋体" w:hint="eastAsia"/>
          <w:szCs w:val="21"/>
        </w:rPr>
        <w:t>（</w:t>
      </w:r>
      <w:r>
        <w:rPr>
          <w:rFonts w:ascii="宋体" w:hAnsi="宋体"/>
          <w:szCs w:val="21"/>
        </w:rPr>
        <w:t>10）按照相关法律法规要求以及本合同约定</w:t>
      </w:r>
      <w:r>
        <w:rPr>
          <w:rFonts w:ascii="宋体" w:hAnsi="宋体" w:cs="宋体" w:hint="eastAsia"/>
          <w:kern w:val="0"/>
          <w:szCs w:val="21"/>
        </w:rPr>
        <w:t>委托基金服务机构为本基金提供相应服务，并根据实际需要聘任会计师事务所、律师事务所；</w:t>
      </w:r>
    </w:p>
    <w:p>
      <w:pPr>
        <w:pStyle w:val="a-BR484252"/>
        <w:spacing w:line="360" w:lineRule="auto"/>
        <w:ind w:firstLine="420" w:firstLineChars="200"/>
        <w:rPr>
          <w:rFonts w:ascii="宋体" w:hAnsi="宋体" w:cs="宋体"/>
          <w:kern w:val="0"/>
          <w:szCs w:val="21"/>
        </w:rPr>
      </w:pPr>
      <w:r>
        <w:rPr>
          <w:rFonts w:ascii="宋体" w:hAnsi="宋体" w:cs="宋体" w:hint="eastAsia"/>
          <w:kern w:val="0"/>
          <w:szCs w:val="21"/>
        </w:rPr>
        <w:t>（11）聘请符合相关法律法规、监管机构要求的机构作为投资顾问，接受投资顾问提供的投资建议指导；</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12）国家有关法律法规、监管机构</w:t>
      </w:r>
      <w:r>
        <w:rPr>
          <w:rFonts w:ascii="宋体" w:hAnsi="宋体" w:hint="eastAsia"/>
          <w:szCs w:val="21"/>
        </w:rPr>
        <w:t>规定</w:t>
      </w:r>
      <w:r>
        <w:rPr>
          <w:rFonts w:ascii="宋体" w:hAnsi="宋体"/>
          <w:szCs w:val="21"/>
        </w:rPr>
        <w:t>及本合同</w:t>
      </w:r>
      <w:r>
        <w:rPr>
          <w:rFonts w:ascii="宋体" w:hAnsi="宋体" w:hint="eastAsia"/>
          <w:szCs w:val="21"/>
        </w:rPr>
        <w:t>约定</w:t>
      </w:r>
      <w:r>
        <w:rPr>
          <w:rFonts w:ascii="宋体" w:hAnsi="宋体"/>
          <w:szCs w:val="21"/>
        </w:rPr>
        <w:t>的其他权利。</w:t>
      </w:r>
    </w:p>
    <w:p>
      <w:pPr>
        <w:pStyle w:val="a-BR484252"/>
        <w:spacing w:line="360" w:lineRule="auto"/>
        <w:ind w:firstLine="420" w:firstLineChars="200"/>
        <w:rPr>
          <w:rFonts w:ascii="宋体" w:hAnsi="宋体"/>
          <w:szCs w:val="21"/>
        </w:rPr>
      </w:pPr>
      <w:r>
        <w:rPr>
          <w:rFonts w:ascii="宋体" w:hAnsi="宋体"/>
          <w:szCs w:val="21"/>
        </w:rPr>
        <w:t>2</w:t>
      </w:r>
      <w:r>
        <w:rPr>
          <w:rFonts w:ascii="宋体" w:hAnsi="宋体" w:hint="eastAsia"/>
          <w:szCs w:val="21"/>
        </w:rPr>
        <w:t>、私募基金管理人的义务</w:t>
      </w:r>
    </w:p>
    <w:p>
      <w:pPr>
        <w:pStyle w:val="a-BR484252"/>
        <w:spacing w:line="360" w:lineRule="auto"/>
        <w:ind w:firstLine="420" w:firstLineChars="200"/>
        <w:rPr>
          <w:rFonts w:ascii="宋体" w:hAnsi="宋体"/>
          <w:bCs/>
          <w:szCs w:val="21"/>
        </w:rPr>
      </w:pPr>
      <w:r>
        <w:rPr>
          <w:rFonts w:ascii="宋体" w:hAnsi="宋体" w:hint="eastAsia"/>
          <w:szCs w:val="21"/>
        </w:rPr>
        <w:t>（</w:t>
      </w:r>
      <w:r>
        <w:rPr>
          <w:rFonts w:ascii="宋体" w:hAnsi="宋体"/>
          <w:bCs/>
          <w:szCs w:val="21"/>
        </w:rPr>
        <w:t>1</w:t>
      </w:r>
      <w:r>
        <w:rPr>
          <w:rFonts w:ascii="宋体" w:hAnsi="宋体" w:hint="eastAsia"/>
          <w:bCs/>
          <w:szCs w:val="21"/>
        </w:rPr>
        <w:t>）自行或委托第三方募集机构办理基金的募集、销售事宜，自行或委托运营服务机构办理产品份额登记事宜，履行私募基金管理人登记和私募基金备案手续；</w:t>
      </w:r>
    </w:p>
    <w:p>
      <w:pPr>
        <w:pStyle w:val="a-BR484252"/>
        <w:spacing w:line="360" w:lineRule="auto"/>
        <w:ind w:firstLine="420" w:firstLineChars="200"/>
        <w:rPr>
          <w:rFonts w:ascii="宋体" w:hAnsi="宋体"/>
          <w:bCs/>
          <w:szCs w:val="21"/>
        </w:rPr>
      </w:pPr>
      <w:r>
        <w:rPr>
          <w:rFonts w:ascii="宋体" w:hAnsi="宋体" w:hint="eastAsia"/>
          <w:bCs/>
          <w:szCs w:val="21"/>
        </w:rPr>
        <w:t>（</w:t>
      </w:r>
      <w:r>
        <w:rPr>
          <w:rFonts w:ascii="宋体" w:hAnsi="宋体"/>
          <w:bCs/>
          <w:szCs w:val="21"/>
        </w:rPr>
        <w:t>2）</w:t>
      </w:r>
      <w:r>
        <w:rPr>
          <w:rFonts w:ascii="宋体" w:hAnsi="宋体" w:hint="eastAsia"/>
          <w:bCs/>
          <w:szCs w:val="21"/>
        </w:rPr>
        <w:t>私募基金管理人应根据法律法规规定及本合同约定履行主动管理基金的职责，并在基金运作过程中按照法律法规规定及本合同的约定进行投资决策，包括使用基金资产进行直接投资活动以及将资产进行变现；</w:t>
      </w:r>
    </w:p>
    <w:p>
      <w:pPr>
        <w:pStyle w:val="a-BR484252"/>
        <w:spacing w:line="360" w:lineRule="auto"/>
        <w:ind w:firstLine="420" w:firstLineChars="200"/>
        <w:rPr>
          <w:rFonts w:ascii="宋体" w:hAnsi="宋体"/>
          <w:bCs/>
          <w:szCs w:val="21"/>
        </w:rPr>
      </w:pPr>
      <w:r>
        <w:rPr>
          <w:rFonts w:ascii="宋体" w:hAnsi="宋体" w:hint="eastAsia"/>
          <w:bCs/>
          <w:szCs w:val="21"/>
        </w:rPr>
        <w:t>（</w:t>
      </w:r>
      <w:r>
        <w:rPr>
          <w:rFonts w:ascii="宋体" w:hAnsi="宋体"/>
          <w:bCs/>
          <w:szCs w:val="21"/>
        </w:rPr>
        <w:t>3）</w:t>
      </w:r>
      <w:r>
        <w:rPr>
          <w:rFonts w:ascii="宋体" w:hAnsi="宋体" w:hint="eastAsia"/>
          <w:bCs/>
          <w:szCs w:val="21"/>
        </w:rPr>
        <w:t>私募基金管理人应当遵循专业化运营原则，不得从事与私募投资基金有利益冲突的业务，</w:t>
      </w:r>
      <w:r>
        <w:rPr>
          <w:rFonts w:ascii="宋体" w:hAnsi="宋体"/>
          <w:bCs/>
          <w:szCs w:val="21"/>
        </w:rPr>
        <w:t>按照诚实信用、勤勉尽责的原则履行受托人义务，管理和运用基金财产</w:t>
      </w:r>
      <w:r>
        <w:rPr>
          <w:rFonts w:ascii="宋体" w:hAnsi="宋体" w:hint="eastAsia"/>
          <w:bCs/>
          <w:szCs w:val="21"/>
        </w:rPr>
        <w:t>，确保资产变现获得的款项汇入托管资金账户，不得将应当履行的受托人责任转委托</w:t>
      </w:r>
      <w:r>
        <w:rPr>
          <w:rFonts w:ascii="宋体" w:hAnsi="宋体"/>
          <w:bCs/>
          <w:szCs w:val="21"/>
        </w:rPr>
        <w:t>；</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4）制作</w:t>
      </w:r>
      <w:r>
        <w:rPr>
          <w:rFonts w:ascii="宋体" w:hAnsi="宋体" w:hint="eastAsia"/>
          <w:szCs w:val="21"/>
        </w:rPr>
        <w:t>或委托代理销售机构制作调查问卷，对投资者的风险识别能力和风险承担能力进行评估，向符合法律法规规定的合格投资者非公开募集资金；</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5）制作风险揭示书，向投资者充分揭示相关风险；</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6</w:t>
      </w:r>
      <w:r>
        <w:rPr>
          <w:rFonts w:ascii="宋体" w:hAnsi="宋体" w:hint="eastAsia"/>
          <w:szCs w:val="21"/>
        </w:rPr>
        <w:t>）按照法律法规规定和相关合同约定开设和注销基金的证券资金账户、期货账户等投资所需账户；</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）按照本合同约定将本基金项下资金移交私募基金托管人保管；</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8</w:t>
      </w:r>
      <w:r>
        <w:rPr>
          <w:rFonts w:ascii="宋体" w:hAnsi="宋体" w:hint="eastAsia"/>
          <w:szCs w:val="21"/>
        </w:rPr>
        <w:t>）配备足够的具有专业能力的人员进行投资分析、决策，以专业化的经营方式管理和运作基金财产；</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9</w:t>
      </w:r>
      <w:r>
        <w:rPr>
          <w:rFonts w:ascii="宋体" w:hAnsi="宋体" w:hint="eastAsia"/>
          <w:szCs w:val="21"/>
        </w:rPr>
        <w:t>）建立健全内部风险控制、监察与稽核、信息披露</w:t>
      </w:r>
      <w:r>
        <w:rPr>
          <w:rFonts w:ascii="宋体" w:hAnsi="宋体"/>
          <w:szCs w:val="21"/>
        </w:rPr>
        <w:t>、</w:t>
      </w:r>
      <w:r>
        <w:rPr>
          <w:rFonts w:ascii="宋体" w:hAnsi="宋体" w:hint="eastAsia"/>
          <w:szCs w:val="21"/>
        </w:rPr>
        <w:t>财务管理及人事管理等制度，保证所管理的基金财产与其管理的其他基金财产和私募基金管理人的固有财产相互独立，对所管理的不同财产分别管理、分别记账、分别投资；</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10）不得利用基金财产或者职务之便，为私募基金管理人或者投资者以外的第三人牟</w:t>
      </w:r>
      <w:r>
        <w:rPr>
          <w:rFonts w:ascii="宋体" w:hAnsi="宋体" w:hint="eastAsia"/>
          <w:szCs w:val="21"/>
        </w:rPr>
        <w:t>取利益，进行利益输送；</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11）自行担任或者委托其他份额登记机构办理份额登记业务，委托其他份额登记机构办理份额登记业务时，对份额登记机构的代理行为进行必要的监督和检查</w:t>
      </w:r>
      <w:r>
        <w:rPr>
          <w:rFonts w:ascii="宋体" w:hAnsi="宋体" w:hint="eastAsia"/>
          <w:szCs w:val="21"/>
        </w:rPr>
        <w:t>；</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12</w:t>
      </w:r>
      <w:r>
        <w:rPr>
          <w:rFonts w:ascii="宋体" w:hAnsi="宋体" w:hint="eastAsia"/>
          <w:szCs w:val="21"/>
        </w:rPr>
        <w:t>）按照本合同的约定接受基金份额持有人和私募基金托管人的监督；</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13</w:t>
      </w:r>
      <w:r>
        <w:rPr>
          <w:rFonts w:ascii="宋体" w:hAnsi="宋体" w:hint="eastAsia"/>
          <w:szCs w:val="21"/>
        </w:rPr>
        <w:t>）按照本合同约定及时向私募基金托管人提供非证券类资产凭证或股权证明（</w:t>
      </w:r>
      <w:r>
        <w:rPr>
          <w:rFonts w:ascii="宋体" w:hAnsi="宋体"/>
          <w:szCs w:val="21"/>
        </w:rPr>
        <w:t>包括股东名册和工商部门出具并加盖公章的权利证明文件</w:t>
      </w:r>
      <w:r>
        <w:rPr>
          <w:rFonts w:ascii="宋体" w:hAnsi="宋体" w:hint="eastAsia"/>
          <w:szCs w:val="21"/>
        </w:rPr>
        <w:t>）</w:t>
      </w:r>
      <w:r>
        <w:rPr>
          <w:rFonts w:ascii="宋体" w:hAnsi="宋体"/>
          <w:szCs w:val="21"/>
        </w:rPr>
        <w:t>等重要文件（如有）；</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14</w:t>
      </w:r>
      <w:r>
        <w:rPr>
          <w:rFonts w:ascii="宋体" w:hAnsi="宋体" w:hint="eastAsia"/>
          <w:szCs w:val="21"/>
        </w:rPr>
        <w:t>）按照本合同约定负责私募基金会计核算并编制基金财务会计报告；</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15</w:t>
      </w:r>
      <w:r>
        <w:rPr>
          <w:rFonts w:ascii="宋体" w:hAnsi="宋体" w:hint="eastAsia"/>
          <w:szCs w:val="21"/>
        </w:rPr>
        <w:t>）按照本合同约定计算并向基金投资者披露基金份额净值或者投资收益情况；</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16</w:t>
      </w:r>
      <w:r>
        <w:rPr>
          <w:rFonts w:ascii="宋体" w:hAnsi="宋体" w:hint="eastAsia"/>
          <w:szCs w:val="21"/>
        </w:rPr>
        <w:t>）遵守《私募投资基金信息披露管理办法》等规定及本合同约定，</w:t>
      </w:r>
      <w:r>
        <w:rPr>
          <w:rFonts w:ascii="宋体" w:hAnsi="宋体"/>
          <w:szCs w:val="21"/>
        </w:rPr>
        <w:t>及时</w:t>
      </w:r>
      <w:r>
        <w:rPr>
          <w:rFonts w:ascii="宋体" w:hAnsi="宋体" w:hint="eastAsia"/>
          <w:szCs w:val="21"/>
        </w:rPr>
        <w:t>向基金份额</w:t>
      </w:r>
      <w:r>
        <w:rPr>
          <w:rFonts w:ascii="宋体" w:hAnsi="宋体"/>
          <w:szCs w:val="21"/>
        </w:rPr>
        <w:t>持有人</w:t>
      </w:r>
      <w:r>
        <w:rPr>
          <w:rFonts w:ascii="宋体" w:hAnsi="宋体" w:hint="eastAsia"/>
          <w:szCs w:val="21"/>
        </w:rPr>
        <w:t>披露定期更新的招募说明书（如有）和基金定期报告，揭示私募基金资产运作情况，包括：私募基金信息披露月度报表（如需</w:t>
      </w:r>
      <w:r>
        <w:rPr>
          <w:rFonts w:ascii="宋体" w:hAnsi="宋体"/>
          <w:szCs w:val="21"/>
        </w:rPr>
        <w:t>）</w:t>
      </w:r>
      <w:r>
        <w:rPr>
          <w:rFonts w:ascii="宋体" w:hAnsi="宋体" w:hint="eastAsia"/>
          <w:szCs w:val="21"/>
        </w:rPr>
        <w:t>、季度报表、年度报表等</w:t>
      </w:r>
      <w:r>
        <w:rPr>
          <w:rFonts w:ascii="宋体" w:hAnsi="宋体"/>
          <w:szCs w:val="21"/>
        </w:rPr>
        <w:t>；</w:t>
      </w:r>
      <w:r>
        <w:rPr>
          <w:rFonts w:ascii="宋体" w:hAnsi="宋体" w:hint="eastAsia"/>
          <w:szCs w:val="21"/>
        </w:rPr>
        <w:t>本基金发生法律法规规定的重大事项时，私募基金管理人应按规定及时向投资者披露；</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17</w:t>
      </w:r>
      <w:r>
        <w:rPr>
          <w:rFonts w:ascii="宋体" w:hAnsi="宋体" w:hint="eastAsia"/>
          <w:szCs w:val="21"/>
        </w:rPr>
        <w:t>）确定基金份额申购、赎回价格，采取适当、合理的措施使确定基金份额交易价格的计算方法符合法律、行政法规的规定和本合同的约定；</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18</w:t>
      </w:r>
      <w:r>
        <w:rPr>
          <w:rFonts w:ascii="宋体" w:hAnsi="宋体" w:hint="eastAsia"/>
          <w:szCs w:val="21"/>
        </w:rPr>
        <w:t>）保守商业秘密，不得泄露私募基金的投资计划或意向等，法律法规另有规定的除外；</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19</w:t>
      </w:r>
      <w:r>
        <w:rPr>
          <w:rFonts w:ascii="宋体" w:hAnsi="宋体" w:hint="eastAsia"/>
          <w:szCs w:val="21"/>
        </w:rPr>
        <w:t>）保存私募基金投资业务活动的全部会计资料，并妥善保存有关的合同、交易记录、账册、报表及其他相关资料，保存期限自私募基金清算终止之日起不得少于</w:t>
      </w:r>
      <w:r>
        <w:rPr>
          <w:rFonts w:ascii="宋体" w:hAnsi="宋体"/>
          <w:szCs w:val="21"/>
        </w:rPr>
        <w:t>10年</w:t>
      </w:r>
      <w:r>
        <w:rPr>
          <w:rFonts w:ascii="宋体" w:hAnsi="宋体" w:hint="eastAsia"/>
          <w:szCs w:val="21"/>
        </w:rPr>
        <w:t>；</w:t>
      </w:r>
    </w:p>
    <w:p>
      <w:pPr>
        <w:pStyle w:val="a-BR484252"/>
        <w:spacing w:line="360" w:lineRule="auto"/>
        <w:ind w:firstLine="420" w:firstLineChars="200"/>
        <w:rPr>
          <w:rFonts w:ascii="宋体" w:hAnsi="宋体"/>
          <w:b/>
          <w:szCs w:val="21"/>
        </w:rPr>
      </w:pPr>
      <w:r>
        <w:rPr>
          <w:rFonts w:ascii="宋体" w:hAnsi="宋体" w:hint="eastAsia"/>
          <w:szCs w:val="21"/>
        </w:rPr>
        <w:t>（</w:t>
      </w:r>
      <w:r>
        <w:rPr>
          <w:rFonts w:ascii="宋体" w:hAnsi="宋体"/>
          <w:szCs w:val="21"/>
        </w:rPr>
        <w:t>20</w:t>
      </w:r>
      <w:r>
        <w:rPr>
          <w:rFonts w:ascii="宋体" w:hAnsi="宋体" w:hint="eastAsia"/>
          <w:szCs w:val="21"/>
        </w:rPr>
        <w:t>）确保证券</w:t>
      </w:r>
      <w:r>
        <w:rPr>
          <w:rFonts w:ascii="宋体" w:hAnsi="宋体"/>
          <w:szCs w:val="21"/>
        </w:rPr>
        <w:t>/期货经纪服务机构及时向</w:t>
      </w:r>
      <w:r>
        <w:rPr>
          <w:rFonts w:ascii="宋体" w:hAnsi="宋体" w:hint="eastAsia"/>
          <w:szCs w:val="21"/>
        </w:rPr>
        <w:t>私募基金托管人、运营服务机构发送结算数据、对账单等估值所需的资料。交易佣金费率发生变更的，应及时通知</w:t>
      </w:r>
      <w:r>
        <w:rPr>
          <w:rFonts w:ascii="宋体" w:hAnsi="宋体"/>
          <w:szCs w:val="21"/>
        </w:rPr>
        <w:t>私募基金</w:t>
      </w:r>
      <w:r>
        <w:rPr>
          <w:rFonts w:ascii="宋体" w:hAnsi="宋体" w:hint="eastAsia"/>
          <w:szCs w:val="21"/>
        </w:rPr>
        <w:t>托管人该等变更事项；</w:t>
      </w:r>
    </w:p>
    <w:p>
      <w:pPr>
        <w:pStyle w:val="a-BR484252"/>
        <w:spacing w:line="360" w:lineRule="auto"/>
        <w:ind w:firstLine="420" w:firstLineChars="200"/>
        <w:rPr>
          <w:rFonts w:ascii="宋体" w:hAnsi="宋体"/>
          <w:szCs w:val="21"/>
        </w:rPr>
      </w:pPr>
      <w:r>
        <w:rPr>
          <w:rFonts w:ascii="宋体" w:hAnsi="宋体" w:hint="eastAsia"/>
          <w:szCs w:val="21"/>
        </w:rPr>
        <w:t>（21）私募基金管理人应确保本基金宣传资料真实、准确、完整，不得进行虚假宣传。私募基金管理人制作的宣传材料涉及私募基金托管人的，仅可表述为“国泰君安证券为本产品的私募基金托管人”，不得以私募基金托管人名义进行任何其他宣传，私募基金托管人有权对私募基金管理人及本基金宣传材料进行检查，私募基金管理人违反上述约定的，私募基金托管人有权向私募基金管理人追责；</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22</w:t>
      </w:r>
      <w:r>
        <w:rPr>
          <w:rFonts w:ascii="宋体" w:hAnsi="宋体" w:hint="eastAsia"/>
          <w:szCs w:val="21"/>
        </w:rPr>
        <w:t>）公平对待所管理的不同财产，不得从事任何有损基金财产及其他当事人利益的活动；</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23</w:t>
      </w:r>
      <w:r>
        <w:rPr>
          <w:rFonts w:ascii="宋体" w:hAnsi="宋体" w:hint="eastAsia"/>
          <w:szCs w:val="21"/>
        </w:rPr>
        <w:t>）按照基金合同的约定确定私募基金收益分配方案，及时向投资者分配收益；</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24）</w:t>
      </w:r>
      <w:r>
        <w:rPr>
          <w:rFonts w:ascii="宋体" w:hAnsi="宋体" w:hint="eastAsia"/>
          <w:szCs w:val="21"/>
        </w:rPr>
        <w:t>按照基金合同的约定及时启动基金清算程序，</w:t>
      </w:r>
      <w:r>
        <w:rPr>
          <w:rFonts w:ascii="宋体" w:hAnsi="宋体"/>
          <w:szCs w:val="21"/>
        </w:rPr>
        <w:t>组织并参加基金财产清算小组，参与基金财产的保管、清理、估价、变现和分配；</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25）本合同的签署采用纸质合同的方式进行的，</w:t>
      </w:r>
      <w:r>
        <w:rPr>
          <w:rFonts w:ascii="宋体" w:hAnsi="宋体" w:hint="eastAsia"/>
          <w:szCs w:val="21"/>
        </w:rPr>
        <w:t>应</w:t>
      </w:r>
      <w:r>
        <w:rPr>
          <w:rFonts w:ascii="宋体" w:hAnsi="宋体"/>
          <w:szCs w:val="21"/>
        </w:rPr>
        <w:t>妥善保管并按私募基金托管人要求</w:t>
      </w:r>
      <w:r>
        <w:rPr>
          <w:rFonts w:ascii="宋体" w:hAnsi="宋体" w:hint="eastAsia"/>
          <w:szCs w:val="21"/>
        </w:rPr>
        <w:t>，</w:t>
      </w:r>
      <w:r>
        <w:rPr>
          <w:rFonts w:ascii="宋体" w:hAnsi="宋体"/>
          <w:szCs w:val="21"/>
        </w:rPr>
        <w:t>于基金合同签署完成后的</w:t>
      </w:r>
      <w:r>
        <w:rPr>
          <w:rFonts w:ascii="宋体" w:hAnsi="宋体" w:hint="eastAsia"/>
          <w:szCs w:val="21"/>
        </w:rPr>
        <w:t>60日内，</w:t>
      </w:r>
      <w:r>
        <w:rPr>
          <w:rFonts w:ascii="宋体" w:hAnsi="宋体"/>
          <w:szCs w:val="21"/>
        </w:rPr>
        <w:t>及</w:t>
      </w:r>
      <w:r>
        <w:rPr>
          <w:rFonts w:ascii="宋体" w:hAnsi="宋体" w:hint="eastAsia"/>
          <w:szCs w:val="21"/>
        </w:rPr>
        <w:t>时向私募基金托管人移交基金投资者签署的基金合同原件，因私募基金管理人未妥善保管或未及时向私募基金托管人移交基金合同原件导致私募基金托管人损失的，私募基金管理人应予以赔偿；</w:t>
      </w:r>
    </w:p>
    <w:p>
      <w:pPr>
        <w:pStyle w:val="a-BR484252"/>
        <w:spacing w:line="360" w:lineRule="auto"/>
        <w:ind w:firstLine="420" w:firstLineChars="200"/>
        <w:rPr>
          <w:rFonts w:ascii="宋体" w:hAnsi="宋体"/>
          <w:szCs w:val="21"/>
        </w:rPr>
      </w:pPr>
      <w:r>
        <w:rPr>
          <w:rFonts w:ascii="宋体" w:hAnsi="宋体" w:hint="eastAsia"/>
          <w:szCs w:val="21"/>
        </w:rPr>
        <w:t>本合同的签署</w:t>
      </w:r>
      <w:r>
        <w:rPr>
          <w:rFonts w:ascii="宋体" w:hAnsi="宋体"/>
          <w:szCs w:val="21"/>
        </w:rPr>
        <w:t>采用电子签名的方式</w:t>
      </w:r>
      <w:r>
        <w:rPr>
          <w:rFonts w:ascii="宋体" w:hAnsi="宋体" w:hint="eastAsia"/>
          <w:szCs w:val="21"/>
        </w:rPr>
        <w:t>进行的</w:t>
      </w:r>
      <w:r>
        <w:rPr>
          <w:rFonts w:ascii="宋体" w:hAnsi="宋体"/>
          <w:szCs w:val="21"/>
        </w:rPr>
        <w:t>，</w:t>
      </w:r>
      <w:r>
        <w:rPr>
          <w:rFonts w:ascii="宋体" w:hAnsi="宋体" w:hint="eastAsia"/>
          <w:szCs w:val="21"/>
        </w:rPr>
        <w:t>应确保基金投资者使用私募基金管理人、代理销售机构或其委托的具备相应资质的第三方认证机构颁发的有效的数字证书以电子签名方式签订本合同。私募基金管理人应确保基金投资者签订本合同所使用的电子签名符合《中华人民共和国电子签名法》等法律法规、监管规定的相关要求；</w:t>
      </w:r>
    </w:p>
    <w:p>
      <w:pPr>
        <w:pStyle w:val="a-BR484252"/>
        <w:spacing w:line="360" w:lineRule="auto"/>
        <w:ind w:firstLine="420" w:firstLineChars="200"/>
        <w:rPr>
          <w:rFonts w:ascii="宋体" w:hAnsi="宋体"/>
          <w:szCs w:val="21"/>
        </w:rPr>
      </w:pPr>
      <w:r>
        <w:rPr>
          <w:rFonts w:ascii="宋体" w:hAnsi="宋体" w:hint="eastAsia"/>
          <w:szCs w:val="21"/>
        </w:rPr>
        <w:t>基金投资者完成本合同签署后，私募基金管理人应确保私募基金托管人可以从私募基金管理人指定的渠道获得全体基金投资者签订本合同的相关电子数据信息（以下简称“电子数据信息”），包括且不限于基金投资者身份信息、签约序列号、签约时间、电子协议版本号等。私募基金管理人应对私募基金托管人收到的电子数据信息的真实性、准确性和完整性负责；</w:t>
      </w:r>
    </w:p>
    <w:p>
      <w:pPr>
        <w:pStyle w:val="a-BR484252"/>
        <w:spacing w:line="360" w:lineRule="auto"/>
        <w:ind w:firstLine="420" w:firstLineChars="200"/>
        <w:rPr>
          <w:rFonts w:ascii="宋体" w:hAnsi="宋体"/>
          <w:szCs w:val="21"/>
        </w:rPr>
      </w:pPr>
      <w:r>
        <w:rPr>
          <w:rFonts w:ascii="宋体" w:hAnsi="宋体" w:hint="eastAsia"/>
          <w:szCs w:val="21"/>
        </w:rPr>
        <w:t>私募基金托管人收到的电子数据信息应符合法律法规、监管规定和私募基金托管人向私募基金管理人或代理销售机构提出的文件保存要求，且该等电子数据信息能够有效地表现所载内容，能够可靠地保证自最终形成时起内容保持完整、未被更改且可以作为证据的电子数据，并可供私募基金托管人随时调取查用。如私募基金托管人要求私募基金管理人或代理销售机构提供带有基金投资者电子签名的本合同电子签署信息的，私募基金管理人或代理销售机构应按照私募基金托管人的要求及时提供；</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26）建立并保存基金份额持有人名册，按规定向私募基金托管人提供基金份额持有人名册资料；</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27）面临解散、依法被撤销或者被依法宣告破产时，及时报告中国基金业协会并通知私募基金托管人和基金投资者；</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28）因违反本合同导致基金财产损失或损害基金份额持有人的合法权益时，应承担赔偿责任，其赔偿责任不因其退出而免除；</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29）当私募基金管理人将其义务委托第三方处理时，应当对第三方处理有关基金事务的行为承担责任；</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30）本基金发生变更、展期、终止等情形，私募基金管理人应当按照基金业协会规定进行备案</w:t>
      </w:r>
      <w:r>
        <w:rPr>
          <w:rFonts w:ascii="宋体" w:hAnsi="宋体" w:hint="eastAsia"/>
          <w:szCs w:val="21"/>
        </w:rPr>
        <w:t>；</w:t>
      </w:r>
    </w:p>
    <w:p>
      <w:pPr>
        <w:pStyle w:val="a-BR484252"/>
        <w:spacing w:line="353" w:lineRule="auto"/>
        <w:ind w:firstLine="420" w:firstLineChars="200"/>
        <w:rPr>
          <w:rFonts w:ascii="宋体" w:hAnsi="宋体"/>
          <w:szCs w:val="21"/>
        </w:rPr>
      </w:pPr>
      <w:r>
        <w:rPr>
          <w:rFonts w:ascii="宋体" w:hAnsi="宋体" w:hint="eastAsia"/>
          <w:szCs w:val="21"/>
        </w:rPr>
        <w:t>（</w:t>
      </w:r>
      <w:r>
        <w:rPr>
          <w:rFonts w:ascii="宋体" w:hAnsi="宋体"/>
          <w:szCs w:val="21"/>
        </w:rPr>
        <w:t>31）</w:t>
      </w:r>
      <w:r>
        <w:rPr>
          <w:rFonts w:ascii="宋体" w:hAnsi="宋体" w:hint="eastAsia"/>
          <w:szCs w:val="21"/>
        </w:rPr>
        <w:t>不得违反金融监督管理部门的规定，通过为单一融资项目设立多只私募基金的方式，变相突破投资人数限制或者其他监管要求；</w:t>
      </w:r>
    </w:p>
    <w:p>
      <w:pPr>
        <w:pStyle w:val="a-BR484252"/>
        <w:spacing w:line="353" w:lineRule="auto"/>
        <w:ind w:firstLine="420" w:firstLineChars="200"/>
        <w:rPr>
          <w:rFonts w:ascii="宋体" w:hAnsi="宋体"/>
          <w:szCs w:val="21"/>
        </w:rPr>
      </w:pPr>
      <w:r>
        <w:rPr>
          <w:rFonts w:ascii="宋体" w:hAnsi="宋体" w:hint="eastAsia"/>
          <w:szCs w:val="21"/>
        </w:rPr>
        <w:t>（32）不得为其他金融机构的资产管理产品提供规避投资范围、杠杆约束等监管要求的通道服务；</w:t>
      </w:r>
    </w:p>
    <w:p>
      <w:pPr>
        <w:pStyle w:val="a-BR484252"/>
        <w:spacing w:line="353" w:lineRule="auto"/>
        <w:ind w:firstLine="420" w:firstLineChars="200"/>
        <w:rPr>
          <w:rFonts w:ascii="宋体" w:hAnsi="宋体"/>
          <w:szCs w:val="21"/>
        </w:rPr>
      </w:pPr>
      <w:r>
        <w:rPr>
          <w:rFonts w:ascii="宋体" w:hAnsi="宋体" w:hint="eastAsia"/>
          <w:szCs w:val="21"/>
        </w:rPr>
        <w:t>（33）如本基金进行关联交易的，应当防范利益冲突，遵循投资者利益优先原则和平等自愿、等价有偿的原则，建立有效的关联交易风险控制机制；</w:t>
      </w:r>
    </w:p>
    <w:p>
      <w:pPr>
        <w:pStyle w:val="a-BR484252"/>
        <w:spacing w:line="353" w:lineRule="auto"/>
        <w:ind w:firstLine="420" w:firstLineChars="200"/>
        <w:rPr>
          <w:rFonts w:ascii="宋体" w:hAnsi="宋体"/>
          <w:szCs w:val="21"/>
        </w:rPr>
      </w:pPr>
      <w:r>
        <w:rPr>
          <w:rFonts w:ascii="宋体" w:hAnsi="宋体" w:hint="eastAsia"/>
          <w:szCs w:val="21"/>
        </w:rPr>
        <w:t>（3</w:t>
      </w:r>
      <w:r>
        <w:rPr>
          <w:rFonts w:ascii="宋体" w:hAnsi="宋体"/>
          <w:szCs w:val="21"/>
        </w:rPr>
        <w:t>4</w:t>
      </w:r>
      <w:r>
        <w:rPr>
          <w:rFonts w:ascii="宋体" w:hAnsi="宋体" w:hint="eastAsia"/>
          <w:szCs w:val="21"/>
        </w:rPr>
        <w:t>）确保管理费、业绩报酬的收取标准、频率、方式符合相关法律法规、自律规则的规定；</w:t>
      </w:r>
    </w:p>
    <w:p>
      <w:pPr>
        <w:pStyle w:val="a-BR484252"/>
        <w:spacing w:line="353" w:lineRule="auto"/>
        <w:ind w:firstLine="420" w:firstLineChars="200"/>
        <w:rPr>
          <w:rFonts w:ascii="宋体" w:hAnsi="宋体"/>
          <w:szCs w:val="21"/>
        </w:rPr>
      </w:pPr>
      <w:r>
        <w:rPr>
          <w:rFonts w:ascii="宋体" w:hAnsi="宋体" w:hint="eastAsia"/>
          <w:szCs w:val="21"/>
        </w:rPr>
        <w:t>（35）识别本基金的投资者和所投资标的，确保本基金的结构符合相关法律法规、自律规则的规定；</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6</w:t>
      </w:r>
      <w:r>
        <w:rPr>
          <w:rFonts w:ascii="宋体" w:hAnsi="宋体"/>
          <w:szCs w:val="21"/>
        </w:rPr>
        <w:t>）国家有关法律法规、监管机构</w:t>
      </w:r>
      <w:r>
        <w:rPr>
          <w:rFonts w:ascii="宋体" w:hAnsi="宋体" w:hint="eastAsia"/>
          <w:szCs w:val="21"/>
        </w:rPr>
        <w:t>规定</w:t>
      </w:r>
      <w:r>
        <w:rPr>
          <w:rFonts w:ascii="宋体" w:hAnsi="宋体"/>
          <w:szCs w:val="21"/>
        </w:rPr>
        <w:t>及本合同</w:t>
      </w:r>
      <w:r>
        <w:rPr>
          <w:rFonts w:ascii="宋体" w:hAnsi="宋体" w:hint="eastAsia"/>
          <w:szCs w:val="21"/>
        </w:rPr>
        <w:t>约定</w:t>
      </w:r>
      <w:r>
        <w:rPr>
          <w:rFonts w:ascii="宋体" w:hAnsi="宋体"/>
          <w:szCs w:val="21"/>
        </w:rPr>
        <w:t>的其他义务。</w:t>
      </w:r>
    </w:p>
    <w:p>
      <w:pPr>
        <w:pStyle w:val="a-BR484252"/>
        <w:spacing w:line="360" w:lineRule="auto"/>
        <w:ind w:firstLine="420" w:firstLineChars="200"/>
        <w:rPr>
          <w:rFonts w:ascii="宋体" w:hAnsi="宋体"/>
          <w:szCs w:val="21"/>
        </w:rPr>
      </w:pPr>
      <w:r>
        <w:rPr>
          <w:rFonts w:ascii="宋体" w:hAnsi="宋体" w:hint="eastAsia"/>
          <w:szCs w:val="21"/>
        </w:rPr>
        <w:t>（二）私募基金托管人</w:t>
      </w:r>
    </w:p>
    <w:p>
      <w:pPr>
        <w:pStyle w:val="a3-BR484252"/>
        <w:rPr>
          <w:rFonts w:hAnsi="宋体"/>
          <w:szCs w:val="21"/>
        </w:rPr>
      </w:pPr>
      <w:r>
        <w:rPr>
          <w:rFonts w:hAnsi="宋体" w:hint="eastAsia"/>
          <w:szCs w:val="21"/>
        </w:rPr>
        <w:t>名称：国泰君安证券股份有限公司</w:t>
      </w:r>
    </w:p>
    <w:p>
      <w:pPr>
        <w:pStyle w:val="a3-BR484252"/>
        <w:rPr>
          <w:rFonts w:hAnsi="宋体"/>
          <w:szCs w:val="21"/>
        </w:rPr>
      </w:pPr>
      <w:r>
        <w:rPr>
          <w:rFonts w:hAnsi="宋体" w:hint="eastAsia"/>
          <w:szCs w:val="21"/>
        </w:rPr>
        <w:t>住所：中国（</w:t>
      </w:r>
      <w:r>
        <w:rPr>
          <w:rFonts w:hAnsi="宋体" w:cs="宋体-WinCharSetFFFF-H" w:hint="eastAsia"/>
          <w:kern w:val="0"/>
          <w:szCs w:val="21"/>
        </w:rPr>
        <w:t>上海）自由贸易试验区商城路</w:t>
      </w:r>
      <w:r>
        <w:rPr>
          <w:rFonts w:hAnsi="宋体" w:cs="宋体-WinCharSetFFFF-H"/>
          <w:kern w:val="0"/>
          <w:szCs w:val="21"/>
        </w:rPr>
        <w:t>618号</w:t>
      </w:r>
    </w:p>
    <w:p>
      <w:pPr>
        <w:pStyle w:val="a3-BR484252"/>
        <w:rPr>
          <w:rFonts w:hAnsi="宋体"/>
          <w:szCs w:val="21"/>
        </w:rPr>
      </w:pPr>
      <w:r>
        <w:rPr>
          <w:rFonts w:hAnsi="宋体" w:hint="eastAsia"/>
          <w:szCs w:val="21"/>
        </w:rPr>
        <w:t>联系人：丛艳</w:t>
      </w:r>
    </w:p>
    <w:p>
      <w:pPr>
        <w:pStyle w:val="a3-BR484252"/>
        <w:rPr>
          <w:rFonts w:hAnsi="宋体"/>
          <w:szCs w:val="21"/>
        </w:rPr>
      </w:pPr>
      <w:r>
        <w:rPr>
          <w:rFonts w:hAnsi="宋体" w:hint="eastAsia"/>
          <w:szCs w:val="21"/>
        </w:rPr>
        <w:t>通讯地址：上海市静安区新闸路669号19楼</w:t>
      </w:r>
    </w:p>
    <w:p>
      <w:pPr>
        <w:pStyle w:val="a3-BR484252"/>
        <w:rPr>
          <w:rFonts w:hAnsi="宋体"/>
          <w:szCs w:val="21"/>
        </w:rPr>
      </w:pPr>
      <w:r>
        <w:rPr>
          <w:rFonts w:hAnsi="宋体" w:hint="eastAsia"/>
          <w:szCs w:val="21"/>
        </w:rPr>
        <w:t>联系电话：</w:t>
      </w:r>
      <w:r>
        <w:rPr>
          <w:rFonts w:hAnsi="宋体"/>
          <w:sz w:val="22"/>
          <w:szCs w:val="18"/>
        </w:rPr>
        <w:t>021-38677336</w:t>
      </w:r>
    </w:p>
    <w:p>
      <w:pPr>
        <w:pStyle w:val="a-BR484252"/>
        <w:spacing w:line="360" w:lineRule="auto"/>
        <w:ind w:firstLine="420" w:firstLineChars="200"/>
        <w:rPr>
          <w:rFonts w:ascii="宋体" w:hAnsi="宋体"/>
          <w:szCs w:val="21"/>
        </w:rPr>
      </w:pPr>
      <w:r>
        <w:rPr>
          <w:rFonts w:ascii="宋体" w:hAnsi="宋体"/>
          <w:szCs w:val="21"/>
        </w:rPr>
        <w:t>1</w:t>
      </w:r>
      <w:r>
        <w:rPr>
          <w:rFonts w:ascii="宋体" w:hAnsi="宋体" w:hint="eastAsia"/>
          <w:szCs w:val="21"/>
        </w:rPr>
        <w:t>、私募基金托管人的权利</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）按照本合同的约定，及时、足额获得私募基金托管费；</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）依据法律、行政法规规定和</w:t>
      </w:r>
      <w:r>
        <w:rPr>
          <w:rFonts w:ascii="宋体" w:hAnsi="宋体" w:hint="eastAsia"/>
          <w:szCs w:val="21"/>
          <w:lang w:val="zh-CN"/>
        </w:rPr>
        <w:t>本合同《投资监督事项表》（附件一）的约定，监督私募基金管理人对基金财产的投资运作，</w:t>
      </w:r>
      <w:r>
        <w:rPr>
          <w:rFonts w:ascii="宋体" w:hAnsi="宋体" w:hint="eastAsia"/>
          <w:szCs w:val="21"/>
        </w:rPr>
        <w:t>对于私募基金管理人违反法律、行政法规规定和本合同</w:t>
      </w:r>
      <w:r>
        <w:rPr>
          <w:rFonts w:ascii="宋体" w:hAnsi="宋体" w:hint="eastAsia"/>
          <w:szCs w:val="21"/>
          <w:lang w:val="zh-CN"/>
        </w:rPr>
        <w:t>《投资监督事项表》的</w:t>
      </w:r>
      <w:r>
        <w:rPr>
          <w:rFonts w:ascii="宋体" w:hAnsi="宋体" w:hint="eastAsia"/>
          <w:szCs w:val="21"/>
        </w:rPr>
        <w:t>约定、对基金财产及其他当事人的利益造成重大损失的情形，有权按照相关法律法规的规定报告中国基金业协会并采取必要措施；</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）按照本合同的约定，依法保管托管资金账户中的现金资产；</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）除法律法规另有规定的情况外，私募基金托管人对因私募基金管理人过错造成的基金财产损失不承担责任；</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）国家有关法律法规、监管机构规定及本合同约定的其他权利。</w:t>
      </w:r>
    </w:p>
    <w:p>
      <w:pPr>
        <w:pStyle w:val="a-BR484252"/>
        <w:spacing w:line="360" w:lineRule="auto"/>
        <w:ind w:firstLine="420" w:firstLineChars="200"/>
        <w:rPr>
          <w:rFonts w:ascii="宋体" w:hAnsi="宋体"/>
          <w:szCs w:val="21"/>
        </w:rPr>
      </w:pPr>
      <w:r>
        <w:rPr>
          <w:rFonts w:ascii="宋体" w:hAnsi="宋体"/>
          <w:szCs w:val="21"/>
        </w:rPr>
        <w:t>2</w:t>
      </w:r>
      <w:r>
        <w:rPr>
          <w:rFonts w:ascii="宋体" w:hAnsi="宋体" w:hint="eastAsia"/>
          <w:szCs w:val="21"/>
        </w:rPr>
        <w:t>、私募基金托管人的义务</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）根据本合同的约定安全保管托管资金账户中的现金资产；</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）具有符合要求的营业场所，配备足够的、合格专职人员，负责财产托管事宜；</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）对所托管的不同基金财产分别设置账户，确保基金财产的完整与独立；</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）除依据法律法规、本合同及其他有关规定外，不得为私募基金托管人及任何第三人谋取利益，不得委托第三人托管基金财产；</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5）按规定开立和注销私募基金财产的托管资金账户、证券账户等投资所需账户</w:t>
      </w:r>
      <w:r>
        <w:rPr>
          <w:rFonts w:ascii="宋体" w:hAnsi="宋体" w:hint="eastAsia"/>
          <w:szCs w:val="21"/>
        </w:rPr>
        <w:t>（私募基金管理人和私募基金托管人对此另有约定的，从其约定）；</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6）复核私募基金份额净值；</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7）根据相关法律法规的要求和本合同的约定</w:t>
      </w:r>
      <w:r>
        <w:rPr>
          <w:rFonts w:ascii="宋体" w:hAnsi="宋体" w:hint="eastAsia"/>
          <w:szCs w:val="21"/>
        </w:rPr>
        <w:t>，</w:t>
      </w:r>
      <w:r>
        <w:rPr>
          <w:rFonts w:ascii="宋体" w:hAnsi="宋体"/>
          <w:szCs w:val="21"/>
        </w:rPr>
        <w:t>办理与基金托管业务有关的信息披露事项；</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8）根据相关法律法规</w:t>
      </w:r>
      <w:r>
        <w:rPr>
          <w:rFonts w:ascii="宋体" w:hAnsi="宋体" w:hint="eastAsia"/>
          <w:szCs w:val="21"/>
        </w:rPr>
        <w:t>规定</w:t>
      </w:r>
      <w:r>
        <w:rPr>
          <w:rFonts w:ascii="宋体" w:hAnsi="宋体"/>
          <w:szCs w:val="21"/>
        </w:rPr>
        <w:t>和基金合同约定复核私募基金管理人</w:t>
      </w:r>
      <w:r>
        <w:rPr>
          <w:rFonts w:ascii="宋体" w:hAnsi="宋体" w:hint="eastAsia"/>
          <w:szCs w:val="21"/>
        </w:rPr>
        <w:t>编制的私募基金定期报告中的财务数据，并对私募基金在报告期内的遵规守信情况发表意见；</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9</w:t>
      </w:r>
      <w:r>
        <w:rPr>
          <w:rFonts w:ascii="宋体" w:hAnsi="宋体" w:hint="eastAsia"/>
          <w:szCs w:val="21"/>
        </w:rPr>
        <w:t>）按照本合同的约定，根据私募基金管理人或其授权人的划款指令和</w:t>
      </w:r>
      <w:r>
        <w:rPr>
          <w:rFonts w:ascii="宋体" w:hAnsi="宋体"/>
          <w:szCs w:val="21"/>
        </w:rPr>
        <w:t>其他必要材料（</w:t>
      </w:r>
      <w:r>
        <w:rPr>
          <w:rFonts w:ascii="宋体" w:hAnsi="宋体" w:hint="eastAsia"/>
          <w:szCs w:val="21"/>
        </w:rPr>
        <w:t>如需</w:t>
      </w:r>
      <w:r>
        <w:rPr>
          <w:rFonts w:ascii="宋体" w:hAnsi="宋体"/>
          <w:szCs w:val="21"/>
        </w:rPr>
        <w:t>）</w:t>
      </w:r>
      <w:r>
        <w:rPr>
          <w:rFonts w:ascii="宋体" w:hAnsi="宋体" w:hint="eastAsia"/>
          <w:szCs w:val="21"/>
        </w:rPr>
        <w:t>，及时办理清算、交割事宜；</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10</w:t>
      </w:r>
      <w:r>
        <w:rPr>
          <w:rFonts w:ascii="宋体" w:hAnsi="宋体" w:hint="eastAsia"/>
          <w:szCs w:val="21"/>
        </w:rPr>
        <w:t>）根据法律法规规定，妥善保存私募基金管理业务活动有关的合同、协议、凭证等文件资料；</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11</w:t>
      </w:r>
      <w:r>
        <w:rPr>
          <w:rFonts w:ascii="宋体" w:hAnsi="宋体" w:hint="eastAsia"/>
          <w:szCs w:val="21"/>
        </w:rPr>
        <w:t>）公平对待所托管的不同基金财产，不得从事任何有损基金财产及其他当事人利益的活动；</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12</w:t>
      </w:r>
      <w:r>
        <w:rPr>
          <w:rFonts w:ascii="宋体" w:hAnsi="宋体" w:hint="eastAsia"/>
          <w:szCs w:val="21"/>
        </w:rPr>
        <w:t>）保守商业秘密。除法律法规、本合同及其他有关规定另有要求外，不得向他人泄露本基金的有关信息；</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13）根据相关法律法规要求的保存期限，保存私募基金投资业务活动的全部会计资料，并妥善保存有关的合同、交易记录及其他相关资料</w:t>
      </w:r>
      <w:r>
        <w:rPr>
          <w:rFonts w:ascii="宋体" w:hAnsi="宋体" w:hint="eastAsia"/>
          <w:szCs w:val="21"/>
        </w:rPr>
        <w:t>原件或复印件</w:t>
      </w:r>
      <w:r>
        <w:rPr>
          <w:rFonts w:ascii="宋体" w:hAnsi="宋体"/>
          <w:szCs w:val="21"/>
        </w:rPr>
        <w:t>；</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14</w:t>
      </w:r>
      <w:r>
        <w:rPr>
          <w:rFonts w:ascii="宋体" w:hAnsi="宋体" w:hint="eastAsia"/>
          <w:szCs w:val="21"/>
        </w:rPr>
        <w:t>）依据</w:t>
      </w:r>
      <w:r>
        <w:rPr>
          <w:rFonts w:ascii="宋体" w:hAnsi="宋体" w:hint="eastAsia"/>
          <w:szCs w:val="21"/>
          <w:lang w:val="zh-CN"/>
        </w:rPr>
        <w:t>本合同《投资监督事项表》的约定，监督私募基金管理人的直接投资</w:t>
      </w:r>
      <w:r>
        <w:rPr>
          <w:rFonts w:ascii="宋体" w:hAnsi="宋体" w:hint="eastAsia"/>
          <w:szCs w:val="21"/>
        </w:rPr>
        <w:t>，发现私募基金管理人发出但未执行的投资指令违反本合同《投资监督事项表》约定的，应当拒绝执行，并通知私募基金管理人；发现私募基金管理人依据交易程序已经生效的投资指令违反本合同《投资监督事项表》约定的，应根据基金合同约定及时通知私募基金管理人；</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15）按照私募基金合同约定制作相关账册并与</w:t>
      </w:r>
      <w:r>
        <w:rPr>
          <w:rFonts w:ascii="宋体" w:hAnsi="宋体" w:hint="eastAsia"/>
          <w:szCs w:val="21"/>
        </w:rPr>
        <w:t>私募基金管理人核对；</w:t>
      </w:r>
    </w:p>
    <w:p>
      <w:pPr>
        <w:pStyle w:val="a-BR484252"/>
        <w:spacing w:line="360" w:lineRule="auto"/>
        <w:ind w:firstLine="420" w:firstLineChars="200"/>
        <w:rPr>
          <w:rFonts w:ascii="宋体" w:hAnsi="宋体"/>
          <w:szCs w:val="21"/>
        </w:rPr>
      </w:pPr>
      <w:r>
        <w:rPr>
          <w:rFonts w:ascii="宋体" w:hAnsi="宋体" w:hint="eastAsia"/>
          <w:szCs w:val="21"/>
        </w:rPr>
        <w:t>（</w:t>
      </w:r>
      <w:r>
        <w:rPr>
          <w:rFonts w:ascii="宋体" w:hAnsi="宋体"/>
          <w:szCs w:val="21"/>
        </w:rPr>
        <w:t>16</w:t>
      </w:r>
      <w:r>
        <w:rPr>
          <w:rFonts w:ascii="宋体" w:hAnsi="宋体" w:hint="eastAsia"/>
          <w:szCs w:val="21"/>
        </w:rPr>
        <w:t>）国家有关法律法规、监管机构规定及本合同约定的其他义务。</w:t>
      </w:r>
    </w:p>
    <w:p>
      <w:pPr>
        <w:pStyle w:val="a-BR484252"/>
        <w:spacing w:line="360" w:lineRule="auto"/>
        <w:ind w:firstLine="420" w:firstLineChars="200"/>
        <w:rPr>
          <w:rFonts w:ascii="宋体" w:hAnsi="宋体"/>
          <w:szCs w:val="21"/>
        </w:rPr>
      </w:pPr>
      <w:r>
        <w:rPr>
          <w:rFonts w:ascii="宋体" w:hAnsi="宋体" w:hint="eastAsia"/>
          <w:szCs w:val="21"/>
        </w:rPr>
        <w:t>（三）基金份额持有人</w:t>
      </w:r>
    </w:p>
    <w:p>
      <w:pPr>
        <w:pStyle w:val="a3-BR484252"/>
        <w:rPr>
          <w:rFonts w:hAnsi="宋体"/>
          <w:szCs w:val="21"/>
        </w:rPr>
      </w:pPr>
      <w:r>
        <w:rPr>
          <w:rFonts w:hAnsi="宋体"/>
          <w:szCs w:val="21"/>
        </w:rPr>
        <w:t>1</w:t>
      </w:r>
      <w:r>
        <w:rPr>
          <w:rFonts w:hAnsi="宋体" w:hint="eastAsia"/>
          <w:szCs w:val="21"/>
        </w:rPr>
        <w:t>、基金份额持有人概况</w:t>
      </w:r>
    </w:p>
    <w:p>
      <w:pPr>
        <w:pStyle w:val="a3-BR484252"/>
        <w:rPr>
          <w:rFonts w:hAnsi="宋体"/>
          <w:szCs w:val="21"/>
        </w:rPr>
      </w:pPr>
      <w:r>
        <w:rPr>
          <w:rFonts w:hAnsi="宋体" w:hint="eastAsia"/>
          <w:szCs w:val="21"/>
        </w:rPr>
        <w:t>基金投资者</w:t>
      </w:r>
      <w:r>
        <w:rPr>
          <w:rFonts w:ascii="Times New Roman" w:hAnsi="宋体" w:hint="eastAsia"/>
          <w:szCs w:val="21"/>
        </w:rPr>
        <w:t>履行出资义务并</w:t>
      </w:r>
      <w:r>
        <w:rPr>
          <w:rFonts w:hAnsi="宋体" w:hint="eastAsia"/>
          <w:szCs w:val="21"/>
        </w:rPr>
        <w:t>经份额登记机构确认持有基金份额的，即成为本基金份额持有人。</w:t>
      </w:r>
    </w:p>
    <w:p>
      <w:pPr>
        <w:pStyle w:val="a3-BR484252"/>
        <w:rPr>
          <w:rFonts w:hAnsi="宋体"/>
          <w:szCs w:val="21"/>
        </w:rPr>
      </w:pPr>
      <w:r>
        <w:rPr>
          <w:rFonts w:hAnsi="宋体"/>
          <w:szCs w:val="21"/>
        </w:rPr>
        <w:t>2</w:t>
      </w:r>
      <w:r>
        <w:rPr>
          <w:rFonts w:hAnsi="宋体" w:hint="eastAsia"/>
          <w:szCs w:val="21"/>
        </w:rPr>
        <w:t>、基金份额持有人的权利</w:t>
      </w:r>
    </w:p>
    <w:p>
      <w:pPr>
        <w:pStyle w:val="a3-BR484252"/>
        <w:rPr>
          <w:rFonts w:hAnsi="宋体"/>
          <w:szCs w:val="21"/>
        </w:rPr>
      </w:pPr>
      <w:r>
        <w:rPr>
          <w:rFonts w:hAnsi="宋体" w:hint="eastAsia"/>
          <w:szCs w:val="21"/>
        </w:rPr>
        <w:t>（</w:t>
      </w:r>
      <w:r>
        <w:rPr>
          <w:rFonts w:hAnsi="宋体"/>
          <w:szCs w:val="21"/>
        </w:rPr>
        <w:t>1</w:t>
      </w:r>
      <w:r>
        <w:rPr>
          <w:rFonts w:hAnsi="宋体" w:hint="eastAsia"/>
          <w:szCs w:val="21"/>
        </w:rPr>
        <w:t>）取得基金财产收益；</w:t>
      </w:r>
    </w:p>
    <w:p>
      <w:pPr>
        <w:pStyle w:val="a3-BR484252"/>
        <w:rPr>
          <w:rFonts w:hAnsi="宋体"/>
          <w:szCs w:val="21"/>
        </w:rPr>
      </w:pPr>
      <w:r>
        <w:rPr>
          <w:rFonts w:hAnsi="宋体" w:hint="eastAsia"/>
          <w:szCs w:val="21"/>
        </w:rPr>
        <w:t>（</w:t>
      </w:r>
      <w:r>
        <w:rPr>
          <w:rFonts w:hAnsi="宋体"/>
          <w:szCs w:val="21"/>
        </w:rPr>
        <w:t>2</w:t>
      </w:r>
      <w:r>
        <w:rPr>
          <w:rFonts w:hAnsi="宋体" w:hint="eastAsia"/>
          <w:szCs w:val="21"/>
        </w:rPr>
        <w:t>）取得清算后的剩余基金财产；</w:t>
      </w:r>
    </w:p>
    <w:p>
      <w:pPr>
        <w:pStyle w:val="a3-BR484252"/>
        <w:rPr>
          <w:rFonts w:hAnsi="宋体"/>
          <w:szCs w:val="21"/>
        </w:rPr>
      </w:pPr>
      <w:r>
        <w:rPr>
          <w:rFonts w:hAnsi="宋体" w:hint="eastAsia"/>
          <w:szCs w:val="21"/>
        </w:rPr>
        <w:t>（</w:t>
      </w:r>
      <w:r>
        <w:rPr>
          <w:rFonts w:hAnsi="宋体"/>
          <w:szCs w:val="21"/>
        </w:rPr>
        <w:t>3</w:t>
      </w:r>
      <w:r>
        <w:rPr>
          <w:rFonts w:hAnsi="宋体" w:hint="eastAsia"/>
          <w:szCs w:val="21"/>
        </w:rPr>
        <w:t>）按照基金合同的约定申购、赎回和转让基金份额；</w:t>
      </w:r>
    </w:p>
    <w:p>
      <w:pPr>
        <w:pStyle w:val="a3-BR484252"/>
        <w:rPr>
          <w:rFonts w:hAnsi="宋体"/>
          <w:szCs w:val="21"/>
        </w:rPr>
      </w:pPr>
      <w:r>
        <w:rPr>
          <w:rFonts w:hAnsi="宋体" w:hint="eastAsia"/>
          <w:szCs w:val="21"/>
        </w:rPr>
        <w:t>（</w:t>
      </w:r>
      <w:r>
        <w:rPr>
          <w:rFonts w:hAnsi="宋体"/>
          <w:szCs w:val="21"/>
        </w:rPr>
        <w:t>4</w:t>
      </w:r>
      <w:r>
        <w:rPr>
          <w:rFonts w:hAnsi="宋体" w:hint="eastAsia"/>
          <w:szCs w:val="21"/>
        </w:rPr>
        <w:t>）根据基金合同的约定，参加或申请召集</w:t>
      </w:r>
      <w:r>
        <w:rPr>
          <w:rFonts w:hAnsi="宋体"/>
          <w:szCs w:val="21"/>
        </w:rPr>
        <w:t>基金份额持有人大会</w:t>
      </w:r>
      <w:r>
        <w:rPr>
          <w:rFonts w:hAnsi="宋体" w:hint="eastAsia"/>
          <w:szCs w:val="21"/>
        </w:rPr>
        <w:t>，行使相关职权；</w:t>
      </w:r>
    </w:p>
    <w:p>
      <w:pPr>
        <w:pStyle w:val="a3-BR484252"/>
        <w:rPr>
          <w:rFonts w:hAnsi="宋体"/>
          <w:szCs w:val="21"/>
        </w:rPr>
      </w:pPr>
      <w:r>
        <w:rPr>
          <w:rFonts w:hAnsi="宋体" w:hint="eastAsia"/>
          <w:szCs w:val="21"/>
        </w:rPr>
        <w:t>（</w:t>
      </w:r>
      <w:r>
        <w:rPr>
          <w:rFonts w:hAnsi="宋体"/>
          <w:szCs w:val="21"/>
        </w:rPr>
        <w:t>5）监督私募基金管理人</w:t>
      </w:r>
      <w:r>
        <w:rPr>
          <w:rFonts w:hAnsi="宋体" w:hint="eastAsia"/>
          <w:szCs w:val="21"/>
        </w:rPr>
        <w:t>履行投资管理及</w:t>
      </w:r>
      <w:r>
        <w:rPr>
          <w:rFonts w:hAnsi="宋体"/>
          <w:szCs w:val="21"/>
        </w:rPr>
        <w:t>私募基金托管人</w:t>
      </w:r>
      <w:r>
        <w:rPr>
          <w:rFonts w:hAnsi="宋体" w:hint="eastAsia"/>
          <w:szCs w:val="21"/>
        </w:rPr>
        <w:t>履行托管义务的情况；</w:t>
      </w:r>
    </w:p>
    <w:p>
      <w:pPr>
        <w:pStyle w:val="a3-BR484252"/>
        <w:rPr>
          <w:rFonts w:hAnsi="宋体"/>
          <w:szCs w:val="21"/>
        </w:rPr>
      </w:pPr>
      <w:r>
        <w:rPr>
          <w:rFonts w:hAnsi="宋体" w:hint="eastAsia"/>
          <w:szCs w:val="21"/>
        </w:rPr>
        <w:t>（</w:t>
      </w:r>
      <w:r>
        <w:rPr>
          <w:rFonts w:hAnsi="宋体"/>
          <w:szCs w:val="21"/>
        </w:rPr>
        <w:t>6）按照基金合同约定的时间和方式获得基金信息披露资料；</w:t>
      </w:r>
    </w:p>
    <w:p>
      <w:pPr>
        <w:pStyle w:val="a3-BR484252"/>
        <w:rPr>
          <w:rFonts w:hAnsi="宋体"/>
          <w:szCs w:val="21"/>
        </w:rPr>
      </w:pPr>
      <w:r>
        <w:rPr>
          <w:rFonts w:hAnsi="宋体" w:hint="eastAsia"/>
          <w:szCs w:val="21"/>
        </w:rPr>
        <w:t>（</w:t>
      </w:r>
      <w:r>
        <w:rPr>
          <w:rFonts w:hAnsi="宋体"/>
          <w:szCs w:val="21"/>
        </w:rPr>
        <w:t>7）因</w:t>
      </w:r>
      <w:r>
        <w:rPr>
          <w:rFonts w:hAnsi="宋体" w:hint="eastAsia"/>
          <w:szCs w:val="21"/>
        </w:rPr>
        <w:t>私募基金管理人、私募基金托管人违反法律法规或基金合同的约定导致合法权益受到损害的，有权得到赔偿；</w:t>
      </w:r>
    </w:p>
    <w:p>
      <w:pPr>
        <w:pStyle w:val="a3-BR484252"/>
        <w:rPr>
          <w:rFonts w:hAnsi="宋体"/>
          <w:szCs w:val="21"/>
        </w:rPr>
      </w:pPr>
      <w:r>
        <w:rPr>
          <w:rFonts w:hAnsi="宋体" w:hint="eastAsia"/>
          <w:szCs w:val="21"/>
        </w:rPr>
        <w:t>（</w:t>
      </w:r>
      <w:r>
        <w:rPr>
          <w:rFonts w:hAnsi="宋体"/>
          <w:szCs w:val="21"/>
        </w:rPr>
        <w:t>8</w:t>
      </w:r>
      <w:r>
        <w:rPr>
          <w:rFonts w:hAnsi="宋体" w:hint="eastAsia"/>
          <w:szCs w:val="21"/>
        </w:rPr>
        <w:t>）国家有关法律法规、监管机构规定及本合同约定的其他权利。</w:t>
      </w:r>
    </w:p>
    <w:p>
      <w:pPr>
        <w:pStyle w:val="a3-BR484252"/>
        <w:rPr>
          <w:rFonts w:hAnsi="宋体"/>
          <w:szCs w:val="21"/>
        </w:rPr>
      </w:pPr>
      <w:r>
        <w:rPr>
          <w:rFonts w:hAnsi="宋体"/>
          <w:szCs w:val="21"/>
        </w:rPr>
        <w:t>3</w:t>
      </w:r>
      <w:r>
        <w:rPr>
          <w:rFonts w:hAnsi="宋体" w:hint="eastAsia"/>
          <w:szCs w:val="21"/>
        </w:rPr>
        <w:t>、基金份额持有人的义务</w:t>
      </w:r>
    </w:p>
    <w:p>
      <w:pPr>
        <w:pStyle w:val="a3-BR484252"/>
        <w:rPr>
          <w:rFonts w:hAnsi="宋体"/>
          <w:szCs w:val="21"/>
        </w:rPr>
      </w:pPr>
      <w:r>
        <w:rPr>
          <w:rFonts w:hAnsi="宋体" w:hint="eastAsia"/>
          <w:szCs w:val="21"/>
        </w:rPr>
        <w:t>（</w:t>
      </w:r>
      <w:r>
        <w:rPr>
          <w:rFonts w:hAnsi="宋体"/>
          <w:szCs w:val="21"/>
        </w:rPr>
        <w:t>1</w:t>
      </w:r>
      <w:r>
        <w:rPr>
          <w:rFonts w:hAnsi="宋体" w:hint="eastAsia"/>
          <w:szCs w:val="21"/>
        </w:rPr>
        <w:t>）认真阅读基金合同，保证投资资金的来源及用途合法；</w:t>
      </w:r>
    </w:p>
    <w:p>
      <w:pPr>
        <w:pStyle w:val="a3-BR484252"/>
        <w:rPr>
          <w:rFonts w:hAnsi="宋体"/>
          <w:szCs w:val="21"/>
        </w:rPr>
      </w:pPr>
      <w:r>
        <w:rPr>
          <w:rFonts w:hAnsi="宋体" w:hint="eastAsia"/>
          <w:szCs w:val="21"/>
        </w:rPr>
        <w:t>（</w:t>
      </w:r>
      <w:r>
        <w:rPr>
          <w:rFonts w:hAnsi="宋体"/>
          <w:szCs w:val="21"/>
        </w:rPr>
        <w:t>2</w:t>
      </w:r>
      <w:r>
        <w:rPr>
          <w:rFonts w:hAnsi="宋体" w:hint="eastAsia"/>
          <w:szCs w:val="21"/>
        </w:rPr>
        <w:t>）接受合格投资者确认程序，如实填写风险识别能力和承担能力调查问卷，如实承诺资产或者收入情况，并对其真实性、准确性和完整性负责，承诺为合格投资者；</w:t>
      </w:r>
    </w:p>
    <w:p>
      <w:pPr>
        <w:pStyle w:val="a3-BR484252"/>
        <w:rPr>
          <w:rFonts w:hAnsi="宋体"/>
          <w:szCs w:val="21"/>
        </w:rPr>
      </w:pPr>
      <w:r>
        <w:rPr>
          <w:rFonts w:hAnsi="宋体" w:hint="eastAsia"/>
          <w:szCs w:val="21"/>
        </w:rPr>
        <w:t>（</w:t>
      </w:r>
      <w:r>
        <w:rPr>
          <w:rFonts w:hAnsi="宋体"/>
          <w:szCs w:val="21"/>
        </w:rPr>
        <w:t>3</w:t>
      </w:r>
      <w:r>
        <w:rPr>
          <w:rFonts w:hAnsi="宋体" w:hint="eastAsia"/>
          <w:szCs w:val="21"/>
        </w:rPr>
        <w:t>）以合伙企业、契约等非法人形式汇集多数投资者资金直接或者间接投资于本基金的，应向私募基金管理人充分披露上述情况及最终投资者的信息，但符合本合同“募集对象”中的“特殊合格投资者”的除外；</w:t>
      </w:r>
    </w:p>
    <w:p>
      <w:pPr>
        <w:pStyle w:val="a3-BR484252"/>
        <w:rPr>
          <w:rFonts w:hAnsi="宋体"/>
          <w:szCs w:val="21"/>
        </w:rPr>
      </w:pPr>
      <w:r>
        <w:rPr>
          <w:rFonts w:hAnsi="宋体" w:hint="eastAsia"/>
          <w:szCs w:val="21"/>
        </w:rPr>
        <w:t>（</w:t>
      </w:r>
      <w:r>
        <w:rPr>
          <w:rFonts w:hAnsi="宋体"/>
          <w:szCs w:val="21"/>
        </w:rPr>
        <w:t>4</w:t>
      </w:r>
      <w:r>
        <w:rPr>
          <w:rFonts w:hAnsi="宋体" w:hint="eastAsia"/>
          <w:szCs w:val="21"/>
        </w:rPr>
        <w:t>）认真阅读并签署风险揭示书；</w:t>
      </w:r>
    </w:p>
    <w:p>
      <w:pPr>
        <w:pStyle w:val="a3-BR484252"/>
        <w:rPr>
          <w:rFonts w:hAnsi="宋体"/>
          <w:szCs w:val="21"/>
        </w:rPr>
      </w:pPr>
      <w:r>
        <w:rPr>
          <w:rFonts w:hAnsi="宋体" w:hint="eastAsia"/>
          <w:szCs w:val="21"/>
        </w:rPr>
        <w:t>（</w:t>
      </w:r>
      <w:r>
        <w:rPr>
          <w:rFonts w:hAnsi="宋体"/>
          <w:szCs w:val="21"/>
        </w:rPr>
        <w:t>5</w:t>
      </w:r>
      <w:r>
        <w:rPr>
          <w:rFonts w:hAnsi="宋体" w:hint="eastAsia"/>
          <w:szCs w:val="21"/>
        </w:rPr>
        <w:t>）按照基金合同约定缴纳基金份额的认购、申购款项，承担基金合同约定的管理费、托管费及其他相关费用；</w:t>
      </w:r>
    </w:p>
    <w:p>
      <w:pPr>
        <w:pStyle w:val="a3-BR484252"/>
        <w:rPr>
          <w:rFonts w:hAnsi="宋体"/>
          <w:szCs w:val="21"/>
        </w:rPr>
      </w:pPr>
      <w:r>
        <w:rPr>
          <w:rFonts w:hAnsi="宋体" w:hint="eastAsia"/>
          <w:szCs w:val="21"/>
        </w:rPr>
        <w:t>（</w:t>
      </w:r>
      <w:r>
        <w:rPr>
          <w:rFonts w:hAnsi="宋体"/>
          <w:szCs w:val="21"/>
        </w:rPr>
        <w:t>6</w:t>
      </w:r>
      <w:r>
        <w:rPr>
          <w:rFonts w:hAnsi="宋体" w:hint="eastAsia"/>
          <w:szCs w:val="21"/>
        </w:rPr>
        <w:t>）承担基金的投资损失；</w:t>
      </w:r>
    </w:p>
    <w:p>
      <w:pPr>
        <w:pStyle w:val="a3-BR484252"/>
        <w:rPr>
          <w:rFonts w:hAnsi="宋体"/>
          <w:szCs w:val="21"/>
        </w:rPr>
      </w:pPr>
      <w:r>
        <w:rPr>
          <w:rFonts w:hAnsi="宋体" w:hint="eastAsia"/>
          <w:szCs w:val="21"/>
        </w:rPr>
        <w:t>（</w:t>
      </w:r>
      <w:r>
        <w:rPr>
          <w:rFonts w:hAnsi="宋体"/>
          <w:szCs w:val="21"/>
        </w:rPr>
        <w:t>7</w:t>
      </w:r>
      <w:r>
        <w:rPr>
          <w:rFonts w:hAnsi="宋体" w:hint="eastAsia"/>
          <w:szCs w:val="21"/>
        </w:rPr>
        <w:t>）向</w:t>
      </w:r>
      <w:r>
        <w:rPr>
          <w:rFonts w:hAnsi="宋体"/>
          <w:szCs w:val="21"/>
        </w:rPr>
        <w:t>私募基金管理人</w:t>
      </w:r>
      <w:r>
        <w:rPr>
          <w:rFonts w:hAnsi="宋体" w:hint="eastAsia"/>
          <w:szCs w:val="21"/>
        </w:rPr>
        <w:t>或私募基金募集机构提供法律法规规定的真实、准确、完整、充分的信息资料及身份证明文件，配合</w:t>
      </w:r>
      <w:r>
        <w:rPr>
          <w:rFonts w:hAnsi="宋体"/>
          <w:szCs w:val="21"/>
        </w:rPr>
        <w:t>私募基金管理人</w:t>
      </w:r>
      <w:r>
        <w:rPr>
          <w:rFonts w:hAnsi="宋体" w:hint="eastAsia"/>
          <w:szCs w:val="21"/>
        </w:rPr>
        <w:t>或募集机构的尽职调查与反洗钱工作；</w:t>
      </w:r>
    </w:p>
    <w:p>
      <w:pPr>
        <w:pStyle w:val="a3-BR484252"/>
        <w:rPr>
          <w:rFonts w:hAnsi="宋体"/>
          <w:szCs w:val="21"/>
        </w:rPr>
      </w:pPr>
      <w:r>
        <w:rPr>
          <w:rFonts w:hAnsi="宋体" w:hint="eastAsia"/>
          <w:szCs w:val="21"/>
        </w:rPr>
        <w:t>（</w:t>
      </w:r>
      <w:r>
        <w:rPr>
          <w:rFonts w:hAnsi="宋体"/>
          <w:szCs w:val="21"/>
        </w:rPr>
        <w:t>8</w:t>
      </w:r>
      <w:r>
        <w:rPr>
          <w:rFonts w:hAnsi="宋体" w:hint="eastAsia"/>
          <w:szCs w:val="21"/>
        </w:rPr>
        <w:t>）保守商业秘密，不得泄露私募基金的投资计划或意向等；</w:t>
      </w:r>
    </w:p>
    <w:p>
      <w:pPr>
        <w:pStyle w:val="a3-BR484252"/>
        <w:rPr>
          <w:rFonts w:hAnsi="宋体"/>
          <w:szCs w:val="21"/>
        </w:rPr>
      </w:pPr>
      <w:r>
        <w:rPr>
          <w:rFonts w:hAnsi="宋体" w:hint="eastAsia"/>
          <w:szCs w:val="21"/>
        </w:rPr>
        <w:t>（</w:t>
      </w:r>
      <w:r>
        <w:rPr>
          <w:rFonts w:hAnsi="宋体"/>
          <w:szCs w:val="21"/>
        </w:rPr>
        <w:t>9</w:t>
      </w:r>
      <w:r>
        <w:rPr>
          <w:rFonts w:hAnsi="宋体" w:hint="eastAsia"/>
          <w:szCs w:val="21"/>
        </w:rPr>
        <w:t>）不得违反基金合同的约定干涉私募基金管理人的投资行为；</w:t>
      </w:r>
    </w:p>
    <w:p>
      <w:pPr>
        <w:pStyle w:val="a3-BR484252"/>
        <w:rPr>
          <w:rFonts w:hAnsi="宋体"/>
          <w:szCs w:val="21"/>
        </w:rPr>
      </w:pPr>
      <w:r>
        <w:rPr>
          <w:rFonts w:hAnsi="宋体" w:hint="eastAsia"/>
          <w:szCs w:val="21"/>
        </w:rPr>
        <w:t>（</w:t>
      </w:r>
      <w:r>
        <w:rPr>
          <w:rFonts w:hAnsi="宋体"/>
          <w:szCs w:val="21"/>
        </w:rPr>
        <w:t>10）不得从事任何有损基金及其投资者、</w:t>
      </w:r>
      <w:r>
        <w:rPr>
          <w:rFonts w:hAnsi="宋体" w:hint="eastAsia"/>
          <w:szCs w:val="21"/>
        </w:rPr>
        <w:t>私募基金管理人管理的其他基金及私募基金托管人托管的其他基金合法权益的活动；</w:t>
      </w:r>
    </w:p>
    <w:p>
      <w:pPr>
        <w:pStyle w:val="a3-BR484252"/>
        <w:rPr>
          <w:rFonts w:hAnsi="宋体"/>
          <w:szCs w:val="21"/>
        </w:rPr>
      </w:pPr>
      <w:r>
        <w:rPr>
          <w:rFonts w:hAnsi="宋体" w:hint="eastAsia"/>
          <w:szCs w:val="21"/>
        </w:rPr>
        <w:t>（</w:t>
      </w:r>
      <w:r>
        <w:rPr>
          <w:rFonts w:hAnsi="宋体"/>
          <w:szCs w:val="21"/>
        </w:rPr>
        <w:t>11）认购、申购、赎回、分配等基金交易过程中因任何原因获得不当得利的，应予返还；</w:t>
      </w:r>
    </w:p>
    <w:p>
      <w:pPr>
        <w:pStyle w:val="a3-BR484252"/>
        <w:rPr>
          <w:rFonts w:hAnsi="宋体"/>
          <w:szCs w:val="21"/>
        </w:rPr>
      </w:pPr>
      <w:r>
        <w:rPr>
          <w:rFonts w:hAnsi="宋体" w:hint="eastAsia"/>
          <w:szCs w:val="21"/>
        </w:rPr>
        <w:t>（</w:t>
      </w:r>
      <w:r>
        <w:rPr>
          <w:rFonts w:hAnsi="宋体"/>
          <w:szCs w:val="21"/>
        </w:rPr>
        <w:t>12</w:t>
      </w:r>
      <w:r>
        <w:rPr>
          <w:rFonts w:hAnsi="宋体" w:hint="eastAsia"/>
          <w:szCs w:val="21"/>
        </w:rPr>
        <w:t>）保证其享有签署包括本合同在内的基金相关文件的权利，并就签署行为已履行必要的批准或授权手续，且履行上述文件不会违反任何对其有约束力的法律法规、公司章程、合同协议的约定；</w:t>
      </w:r>
    </w:p>
    <w:p>
      <w:pPr>
        <w:pStyle w:val="a3-BR484252"/>
        <w:rPr>
          <w:rFonts w:hAnsi="宋体"/>
          <w:szCs w:val="21"/>
        </w:rPr>
      </w:pPr>
      <w:r>
        <w:rPr>
          <w:rFonts w:hAnsi="宋体" w:hint="eastAsia"/>
          <w:szCs w:val="21"/>
        </w:rPr>
        <w:t>（</w:t>
      </w:r>
      <w:r>
        <w:rPr>
          <w:rFonts w:hAnsi="宋体"/>
          <w:szCs w:val="21"/>
        </w:rPr>
        <w:t>13</w:t>
      </w:r>
      <w:r>
        <w:rPr>
          <w:rFonts w:hAnsi="宋体" w:hint="eastAsia"/>
          <w:szCs w:val="21"/>
        </w:rPr>
        <w:t>）国家有关法律法规、监管机构规定及本合同约定的其他义务。</w:t>
      </w:r>
    </w:p>
    <w:p>
      <w:pPr>
        <w:pStyle w:val="a7-BR271517"/>
        <w:rPr>
          <w:sz w:val="21"/>
          <w:szCs w:val="21"/>
        </w:rPr>
      </w:pPr>
      <w:bookmarkStart w:id="25" w:name="_Toc256000009"/>
      <w:r>
        <w:rPr>
          <w:rFonts w:hint="eastAsia"/>
          <w:sz w:val="21"/>
          <w:szCs w:val="21"/>
        </w:rPr>
        <w:t>九、私募基金份额持有人大会及日常机构</w:t>
      </w:r>
      <w:bookmarkEnd w:id="25"/>
    </w:p>
    <w:p>
      <w:pPr>
        <w:pStyle w:val="a-BR271517"/>
        <w:spacing w:line="360" w:lineRule="auto"/>
        <w:ind w:firstLine="420" w:firstLineChars="200"/>
        <w:rPr>
          <w:bCs/>
          <w:szCs w:val="21"/>
        </w:rPr>
      </w:pPr>
      <w:r>
        <w:rPr>
          <w:rFonts w:hint="eastAsia"/>
          <w:bCs/>
          <w:szCs w:val="21"/>
        </w:rPr>
        <w:t>基金份额持有人大会由基金份额持有人组成，基金份额持有人的合法授权代表有权代表基金份额持有人出席会议并表决。基金份额持有人持有的每一基金份额拥有平等的投票权。</w:t>
      </w:r>
    </w:p>
    <w:p>
      <w:pPr>
        <w:pStyle w:val="a-BR271517"/>
        <w:spacing w:line="360" w:lineRule="auto"/>
        <w:ind w:firstLine="420" w:firstLineChars="200"/>
        <w:rPr>
          <w:bCs/>
          <w:szCs w:val="21"/>
        </w:rPr>
      </w:pPr>
      <w:r>
        <w:rPr>
          <w:rFonts w:hint="eastAsia"/>
          <w:bCs/>
          <w:szCs w:val="21"/>
        </w:rPr>
        <w:t>（一）基金份额持有人大会的召开事由</w:t>
      </w:r>
    </w:p>
    <w:p>
      <w:pPr>
        <w:pStyle w:val="a-BR271517"/>
        <w:spacing w:line="360" w:lineRule="auto"/>
        <w:ind w:firstLine="420" w:firstLineChars="200"/>
        <w:rPr>
          <w:bCs/>
          <w:szCs w:val="21"/>
        </w:rPr>
      </w:pPr>
      <w:r>
        <w:rPr>
          <w:bCs/>
          <w:szCs w:val="21"/>
        </w:rPr>
        <w:t>1</w:t>
      </w:r>
      <w:r>
        <w:rPr>
          <w:rFonts w:hint="eastAsia"/>
          <w:bCs/>
          <w:szCs w:val="21"/>
        </w:rPr>
        <w:t>、当出现或需要决定下列事由之一的，可以召开基金份额持有人大会：</w:t>
      </w:r>
    </w:p>
    <w:p>
      <w:pPr>
        <w:pStyle w:val="a-BR271517"/>
        <w:spacing w:line="360" w:lineRule="auto"/>
        <w:ind w:firstLine="420" w:firstLineChars="200"/>
        <w:rPr>
          <w:bCs/>
          <w:szCs w:val="21"/>
        </w:rPr>
      </w:pPr>
      <w:r>
        <w:rPr>
          <w:rFonts w:hint="eastAsia"/>
          <w:bCs/>
          <w:szCs w:val="21"/>
        </w:rPr>
        <w:t>（</w:t>
      </w:r>
      <w:r>
        <w:rPr>
          <w:bCs/>
          <w:szCs w:val="21"/>
        </w:rPr>
        <w:t>1</w:t>
      </w:r>
      <w:r>
        <w:rPr>
          <w:rFonts w:hint="eastAsia"/>
          <w:bCs/>
          <w:szCs w:val="21"/>
        </w:rPr>
        <w:t>）决定更换私募基金管理人、私募基金托管人；</w:t>
      </w:r>
    </w:p>
    <w:p>
      <w:pPr>
        <w:pStyle w:val="a-BR271517"/>
        <w:spacing w:line="360" w:lineRule="auto"/>
        <w:ind w:firstLine="420" w:firstLineChars="200"/>
        <w:rPr>
          <w:bCs/>
          <w:szCs w:val="21"/>
        </w:rPr>
      </w:pPr>
      <w:r>
        <w:rPr>
          <w:rFonts w:hint="eastAsia"/>
          <w:bCs/>
          <w:szCs w:val="21"/>
        </w:rPr>
        <w:t>（</w:t>
      </w:r>
      <w:r>
        <w:rPr>
          <w:bCs/>
          <w:szCs w:val="21"/>
        </w:rPr>
        <w:t>2</w:t>
      </w:r>
      <w:r>
        <w:rPr>
          <w:rFonts w:hint="eastAsia"/>
          <w:bCs/>
          <w:szCs w:val="21"/>
        </w:rPr>
        <w:t>）决定调高私募基金管理人、私募基金托管人的报酬标准；</w:t>
      </w:r>
    </w:p>
    <w:p>
      <w:pPr>
        <w:pStyle w:val="a-BR271517"/>
        <w:spacing w:line="360" w:lineRule="auto"/>
        <w:ind w:firstLine="420" w:firstLineChars="200"/>
        <w:rPr>
          <w:bCs/>
          <w:szCs w:val="21"/>
        </w:rPr>
      </w:pPr>
      <w:r>
        <w:rPr>
          <w:rFonts w:hint="eastAsia"/>
          <w:bCs/>
          <w:szCs w:val="21"/>
        </w:rPr>
        <w:t>（</w:t>
      </w:r>
      <w:r>
        <w:rPr>
          <w:bCs/>
          <w:szCs w:val="21"/>
        </w:rPr>
        <w:t>3</w:t>
      </w:r>
      <w:r>
        <w:rPr>
          <w:rFonts w:hint="eastAsia"/>
          <w:bCs/>
          <w:szCs w:val="21"/>
        </w:rPr>
        <w:t>）本合同约定的其他情形；</w:t>
      </w:r>
    </w:p>
    <w:p>
      <w:pPr>
        <w:pStyle w:val="a-BR271517"/>
        <w:spacing w:line="360" w:lineRule="auto"/>
        <w:ind w:firstLine="420" w:firstLineChars="200"/>
        <w:rPr>
          <w:bCs/>
          <w:szCs w:val="21"/>
        </w:rPr>
      </w:pPr>
      <w:r>
        <w:rPr>
          <w:rFonts w:hint="eastAsia"/>
          <w:bCs/>
          <w:szCs w:val="21"/>
        </w:rPr>
        <w:t>（4）</w:t>
      </w:r>
      <w:r>
        <w:rPr>
          <w:rFonts w:ascii="宋体" w:hAnsi="宋体" w:hint="eastAsia"/>
          <w:szCs w:val="21"/>
        </w:rPr>
        <w:t>发生私募基金管理人客观上丧失继续管理基金能力的情况时</w:t>
      </w:r>
      <w:r>
        <w:rPr>
          <w:rFonts w:hint="eastAsia"/>
          <w:bCs/>
          <w:szCs w:val="21"/>
        </w:rPr>
        <w:t>，代表基金份额</w:t>
      </w:r>
      <w:r>
        <w:rPr>
          <w:bCs/>
          <w:szCs w:val="21"/>
        </w:rPr>
        <w:t>10%</w:t>
      </w:r>
      <w:r>
        <w:rPr>
          <w:rFonts w:hint="eastAsia"/>
          <w:bCs/>
          <w:szCs w:val="21"/>
        </w:rPr>
        <w:t>以上（含</w:t>
      </w:r>
      <w:r>
        <w:rPr>
          <w:bCs/>
          <w:szCs w:val="21"/>
        </w:rPr>
        <w:t>10%</w:t>
      </w:r>
      <w:r>
        <w:rPr>
          <w:rFonts w:hint="eastAsia"/>
          <w:bCs/>
          <w:szCs w:val="21"/>
        </w:rPr>
        <w:t>）的基金份额持有人有权自行召集份额持有人大会，协商本基金的后续处置方案。</w:t>
      </w:r>
    </w:p>
    <w:p>
      <w:pPr>
        <w:pStyle w:val="a-BR271517"/>
        <w:spacing w:line="360" w:lineRule="auto"/>
        <w:ind w:firstLine="420" w:firstLineChars="200"/>
        <w:rPr>
          <w:bCs/>
          <w:szCs w:val="21"/>
        </w:rPr>
      </w:pPr>
      <w:r>
        <w:rPr>
          <w:rFonts w:hint="eastAsia"/>
          <w:bCs/>
          <w:szCs w:val="21"/>
        </w:rPr>
        <w:t>针对上述所列事项（除第（4）项外），基金份额持有人以书面形式一致表示同意的，可以不召开基金份额持有人大会并通过与私募基金管理人、私募基金托管人共同签署书面补充协议的方式决定。</w:t>
      </w:r>
    </w:p>
    <w:p>
      <w:pPr>
        <w:pStyle w:val="a-BR271517"/>
        <w:spacing w:line="360" w:lineRule="auto"/>
        <w:ind w:firstLine="420" w:firstLineChars="200"/>
        <w:rPr>
          <w:bCs/>
          <w:szCs w:val="21"/>
        </w:rPr>
      </w:pPr>
      <w:r>
        <w:rPr>
          <w:bCs/>
          <w:szCs w:val="21"/>
        </w:rPr>
        <w:t>2</w:t>
      </w:r>
      <w:r>
        <w:rPr>
          <w:rFonts w:hint="eastAsia"/>
          <w:bCs/>
          <w:szCs w:val="21"/>
        </w:rPr>
        <w:t>、除上述列明的事项之外，征得私募基金托管人同意后，私募基金管理人有权决定是否召开基金份额持有人会议审议。</w:t>
      </w:r>
    </w:p>
    <w:p>
      <w:pPr>
        <w:pStyle w:val="a-BR271517"/>
        <w:spacing w:line="360" w:lineRule="auto"/>
        <w:ind w:firstLine="420" w:firstLineChars="200"/>
        <w:rPr>
          <w:bCs/>
          <w:szCs w:val="21"/>
        </w:rPr>
      </w:pPr>
      <w:r>
        <w:rPr>
          <w:rFonts w:hint="eastAsia"/>
          <w:bCs/>
          <w:szCs w:val="21"/>
        </w:rPr>
        <w:t>（二）基金份额持有人大会的日常机构</w:t>
      </w:r>
    </w:p>
    <w:p>
      <w:pPr>
        <w:pStyle w:val="a-BR271517"/>
        <w:spacing w:line="360" w:lineRule="auto"/>
        <w:ind w:firstLine="420" w:firstLineChars="200"/>
        <w:rPr>
          <w:bCs/>
          <w:szCs w:val="21"/>
        </w:rPr>
      </w:pPr>
      <w:r>
        <w:rPr>
          <w:rFonts w:hint="eastAsia"/>
          <w:bCs/>
          <w:szCs w:val="21"/>
        </w:rPr>
        <w:t>本基金未设基金份额持有人大会日常机构。本基金未来可根据相关的法律法规及中国证监会的相关规定，设立基金份额持有人大会日常机构。</w:t>
      </w:r>
    </w:p>
    <w:p>
      <w:pPr>
        <w:pStyle w:val="a-BR271517"/>
        <w:spacing w:line="360" w:lineRule="auto"/>
        <w:ind w:firstLine="420" w:firstLineChars="200"/>
        <w:rPr>
          <w:bCs/>
          <w:szCs w:val="21"/>
        </w:rPr>
      </w:pPr>
      <w:r>
        <w:rPr>
          <w:rFonts w:hint="eastAsia"/>
          <w:bCs/>
          <w:szCs w:val="21"/>
        </w:rPr>
        <w:t>（三）基金份额持有人会议的召集</w:t>
      </w:r>
    </w:p>
    <w:p>
      <w:pPr>
        <w:pStyle w:val="a-BR271517"/>
        <w:spacing w:line="360" w:lineRule="auto"/>
        <w:ind w:firstLine="420" w:firstLineChars="200"/>
        <w:rPr>
          <w:bCs/>
          <w:szCs w:val="21"/>
        </w:rPr>
      </w:pPr>
      <w:r>
        <w:rPr>
          <w:bCs/>
          <w:szCs w:val="21"/>
        </w:rPr>
        <w:t>1</w:t>
      </w:r>
      <w:r>
        <w:rPr>
          <w:rFonts w:hint="eastAsia"/>
          <w:bCs/>
          <w:szCs w:val="21"/>
        </w:rPr>
        <w:t>、除法律法规规定或本合同另有约定外，基金份额持有人大会由私募基金管理人召集。</w:t>
      </w:r>
    </w:p>
    <w:p>
      <w:pPr>
        <w:pStyle w:val="a-BR271517"/>
        <w:spacing w:line="360" w:lineRule="auto"/>
        <w:ind w:firstLine="420" w:firstLineChars="200"/>
        <w:rPr>
          <w:bCs/>
          <w:szCs w:val="21"/>
        </w:rPr>
      </w:pPr>
      <w:r>
        <w:rPr>
          <w:bCs/>
          <w:szCs w:val="21"/>
        </w:rPr>
        <w:t>2</w:t>
      </w:r>
      <w:r>
        <w:rPr>
          <w:rFonts w:hint="eastAsia"/>
          <w:bCs/>
          <w:szCs w:val="21"/>
        </w:rPr>
        <w:t>、代表基金份额10</w:t>
      </w:r>
      <w:r>
        <w:rPr>
          <w:bCs/>
          <w:szCs w:val="21"/>
        </w:rPr>
        <w:t>%</w:t>
      </w:r>
      <w:r>
        <w:rPr>
          <w:rFonts w:hint="eastAsia"/>
          <w:bCs/>
          <w:szCs w:val="21"/>
        </w:rPr>
        <w:t>以上（含10</w:t>
      </w:r>
      <w:r>
        <w:rPr>
          <w:bCs/>
          <w:szCs w:val="21"/>
        </w:rPr>
        <w:t>%</w:t>
      </w:r>
      <w:r>
        <w:rPr>
          <w:rFonts w:hint="eastAsia"/>
          <w:bCs/>
          <w:szCs w:val="21"/>
        </w:rPr>
        <w:t>）的基金份额持有人就同一事项书面要求召开基金份额持有人会议的，应当向私募基金管理人提出书面提议。私募基金管理人应当自收到书面提议之日起</w:t>
      </w:r>
      <w:r>
        <w:rPr>
          <w:bCs/>
          <w:szCs w:val="21"/>
        </w:rPr>
        <w:t>10 </w:t>
      </w:r>
      <w:r>
        <w:rPr>
          <w:rFonts w:hint="eastAsia"/>
          <w:bCs/>
          <w:szCs w:val="21"/>
        </w:rPr>
        <w:t>日内决定是否召集，并书面告知提出提议的基金份额持有人代表。私募基金管理人决定召集的，应当自出具书面决定之日起 </w:t>
      </w:r>
      <w:r>
        <w:rPr>
          <w:bCs/>
          <w:szCs w:val="21"/>
        </w:rPr>
        <w:t>30 </w:t>
      </w:r>
      <w:r>
        <w:rPr>
          <w:rFonts w:hint="eastAsia"/>
          <w:bCs/>
          <w:szCs w:val="21"/>
        </w:rPr>
        <w:t>日内召开；私募基金管理人决定不召集，代表基金份额10</w:t>
      </w:r>
      <w:r>
        <w:rPr>
          <w:bCs/>
          <w:szCs w:val="21"/>
        </w:rPr>
        <w:t>%</w:t>
      </w:r>
      <w:r>
        <w:rPr>
          <w:rFonts w:hint="eastAsia"/>
          <w:bCs/>
          <w:szCs w:val="21"/>
        </w:rPr>
        <w:t>以上（含10</w:t>
      </w:r>
      <w:r>
        <w:rPr>
          <w:bCs/>
          <w:szCs w:val="21"/>
        </w:rPr>
        <w:t>%</w:t>
      </w:r>
      <w:r>
        <w:rPr>
          <w:rFonts w:hint="eastAsia"/>
          <w:bCs/>
          <w:szCs w:val="21"/>
        </w:rPr>
        <w:t>）的基金份额持有人有权自行召集。基金份额持有人依法自行召集基金份额持有人会议的，应于会议召开前 </w:t>
      </w:r>
      <w:r>
        <w:rPr>
          <w:bCs/>
          <w:szCs w:val="21"/>
        </w:rPr>
        <w:t>10 </w:t>
      </w:r>
      <w:r>
        <w:rPr>
          <w:rFonts w:hint="eastAsia"/>
          <w:bCs/>
          <w:szCs w:val="21"/>
        </w:rPr>
        <w:t>个工作日通知私募基金管理人，私募基金管理人有权出席基金份额持有人自行召集的基金份额持有人会议，基金份额持有人应当予以配合，不得阻碍私募基金管理人出席基金份额持有人会议。</w:t>
      </w:r>
    </w:p>
    <w:p>
      <w:pPr>
        <w:pStyle w:val="a-BR271517"/>
        <w:spacing w:line="360" w:lineRule="auto"/>
        <w:ind w:firstLine="420" w:firstLineChars="200"/>
        <w:rPr>
          <w:bCs/>
          <w:szCs w:val="21"/>
        </w:rPr>
      </w:pPr>
      <w:r>
        <w:rPr>
          <w:bCs/>
          <w:szCs w:val="21"/>
        </w:rPr>
        <w:t>3</w:t>
      </w:r>
      <w:r>
        <w:rPr>
          <w:rFonts w:hint="eastAsia"/>
          <w:bCs/>
          <w:szCs w:val="21"/>
        </w:rPr>
        <w:t>、若出现</w:t>
      </w:r>
      <w:r>
        <w:rPr>
          <w:rFonts w:ascii="宋体" w:hAnsi="宋体" w:hint="eastAsia"/>
          <w:szCs w:val="21"/>
        </w:rPr>
        <w:t>发生私募基金管理人客观上丧失继续管理基金能力的情况时</w:t>
      </w:r>
      <w:r>
        <w:rPr>
          <w:rFonts w:hint="eastAsia"/>
          <w:bCs/>
          <w:szCs w:val="21"/>
        </w:rPr>
        <w:t>，代表基金份额</w:t>
      </w:r>
      <w:r>
        <w:rPr>
          <w:bCs/>
          <w:szCs w:val="21"/>
        </w:rPr>
        <w:t>10%</w:t>
      </w:r>
      <w:r>
        <w:rPr>
          <w:rFonts w:hint="eastAsia"/>
          <w:bCs/>
          <w:szCs w:val="21"/>
        </w:rPr>
        <w:t>以上（含</w:t>
      </w:r>
      <w:r>
        <w:rPr>
          <w:bCs/>
          <w:szCs w:val="21"/>
        </w:rPr>
        <w:t>10%</w:t>
      </w:r>
      <w:r>
        <w:rPr>
          <w:rFonts w:hint="eastAsia"/>
          <w:bCs/>
          <w:szCs w:val="21"/>
        </w:rPr>
        <w:t>）的基金份额持有人有权自行召集份额持有人大会。</w:t>
      </w:r>
    </w:p>
    <w:p>
      <w:pPr>
        <w:pStyle w:val="a-BR271517"/>
        <w:spacing w:line="360" w:lineRule="auto"/>
        <w:ind w:firstLine="420" w:firstLineChars="200"/>
        <w:rPr>
          <w:bCs/>
          <w:szCs w:val="21"/>
        </w:rPr>
      </w:pPr>
      <w:r>
        <w:rPr>
          <w:bCs/>
          <w:szCs w:val="21"/>
        </w:rPr>
        <w:t>4</w:t>
      </w:r>
      <w:r>
        <w:rPr>
          <w:rFonts w:hint="eastAsia"/>
          <w:bCs/>
          <w:szCs w:val="21"/>
        </w:rPr>
        <w:t>、基金份额持有人会议的召集人负责选择确定开会时间、地点、方式和权益登记日。私募基金托管人对于基金份额持有人会议的召集不负有监督义务。</w:t>
      </w:r>
    </w:p>
    <w:p>
      <w:pPr>
        <w:pStyle w:val="a-BR271517"/>
        <w:spacing w:line="360" w:lineRule="auto"/>
        <w:ind w:firstLine="420" w:firstLineChars="200"/>
        <w:rPr>
          <w:bCs/>
          <w:szCs w:val="21"/>
        </w:rPr>
      </w:pPr>
      <w:r>
        <w:rPr>
          <w:rFonts w:hint="eastAsia"/>
          <w:bCs/>
          <w:szCs w:val="21"/>
        </w:rPr>
        <w:t>（四）召开基金份额持有人大会的通知时间、通知内容、通知方式</w:t>
      </w:r>
    </w:p>
    <w:p>
      <w:pPr>
        <w:pStyle w:val="a-BR271517"/>
        <w:spacing w:line="360" w:lineRule="auto"/>
        <w:ind w:firstLine="420" w:firstLineChars="200"/>
        <w:rPr>
          <w:bCs/>
          <w:szCs w:val="21"/>
        </w:rPr>
      </w:pPr>
      <w:r>
        <w:rPr>
          <w:bCs/>
          <w:szCs w:val="21"/>
        </w:rPr>
        <w:t>1</w:t>
      </w:r>
      <w:r>
        <w:rPr>
          <w:rFonts w:hint="eastAsia"/>
          <w:bCs/>
          <w:szCs w:val="21"/>
        </w:rPr>
        <w:t>、召开基金份额持有人会议，召集人最迟应于会议召开前</w:t>
      </w:r>
      <w:r>
        <w:rPr>
          <w:bCs/>
          <w:szCs w:val="21"/>
        </w:rPr>
        <w:t>10</w:t>
      </w:r>
      <w:r>
        <w:rPr>
          <w:rFonts w:hint="eastAsia"/>
          <w:bCs/>
          <w:szCs w:val="21"/>
        </w:rPr>
        <w:t>个工作日通知全体基金份额持有人，基金份额持有人会议通知应至少载明以下内容：</w:t>
      </w:r>
    </w:p>
    <w:p>
      <w:pPr>
        <w:pStyle w:val="a-BR271517"/>
        <w:spacing w:line="360" w:lineRule="auto"/>
        <w:ind w:firstLine="420" w:firstLineChars="200"/>
        <w:rPr>
          <w:bCs/>
          <w:szCs w:val="21"/>
        </w:rPr>
      </w:pPr>
      <w:r>
        <w:rPr>
          <w:rFonts w:hint="eastAsia"/>
          <w:bCs/>
          <w:szCs w:val="21"/>
        </w:rPr>
        <w:t>（1）会议召开的时间、地点和出席方式；</w:t>
      </w:r>
    </w:p>
    <w:p>
      <w:pPr>
        <w:pStyle w:val="a-BR271517"/>
        <w:spacing w:line="360" w:lineRule="auto"/>
        <w:ind w:firstLine="420" w:firstLineChars="200"/>
        <w:rPr>
          <w:bCs/>
          <w:szCs w:val="21"/>
        </w:rPr>
      </w:pPr>
      <w:r>
        <w:rPr>
          <w:rFonts w:hint="eastAsia"/>
          <w:bCs/>
          <w:szCs w:val="21"/>
        </w:rPr>
        <w:t>（2）会议拟审议的主要事项、议事程序和表决方式；</w:t>
      </w:r>
    </w:p>
    <w:p>
      <w:pPr>
        <w:pStyle w:val="a-BR271517"/>
        <w:spacing w:line="360" w:lineRule="auto"/>
        <w:ind w:firstLine="420" w:firstLineChars="200"/>
        <w:rPr>
          <w:bCs/>
          <w:szCs w:val="21"/>
        </w:rPr>
      </w:pPr>
      <w:r>
        <w:rPr>
          <w:rFonts w:hint="eastAsia"/>
          <w:bCs/>
          <w:szCs w:val="21"/>
        </w:rPr>
        <w:t>（3）授权委托书的内容要求（包括但不限于授权代表身份、代理权限和代理有效期限</w:t>
      </w:r>
    </w:p>
    <w:p>
      <w:pPr>
        <w:pStyle w:val="a-BR271517"/>
        <w:spacing w:line="360" w:lineRule="auto"/>
        <w:ind w:firstLine="420" w:firstLineChars="200"/>
        <w:rPr>
          <w:bCs/>
          <w:szCs w:val="21"/>
        </w:rPr>
      </w:pPr>
      <w:r>
        <w:rPr>
          <w:rFonts w:hint="eastAsia"/>
          <w:bCs/>
          <w:szCs w:val="21"/>
        </w:rPr>
        <w:t>等）、送达的期限、地点；</w:t>
      </w:r>
    </w:p>
    <w:p>
      <w:pPr>
        <w:pStyle w:val="a-BR271517"/>
        <w:spacing w:line="360" w:lineRule="auto"/>
        <w:ind w:firstLine="420" w:firstLineChars="200"/>
        <w:rPr>
          <w:bCs/>
          <w:szCs w:val="21"/>
        </w:rPr>
      </w:pPr>
      <w:r>
        <w:rPr>
          <w:rFonts w:hint="eastAsia"/>
          <w:bCs/>
          <w:szCs w:val="21"/>
        </w:rPr>
        <w:t>（4）会议联系人姓名、电话及其他联系方式；</w:t>
      </w:r>
    </w:p>
    <w:p>
      <w:pPr>
        <w:pStyle w:val="a-BR271517"/>
        <w:spacing w:line="360" w:lineRule="auto"/>
        <w:ind w:firstLine="420" w:firstLineChars="200"/>
        <w:rPr>
          <w:bCs/>
          <w:szCs w:val="21"/>
        </w:rPr>
      </w:pPr>
      <w:r>
        <w:rPr>
          <w:rFonts w:hint="eastAsia"/>
          <w:bCs/>
          <w:szCs w:val="21"/>
        </w:rPr>
        <w:t>（5）出席会议者必须准备的文件和必须履行的手续；</w:t>
      </w:r>
    </w:p>
    <w:p>
      <w:pPr>
        <w:pStyle w:val="a-BR271517"/>
        <w:spacing w:line="360" w:lineRule="auto"/>
        <w:ind w:firstLine="420" w:firstLineChars="200"/>
        <w:rPr>
          <w:bCs/>
          <w:szCs w:val="21"/>
        </w:rPr>
      </w:pPr>
      <w:r>
        <w:rPr>
          <w:rFonts w:hint="eastAsia"/>
          <w:bCs/>
          <w:szCs w:val="21"/>
        </w:rPr>
        <w:t>（6）召集人需要通知的其他事项。</w:t>
      </w:r>
    </w:p>
    <w:p>
      <w:pPr>
        <w:pStyle w:val="a-BR271517"/>
        <w:spacing w:line="360" w:lineRule="auto"/>
        <w:ind w:firstLine="420" w:firstLineChars="200"/>
        <w:rPr>
          <w:bCs/>
          <w:szCs w:val="21"/>
        </w:rPr>
      </w:pPr>
      <w:r>
        <w:rPr>
          <w:bCs/>
          <w:szCs w:val="21"/>
        </w:rPr>
        <w:t>2</w:t>
      </w:r>
      <w:r>
        <w:rPr>
          <w:rFonts w:hint="eastAsia"/>
          <w:bCs/>
          <w:szCs w:val="21"/>
        </w:rPr>
        <w:t>、采取通讯方式开会并进行表决的情况下，由会议召集人决定通讯方式和书面表决方式，并在会议通知中说明本次基金份额持有人会议所采取的具体通讯方式、书面表决意见的寄交截止时间和收取方式。</w:t>
      </w:r>
    </w:p>
    <w:p>
      <w:pPr>
        <w:pStyle w:val="a-BR271517"/>
        <w:spacing w:line="360" w:lineRule="auto"/>
        <w:ind w:firstLine="420" w:firstLineChars="200"/>
        <w:rPr>
          <w:bCs/>
          <w:szCs w:val="21"/>
        </w:rPr>
      </w:pPr>
      <w:r>
        <w:rPr>
          <w:rFonts w:hint="eastAsia"/>
          <w:bCs/>
          <w:szCs w:val="21"/>
        </w:rPr>
        <w:t>（五）召开方式、会议方式</w:t>
      </w:r>
    </w:p>
    <w:p>
      <w:pPr>
        <w:pStyle w:val="a-BR271517"/>
        <w:spacing w:line="360" w:lineRule="auto"/>
        <w:ind w:firstLine="420" w:firstLineChars="200"/>
        <w:rPr>
          <w:bCs/>
          <w:szCs w:val="21"/>
        </w:rPr>
      </w:pPr>
      <w:r>
        <w:rPr>
          <w:bCs/>
          <w:szCs w:val="21"/>
        </w:rPr>
        <w:t>1</w:t>
      </w:r>
      <w:r>
        <w:rPr>
          <w:rFonts w:hint="eastAsia"/>
          <w:bCs/>
          <w:szCs w:val="21"/>
        </w:rPr>
        <w:t>、基金份额持有人会议的召开方式包括现场开会和通讯方式开会。</w:t>
      </w:r>
    </w:p>
    <w:p>
      <w:pPr>
        <w:pStyle w:val="a-BR271517"/>
        <w:spacing w:line="360" w:lineRule="auto"/>
        <w:ind w:firstLine="420" w:firstLineChars="200"/>
        <w:rPr>
          <w:bCs/>
          <w:szCs w:val="21"/>
        </w:rPr>
      </w:pPr>
      <w:r>
        <w:rPr>
          <w:bCs/>
          <w:szCs w:val="21"/>
        </w:rPr>
        <w:t>2</w:t>
      </w:r>
      <w:r>
        <w:rPr>
          <w:rFonts w:hint="eastAsia"/>
          <w:bCs/>
          <w:szCs w:val="21"/>
        </w:rPr>
        <w:t>、现场开会由基金份额持有人亲自或委派授权代表出席。通讯方式开会应当以书面方式进行表决；基金份额持有人出具书面表决意见并在表决截止时间以前送达给私募基金管理人的，视为出席了会议。</w:t>
      </w:r>
    </w:p>
    <w:p>
      <w:pPr>
        <w:pStyle w:val="a-BR271517"/>
        <w:spacing w:line="360" w:lineRule="auto"/>
        <w:ind w:firstLine="420" w:firstLineChars="200"/>
        <w:rPr>
          <w:bCs/>
          <w:szCs w:val="21"/>
        </w:rPr>
      </w:pPr>
      <w:r>
        <w:rPr>
          <w:rFonts w:hint="eastAsia"/>
          <w:bCs/>
          <w:szCs w:val="21"/>
        </w:rPr>
        <w:t>（六）基金份额持有人会议召开条件</w:t>
      </w:r>
    </w:p>
    <w:p>
      <w:pPr>
        <w:pStyle w:val="a-BR271517"/>
        <w:spacing w:line="360" w:lineRule="auto"/>
        <w:ind w:firstLine="420" w:firstLineChars="200"/>
        <w:rPr>
          <w:bCs/>
          <w:szCs w:val="21"/>
        </w:rPr>
      </w:pPr>
      <w:r>
        <w:rPr>
          <w:bCs/>
          <w:szCs w:val="21"/>
        </w:rPr>
        <w:t>1</w:t>
      </w:r>
      <w:r>
        <w:rPr>
          <w:rFonts w:hint="eastAsia"/>
          <w:bCs/>
          <w:szCs w:val="21"/>
        </w:rPr>
        <w:t>、现场开会</w:t>
      </w:r>
    </w:p>
    <w:p>
      <w:pPr>
        <w:pStyle w:val="a-BR271517"/>
        <w:spacing w:line="360" w:lineRule="auto"/>
        <w:ind w:firstLine="420" w:firstLineChars="200"/>
        <w:rPr>
          <w:bCs/>
          <w:szCs w:val="21"/>
        </w:rPr>
      </w:pPr>
      <w:r>
        <w:rPr>
          <w:rFonts w:hint="eastAsia"/>
          <w:bCs/>
          <w:szCs w:val="21"/>
        </w:rPr>
        <w:t>代表基金份额持有人会议召开日基金总份额 </w:t>
      </w:r>
      <w:r>
        <w:rPr>
          <w:bCs/>
          <w:szCs w:val="21"/>
        </w:rPr>
        <w:t>2/3 </w:t>
      </w:r>
      <w:r>
        <w:rPr>
          <w:rFonts w:hint="eastAsia"/>
          <w:bCs/>
          <w:szCs w:val="21"/>
        </w:rPr>
        <w:t>以上（含</w:t>
      </w:r>
      <w:r>
        <w:rPr>
          <w:bCs/>
          <w:szCs w:val="21"/>
        </w:rPr>
        <w:t>2/3</w:t>
      </w:r>
      <w:r>
        <w:rPr>
          <w:rFonts w:hint="eastAsia"/>
          <w:bCs/>
          <w:szCs w:val="21"/>
        </w:rPr>
        <w:t>）的基金份额持有人或代表出席会议，现场会议方可举行。私募</w:t>
      </w:r>
      <w:r>
        <w:rPr>
          <w:rFonts w:ascii="宋体" w:hAnsi="宋体" w:hint="eastAsia"/>
          <w:szCs w:val="21"/>
        </w:rPr>
        <w:t>基金管理人不派代表列席的，不影响表决效力。</w:t>
      </w:r>
      <w:r>
        <w:rPr>
          <w:rFonts w:hint="eastAsia"/>
          <w:bCs/>
          <w:szCs w:val="21"/>
        </w:rPr>
        <w:t>未能满足上述条件的情况下，则召集人可另行确定并通知重新开会的时间。</w:t>
      </w:r>
    </w:p>
    <w:p>
      <w:pPr>
        <w:pStyle w:val="a-BR271517"/>
        <w:spacing w:line="360" w:lineRule="auto"/>
        <w:ind w:firstLine="420" w:firstLineChars="200"/>
        <w:rPr>
          <w:bCs/>
          <w:szCs w:val="21"/>
        </w:rPr>
      </w:pPr>
      <w:r>
        <w:rPr>
          <w:bCs/>
          <w:szCs w:val="21"/>
        </w:rPr>
        <w:t>2</w:t>
      </w:r>
      <w:r>
        <w:rPr>
          <w:rFonts w:hint="eastAsia"/>
          <w:bCs/>
          <w:szCs w:val="21"/>
        </w:rPr>
        <w:t>、通讯方式开会</w:t>
      </w:r>
    </w:p>
    <w:p>
      <w:pPr>
        <w:pStyle w:val="a-BR271517"/>
        <w:spacing w:line="360" w:lineRule="auto"/>
        <w:ind w:firstLine="420" w:firstLineChars="200"/>
        <w:rPr>
          <w:bCs/>
          <w:szCs w:val="21"/>
        </w:rPr>
      </w:pPr>
      <w:r>
        <w:rPr>
          <w:rFonts w:hint="eastAsia"/>
          <w:bCs/>
          <w:szCs w:val="21"/>
        </w:rPr>
        <w:t>会议召集人以公告（可通过网站、全国性报纸等适当形式进行公告）、电子邮件、挂号信、快递、传真、网络通信工具等形式将基金份额持有人会议的提案送达投资人处，即视为通讯方式的会议已经召开，出具书面意见的基金份额持有人所代表的基金总份额占基金份额持有人会议召开日基金总份额</w:t>
      </w:r>
      <w:r>
        <w:rPr>
          <w:bCs/>
          <w:szCs w:val="21"/>
        </w:rPr>
        <w:t>2/3</w:t>
      </w:r>
      <w:r>
        <w:rPr>
          <w:rFonts w:hint="eastAsia"/>
          <w:bCs/>
          <w:szCs w:val="21"/>
        </w:rPr>
        <w:t>以上（含</w:t>
      </w:r>
      <w:r>
        <w:rPr>
          <w:bCs/>
          <w:szCs w:val="21"/>
        </w:rPr>
        <w:t>2/3</w:t>
      </w:r>
      <w:r>
        <w:rPr>
          <w:rFonts w:hint="eastAsia"/>
          <w:bCs/>
          <w:szCs w:val="21"/>
        </w:rPr>
        <w:t>）的，通讯方式的会议视为有效召开。</w:t>
      </w:r>
    </w:p>
    <w:p>
      <w:pPr>
        <w:pStyle w:val="a-BR271517"/>
        <w:spacing w:line="360" w:lineRule="auto"/>
        <w:ind w:firstLine="420" w:firstLineChars="200"/>
        <w:rPr>
          <w:bCs/>
          <w:szCs w:val="21"/>
        </w:rPr>
      </w:pPr>
      <w:r>
        <w:rPr>
          <w:rFonts w:hint="eastAsia"/>
          <w:bCs/>
          <w:szCs w:val="21"/>
        </w:rPr>
        <w:t>（七）表决</w:t>
      </w:r>
    </w:p>
    <w:p>
      <w:pPr>
        <w:pStyle w:val="a-BR271517"/>
        <w:spacing w:line="360" w:lineRule="auto"/>
        <w:ind w:firstLine="420" w:firstLineChars="200"/>
        <w:rPr>
          <w:bCs/>
          <w:szCs w:val="21"/>
        </w:rPr>
      </w:pPr>
      <w:r>
        <w:rPr>
          <w:bCs/>
          <w:szCs w:val="21"/>
        </w:rPr>
        <w:t>1</w:t>
      </w:r>
      <w:r>
        <w:rPr>
          <w:rFonts w:hint="eastAsia"/>
          <w:bCs/>
          <w:szCs w:val="21"/>
        </w:rPr>
        <w:t>、议事内容：基金份额持有人会议不得对事先未通知的议事内容进行表决。</w:t>
      </w:r>
    </w:p>
    <w:p>
      <w:pPr>
        <w:pStyle w:val="a-BR271517"/>
        <w:spacing w:line="360" w:lineRule="auto"/>
        <w:ind w:firstLine="420" w:firstLineChars="200"/>
        <w:rPr>
          <w:bCs/>
          <w:szCs w:val="21"/>
        </w:rPr>
      </w:pPr>
      <w:r>
        <w:rPr>
          <w:bCs/>
          <w:szCs w:val="21"/>
        </w:rPr>
        <w:t>2</w:t>
      </w:r>
      <w:r>
        <w:rPr>
          <w:rFonts w:hint="eastAsia"/>
          <w:bCs/>
          <w:szCs w:val="21"/>
        </w:rPr>
        <w:t>、基金份额持有人所持每份基金份额享有一票表决权。</w:t>
      </w:r>
    </w:p>
    <w:p>
      <w:pPr>
        <w:pStyle w:val="a-BR271517"/>
        <w:spacing w:line="360" w:lineRule="auto"/>
        <w:ind w:firstLine="420" w:firstLineChars="200"/>
        <w:rPr>
          <w:bCs/>
          <w:szCs w:val="21"/>
        </w:rPr>
      </w:pPr>
      <w:r>
        <w:rPr>
          <w:bCs/>
          <w:szCs w:val="21"/>
        </w:rPr>
        <w:t>3</w:t>
      </w:r>
      <w:r>
        <w:rPr>
          <w:rFonts w:hint="eastAsia"/>
          <w:bCs/>
          <w:szCs w:val="21"/>
        </w:rPr>
        <w:t>、基金份额持有人会议决议须经出席会议的基金份额持有人所持表决权的</w:t>
      </w:r>
      <w:r>
        <w:rPr>
          <w:bCs/>
          <w:szCs w:val="21"/>
        </w:rPr>
        <w:t>2/3</w:t>
      </w:r>
      <w:r>
        <w:rPr>
          <w:rFonts w:hint="eastAsia"/>
          <w:bCs/>
          <w:szCs w:val="21"/>
        </w:rPr>
        <w:t>以上通过方为有效；但更换私募基金管理人或更换私募基金托管人应当经参加基金份额持有人会议的基金份额持有人全体通过。</w:t>
      </w:r>
    </w:p>
    <w:p>
      <w:pPr>
        <w:pStyle w:val="a-BR271517"/>
        <w:spacing w:line="360" w:lineRule="auto"/>
        <w:ind w:firstLine="420" w:firstLineChars="200"/>
        <w:rPr>
          <w:bCs/>
          <w:szCs w:val="21"/>
        </w:rPr>
      </w:pPr>
      <w:r>
        <w:rPr>
          <w:bCs/>
          <w:szCs w:val="21"/>
        </w:rPr>
        <w:t>4</w:t>
      </w:r>
      <w:r>
        <w:rPr>
          <w:rFonts w:hint="eastAsia"/>
          <w:bCs/>
          <w:szCs w:val="21"/>
        </w:rPr>
        <w:t>、基金份额持有人会议采取记名方式进行投票表决。</w:t>
      </w:r>
    </w:p>
    <w:p>
      <w:pPr>
        <w:pStyle w:val="a-BR271517"/>
        <w:spacing w:line="360" w:lineRule="auto"/>
        <w:ind w:firstLine="420" w:firstLineChars="200"/>
        <w:rPr>
          <w:bCs/>
          <w:szCs w:val="21"/>
        </w:rPr>
      </w:pPr>
      <w:r>
        <w:rPr>
          <w:rFonts w:hint="eastAsia"/>
          <w:bCs/>
          <w:szCs w:val="21"/>
        </w:rPr>
        <w:t>（八）基金份额持有人会议决议的效力</w:t>
      </w:r>
    </w:p>
    <w:p>
      <w:pPr>
        <w:pStyle w:val="a-BR271517"/>
        <w:spacing w:line="360" w:lineRule="auto"/>
        <w:ind w:firstLine="420" w:firstLineChars="200"/>
        <w:rPr>
          <w:bCs/>
          <w:szCs w:val="21"/>
        </w:rPr>
      </w:pPr>
      <w:r>
        <w:rPr>
          <w:rFonts w:hint="eastAsia"/>
          <w:bCs/>
          <w:szCs w:val="21"/>
        </w:rPr>
        <w:t>私募基金管理人召集的基金份额持有人会议决议，应当由私募基金管理人签署，自签署之日起生效，对全体基金份额持有人、私募基金管理人具有约束力；该等决议内容通知至私募基金托管人并获得其认可之日起，对私募基金托管人有约束力。</w:t>
      </w:r>
    </w:p>
    <w:p>
      <w:pPr>
        <w:pStyle w:val="a-BR271517"/>
        <w:spacing w:line="360" w:lineRule="auto"/>
        <w:ind w:firstLine="420" w:firstLineChars="200"/>
        <w:rPr>
          <w:bCs/>
          <w:szCs w:val="21"/>
        </w:rPr>
      </w:pPr>
      <w:r>
        <w:rPr>
          <w:rFonts w:hint="eastAsia"/>
          <w:bCs/>
          <w:szCs w:val="21"/>
        </w:rPr>
        <w:t>基金份额持有人召集的基金份额持有人会议决议，应当由召集会议的份额持有人或其授权代表签署。</w:t>
      </w:r>
    </w:p>
    <w:p>
      <w:pPr>
        <w:pStyle w:val="a-BR271517"/>
        <w:spacing w:line="360" w:lineRule="auto"/>
        <w:ind w:firstLine="420" w:firstLineChars="200"/>
        <w:rPr>
          <w:bCs/>
          <w:szCs w:val="21"/>
        </w:rPr>
      </w:pPr>
      <w:r>
        <w:rPr>
          <w:rFonts w:hint="eastAsia"/>
          <w:bCs/>
          <w:szCs w:val="21"/>
        </w:rPr>
        <w:t>基金份额持有人召集的基金份额持有人会议决议自签署之日起，对全体基金份额持有人有约束力；该等决议内容通知至私募基金管理人和私募基金托管人并获得其认可之日起，对私募基金管理人和私募基金托管人有约束力。</w:t>
      </w:r>
    </w:p>
    <w:p>
      <w:pPr>
        <w:pStyle w:val="a-BR271517"/>
        <w:spacing w:line="360" w:lineRule="auto"/>
        <w:ind w:firstLine="420" w:firstLineChars="200"/>
        <w:rPr>
          <w:bCs/>
          <w:szCs w:val="21"/>
        </w:rPr>
      </w:pPr>
      <w:r>
        <w:rPr>
          <w:rFonts w:hint="eastAsia"/>
          <w:bCs/>
          <w:szCs w:val="21"/>
        </w:rPr>
        <w:t>私募基金管理人或私募基金托管人无正当理由的，不得拒绝认可或执行基金份额持有人会议决议。但是以下情况下，私募基金管理人或私募基金托管人有权拒绝认可或执行基金份额持有人会议决议：</w:t>
      </w:r>
    </w:p>
    <w:p>
      <w:pPr>
        <w:pStyle w:val="a-BR271517"/>
        <w:spacing w:line="360" w:lineRule="auto"/>
        <w:ind w:firstLine="420" w:firstLineChars="200"/>
        <w:rPr>
          <w:bCs/>
          <w:szCs w:val="21"/>
        </w:rPr>
      </w:pPr>
      <w:r>
        <w:rPr>
          <w:rFonts w:hint="eastAsia"/>
          <w:bCs/>
          <w:szCs w:val="21"/>
        </w:rPr>
        <w:t>1、份额持有人会议程序不符合法律法规要求或本基金合同约定的；</w:t>
      </w:r>
    </w:p>
    <w:p>
      <w:pPr>
        <w:pStyle w:val="a-BR271517"/>
        <w:spacing w:line="360" w:lineRule="auto"/>
        <w:ind w:firstLine="420" w:firstLineChars="200"/>
        <w:rPr>
          <w:bCs/>
          <w:szCs w:val="21"/>
        </w:rPr>
      </w:pPr>
      <w:r>
        <w:rPr>
          <w:rFonts w:hint="eastAsia"/>
          <w:bCs/>
          <w:szCs w:val="21"/>
        </w:rPr>
        <w:t>2、会议召集人无法提供适当的证明文件证明份额持有人会议程序符合法律法规要求以及本基金合同约定的；</w:t>
      </w:r>
    </w:p>
    <w:p>
      <w:pPr>
        <w:pStyle w:val="a-BR271517"/>
        <w:spacing w:line="360" w:lineRule="auto"/>
        <w:ind w:firstLine="420" w:firstLineChars="200"/>
        <w:rPr>
          <w:bCs/>
          <w:szCs w:val="21"/>
        </w:rPr>
      </w:pPr>
      <w:r>
        <w:rPr>
          <w:rFonts w:hint="eastAsia"/>
          <w:bCs/>
          <w:szCs w:val="21"/>
        </w:rPr>
        <w:t>3、决议内容违反法律法规规定或本合同约定的；</w:t>
      </w:r>
    </w:p>
    <w:p>
      <w:pPr>
        <w:pStyle w:val="a-BR271517"/>
        <w:spacing w:line="360" w:lineRule="auto"/>
        <w:ind w:firstLine="420" w:firstLineChars="200"/>
        <w:rPr>
          <w:bCs/>
          <w:szCs w:val="21"/>
        </w:rPr>
      </w:pPr>
      <w:r>
        <w:rPr>
          <w:rFonts w:hint="eastAsia"/>
          <w:bCs/>
          <w:szCs w:val="21"/>
        </w:rPr>
        <w:t>4、决议内容明显无法执行的；</w:t>
      </w:r>
    </w:p>
    <w:p>
      <w:pPr>
        <w:pStyle w:val="a-BR271517"/>
        <w:spacing w:line="360" w:lineRule="auto"/>
        <w:ind w:firstLine="420" w:firstLineChars="200"/>
        <w:rPr>
          <w:bCs/>
          <w:szCs w:val="21"/>
        </w:rPr>
      </w:pPr>
      <w:r>
        <w:rPr>
          <w:rFonts w:hint="eastAsia"/>
          <w:bCs/>
          <w:szCs w:val="21"/>
        </w:rPr>
        <w:t>5、决议内容对于私募基金管理人、私募基金托管人显失公允；</w:t>
      </w:r>
    </w:p>
    <w:p>
      <w:pPr>
        <w:pStyle w:val="a-BR271517"/>
        <w:spacing w:line="360" w:lineRule="auto"/>
        <w:ind w:firstLine="420" w:firstLineChars="200"/>
        <w:rPr>
          <w:bCs/>
          <w:szCs w:val="21"/>
        </w:rPr>
      </w:pPr>
      <w:r>
        <w:rPr>
          <w:rFonts w:hint="eastAsia"/>
          <w:bCs/>
          <w:szCs w:val="21"/>
        </w:rPr>
        <w:t>6、法律法规规定或本合同约定的其他情况。</w:t>
      </w:r>
    </w:p>
    <w:p>
      <w:pPr>
        <w:pStyle w:val="a-BR271517"/>
        <w:spacing w:line="360" w:lineRule="auto"/>
        <w:ind w:firstLine="420" w:firstLineChars="200"/>
        <w:rPr>
          <w:bCs/>
          <w:szCs w:val="21"/>
        </w:rPr>
      </w:pPr>
      <w:r>
        <w:rPr>
          <w:rFonts w:hint="eastAsia"/>
          <w:bCs/>
          <w:szCs w:val="21"/>
        </w:rPr>
        <w:t>（九）基金份额持有人大会的证明文件</w:t>
      </w:r>
    </w:p>
    <w:p>
      <w:pPr>
        <w:pStyle w:val="a-BR271517"/>
        <w:spacing w:line="360" w:lineRule="auto"/>
        <w:rPr>
          <w:bCs/>
          <w:szCs w:val="21"/>
        </w:rPr>
      </w:pPr>
      <w:r>
        <w:rPr>
          <w:rFonts w:hint="eastAsia"/>
          <w:bCs/>
          <w:szCs w:val="21"/>
        </w:rPr>
        <w:tab/>
      </w:r>
      <w:r>
        <w:rPr>
          <w:rFonts w:hint="eastAsia"/>
          <w:bCs/>
          <w:szCs w:val="21"/>
        </w:rPr>
        <w:t>私募基金管理人召集基金份额持有人大会并出具决议的，私募基金托管人有权根据具体情况要求私募基金管理人出具相关证明文件（如公证机构出具的公证文书、律师出具的法律意见书等），以证明基金份额持有人会议的程序或内容符合法律法规的规定以及基金合同的约定。</w:t>
      </w:r>
    </w:p>
    <w:p>
      <w:pPr>
        <w:pStyle w:val="a-BR271517"/>
        <w:spacing w:line="360" w:lineRule="auto"/>
        <w:ind w:firstLine="420" w:firstLineChars="200"/>
        <w:rPr>
          <w:bCs/>
          <w:szCs w:val="21"/>
        </w:rPr>
      </w:pPr>
      <w:r>
        <w:rPr>
          <w:rFonts w:hint="eastAsia"/>
          <w:bCs/>
          <w:szCs w:val="21"/>
        </w:rPr>
        <w:t>基金份额持有人召集基金份额持有人大会并出具决议的，私募基金管理人或私募基金托管人有权根据具体情况要求基金份额持有人出具相关证明文件（如公证机构出具的公证文书、律师出具的法律意见书等），以证明基金份额持有人会议的程序或内容符合法律法规的规定以及基金合同的约定。</w:t>
      </w:r>
    </w:p>
    <w:p>
      <w:pPr>
        <w:pStyle w:val="a-BR271517"/>
        <w:spacing w:line="360" w:lineRule="auto"/>
        <w:ind w:firstLine="420" w:firstLineChars="200"/>
        <w:rPr>
          <w:bCs/>
          <w:szCs w:val="21"/>
        </w:rPr>
      </w:pPr>
      <w:r>
        <w:rPr>
          <w:rFonts w:hint="eastAsia"/>
          <w:bCs/>
          <w:szCs w:val="21"/>
        </w:rPr>
        <w:t>（十）基金份额持有人会议决议的披露</w:t>
      </w:r>
    </w:p>
    <w:p>
      <w:pPr>
        <w:pStyle w:val="a-BR271517"/>
        <w:spacing w:line="360" w:lineRule="auto"/>
        <w:ind w:firstLine="420" w:firstLineChars="200"/>
        <w:rPr>
          <w:bCs/>
          <w:szCs w:val="21"/>
        </w:rPr>
      </w:pPr>
      <w:r>
        <w:rPr>
          <w:rFonts w:hint="eastAsia"/>
          <w:bCs/>
          <w:szCs w:val="21"/>
        </w:rPr>
        <w:t>基金份额持有人会议决定的事项，应由会议召集人负责通过公告（可通过网站、全国性报纸等适当形式进行公告）、电子邮件、挂号信、快递、传真、网络通信工具等书面形式通知全体基金份额持有人、私募基金托管人和其他当事人。</w:t>
      </w:r>
    </w:p>
    <w:p>
      <w:pPr>
        <w:pStyle w:val="a-BR271517"/>
        <w:spacing w:line="360" w:lineRule="auto"/>
        <w:ind w:firstLine="420" w:firstLineChars="200"/>
        <w:rPr>
          <w:bCs/>
          <w:szCs w:val="21"/>
        </w:rPr>
      </w:pPr>
      <w:r>
        <w:rPr>
          <w:rFonts w:hint="eastAsia"/>
          <w:bCs/>
          <w:szCs w:val="21"/>
        </w:rPr>
        <w:t>（十一）本基金存续期间，上述关于基金份额持有人会议召开事由、召集、召开条件、议事程序、表决条件、决议的效力、决议的披露等规定，凡是直接引用法律法规或监管部门规定的部分，如将来法律法规或监管部门的规定修改导致相关内容被取消或变更，或者相关部分与届时有效的法律法规或监管部门的规定相冲突，则私募基金管理人经与私募基金托管人协商一致并提前公告后，可直接对本部分的相关内容进行修改和调整，无需召开基金份额持有人会议审议。</w:t>
      </w:r>
    </w:p>
    <w:p>
      <w:pPr>
        <w:pStyle w:val="a-BR271517"/>
        <w:spacing w:line="360" w:lineRule="auto"/>
        <w:ind w:firstLine="420" w:firstLineChars="200"/>
        <w:rPr>
          <w:bCs/>
          <w:szCs w:val="21"/>
        </w:rPr>
      </w:pPr>
      <w:r>
        <w:rPr>
          <w:rFonts w:hint="eastAsia"/>
          <w:bCs/>
          <w:szCs w:val="21"/>
        </w:rPr>
        <w:t>（十二）基金份额持有人大会不得直接参与或者干涉基金的投资管理活动，但出现</w:t>
      </w:r>
      <w:r>
        <w:rPr>
          <w:rFonts w:ascii="宋体" w:hAnsi="宋体" w:hint="eastAsia"/>
          <w:szCs w:val="21"/>
        </w:rPr>
        <w:t>私募基金管理人客观上丧失继续管理本基金能力的情况</w:t>
      </w:r>
      <w:r>
        <w:rPr>
          <w:rFonts w:hint="eastAsia"/>
          <w:bCs/>
          <w:szCs w:val="21"/>
        </w:rPr>
        <w:t>除外。</w:t>
      </w:r>
    </w:p>
    <w:p>
      <w:pPr>
        <w:pStyle w:val="a7-BR833544"/>
        <w:rPr>
          <w:sz w:val="21"/>
          <w:szCs w:val="21"/>
        </w:rPr>
      </w:pPr>
      <w:bookmarkStart w:id="26" w:name="_Toc256000010"/>
      <w:r>
        <w:rPr>
          <w:rFonts w:hint="eastAsia"/>
          <w:sz w:val="21"/>
          <w:szCs w:val="21"/>
        </w:rPr>
        <w:t>十、私募基金份额的登记</w:t>
      </w:r>
      <w:bookmarkEnd w:id="26"/>
    </w:p>
    <w:p>
      <w:pPr>
        <w:pStyle w:val="a-BR833544"/>
        <w:spacing w:line="360" w:lineRule="auto"/>
        <w:ind w:firstLine="420" w:firstLineChars="200"/>
        <w:rPr>
          <w:rFonts w:ascii="宋体" w:hAnsi="宋体"/>
          <w:szCs w:val="21"/>
        </w:rPr>
      </w:pPr>
      <w:r>
        <w:rPr>
          <w:rFonts w:ascii="宋体" w:hAnsi="宋体" w:hint="eastAsia"/>
          <w:szCs w:val="21"/>
        </w:rPr>
        <w:t>（一）本基金的份额登记业务由私募基金管理人或其委托的份额登记机构办理。私募基金管理人委托可办理私募基金份额登记业务的其他机构代为办理私募基金份额登记业务的，应当与有关机构签订委托代理协议，并</w:t>
      </w:r>
      <w:r>
        <w:rPr>
          <w:rFonts w:ascii="宋体" w:hAnsi="宋体"/>
          <w:szCs w:val="21"/>
        </w:rPr>
        <w:t>订明</w:t>
      </w:r>
      <w:r>
        <w:rPr>
          <w:rFonts w:ascii="宋体" w:hAnsi="宋体" w:hint="eastAsia"/>
          <w:szCs w:val="21"/>
        </w:rPr>
        <w:t>份额登记机构的名称、外包业务登记编码、代为办理私募基金份额登记机构的权限和职责等。份额登记机构应履行如下份额登记职责：</w:t>
      </w:r>
    </w:p>
    <w:p>
      <w:pPr>
        <w:pStyle w:val="a-BR833544"/>
        <w:spacing w:line="360" w:lineRule="auto"/>
        <w:ind w:firstLine="420" w:firstLineChars="200"/>
        <w:rPr>
          <w:rFonts w:ascii="宋体" w:hAnsi="宋体"/>
          <w:szCs w:val="21"/>
        </w:rPr>
      </w:pPr>
      <w:r>
        <w:rPr>
          <w:rFonts w:ascii="宋体" w:hAnsi="宋体"/>
          <w:szCs w:val="21"/>
        </w:rPr>
        <w:t>1</w:t>
      </w:r>
      <w:r>
        <w:rPr>
          <w:rFonts w:ascii="宋体" w:hAnsi="宋体" w:hint="eastAsia"/>
          <w:szCs w:val="21"/>
        </w:rPr>
        <w:t>、</w:t>
      </w:r>
      <w:r>
        <w:rPr>
          <w:rFonts w:ascii="Arial" w:hAnsi="Arial" w:cs="Arial" w:hint="eastAsia"/>
          <w:szCs w:val="21"/>
          <w:shd w:val="clear" w:color="auto" w:fill="FFFFFF"/>
        </w:rPr>
        <w:t>建立并管理投资者的基金账户</w:t>
      </w:r>
      <w:r>
        <w:rPr>
          <w:rFonts w:ascii="宋体" w:hAnsi="宋体" w:hint="eastAsia"/>
          <w:szCs w:val="21"/>
        </w:rPr>
        <w:t>；</w:t>
      </w:r>
    </w:p>
    <w:p>
      <w:pPr>
        <w:pStyle w:val="a-BR833544"/>
        <w:spacing w:line="360" w:lineRule="auto"/>
        <w:ind w:firstLine="420" w:firstLineChars="200"/>
        <w:rPr>
          <w:rFonts w:ascii="宋体" w:hAnsi="宋体"/>
          <w:szCs w:val="21"/>
        </w:rPr>
      </w:pPr>
      <w:r>
        <w:rPr>
          <w:rFonts w:ascii="宋体" w:hAnsi="宋体"/>
          <w:szCs w:val="21"/>
        </w:rPr>
        <w:t>2</w:t>
      </w:r>
      <w:r>
        <w:rPr>
          <w:rFonts w:ascii="宋体" w:hAnsi="宋体" w:hint="eastAsia"/>
          <w:szCs w:val="21"/>
        </w:rPr>
        <w:t>、</w:t>
      </w:r>
      <w:r>
        <w:rPr>
          <w:rFonts w:ascii="Arial" w:hAnsi="Arial" w:cs="Arial" w:hint="eastAsia"/>
          <w:szCs w:val="21"/>
          <w:shd w:val="clear" w:color="auto" w:fill="FFFFFF"/>
        </w:rPr>
        <w:t>负责基金份额的登记及资金结算</w:t>
      </w:r>
      <w:r>
        <w:rPr>
          <w:rFonts w:ascii="宋体" w:hAnsi="宋体" w:hint="eastAsia"/>
          <w:szCs w:val="21"/>
        </w:rPr>
        <w:t>；</w:t>
      </w:r>
    </w:p>
    <w:p>
      <w:pPr>
        <w:pStyle w:val="a-BR833544"/>
        <w:spacing w:line="360" w:lineRule="auto"/>
        <w:ind w:firstLine="420" w:firstLineChars="200"/>
        <w:rPr>
          <w:rFonts w:ascii="宋体" w:hAnsi="宋体"/>
          <w:szCs w:val="21"/>
        </w:rPr>
      </w:pPr>
      <w:r>
        <w:rPr>
          <w:rFonts w:ascii="宋体" w:hAnsi="宋体"/>
          <w:szCs w:val="21"/>
        </w:rPr>
        <w:t>3</w:t>
      </w:r>
      <w:r>
        <w:rPr>
          <w:rFonts w:ascii="宋体" w:hAnsi="宋体" w:hint="eastAsia"/>
          <w:szCs w:val="21"/>
        </w:rPr>
        <w:t>、负责</w:t>
      </w:r>
      <w:r>
        <w:rPr>
          <w:rFonts w:ascii="Arial" w:hAnsi="Arial" w:cs="Arial" w:hint="eastAsia"/>
          <w:szCs w:val="21"/>
          <w:shd w:val="clear" w:color="auto" w:fill="FFFFFF"/>
        </w:rPr>
        <w:t>基金份额交易确认</w:t>
      </w:r>
      <w:r>
        <w:rPr>
          <w:rFonts w:ascii="宋体" w:hAnsi="宋体" w:hint="eastAsia"/>
          <w:szCs w:val="21"/>
        </w:rPr>
        <w:t>；</w:t>
      </w:r>
    </w:p>
    <w:p>
      <w:pPr>
        <w:pStyle w:val="a-BR833544"/>
        <w:spacing w:line="360" w:lineRule="auto"/>
        <w:ind w:firstLine="420" w:firstLineChars="200"/>
        <w:rPr>
          <w:rFonts w:ascii="宋体" w:hAnsi="宋体"/>
          <w:szCs w:val="21"/>
        </w:rPr>
      </w:pPr>
      <w:r>
        <w:rPr>
          <w:rFonts w:ascii="宋体" w:hAnsi="宋体"/>
          <w:szCs w:val="21"/>
        </w:rPr>
        <w:t>4</w:t>
      </w:r>
      <w:r>
        <w:rPr>
          <w:rFonts w:ascii="宋体" w:hAnsi="宋体" w:hint="eastAsia"/>
          <w:szCs w:val="21"/>
        </w:rPr>
        <w:t>、</w:t>
      </w:r>
      <w:r>
        <w:rPr>
          <w:rFonts w:ascii="Arial" w:hAnsi="Arial" w:cs="Arial" w:hint="eastAsia"/>
          <w:szCs w:val="21"/>
          <w:shd w:val="clear" w:color="auto" w:fill="FFFFFF"/>
        </w:rPr>
        <w:t>协助发放基金分红款项</w:t>
      </w:r>
      <w:r>
        <w:rPr>
          <w:rFonts w:ascii="宋体" w:hAnsi="宋体" w:hint="eastAsia"/>
          <w:szCs w:val="21"/>
        </w:rPr>
        <w:t>；</w:t>
      </w:r>
    </w:p>
    <w:p>
      <w:pPr>
        <w:pStyle w:val="a-BR833544"/>
        <w:spacing w:line="360" w:lineRule="auto"/>
        <w:ind w:firstLine="420" w:firstLineChars="200"/>
        <w:rPr>
          <w:rFonts w:ascii="Arial" w:hAnsi="Arial" w:cs="Arial"/>
          <w:szCs w:val="21"/>
          <w:shd w:val="clear" w:color="auto" w:fill="FFFFFF"/>
        </w:rPr>
      </w:pPr>
      <w:r>
        <w:t>5</w:t>
      </w:r>
      <w:r>
        <w:rPr>
          <w:rFonts w:hint="eastAsia"/>
        </w:rPr>
        <w:t>、</w:t>
      </w:r>
      <w:r>
        <w:rPr>
          <w:rFonts w:ascii="Arial" w:hAnsi="Arial" w:cs="Arial" w:hint="eastAsia"/>
          <w:szCs w:val="21"/>
          <w:shd w:val="clear" w:color="auto" w:fill="FFFFFF"/>
        </w:rPr>
        <w:t>保管基金份额持有人名册；</w:t>
      </w:r>
    </w:p>
    <w:p>
      <w:pPr>
        <w:pStyle w:val="a-BR833544"/>
        <w:spacing w:line="360" w:lineRule="auto"/>
        <w:ind w:firstLine="420" w:firstLineChars="200"/>
        <w:rPr>
          <w:rFonts w:ascii="宋体" w:hAnsi="宋体"/>
          <w:szCs w:val="21"/>
        </w:rPr>
      </w:pPr>
      <w:r>
        <w:t>6</w:t>
      </w:r>
      <w:r>
        <w:rPr>
          <w:rFonts w:hint="eastAsia"/>
        </w:rPr>
        <w:t>、对</w:t>
      </w:r>
      <w:r>
        <w:rPr>
          <w:rFonts w:ascii="宋体" w:hAnsi="宋体" w:hint="eastAsia"/>
          <w:szCs w:val="21"/>
        </w:rPr>
        <w:t>基金份额持有人的账户信息负有保密义务，因违反该保密义务对基金份额持有人或基金带来的损失，须承担相应的赔偿责任，但法律法规或监管机构另有规定的除外。</w:t>
      </w:r>
    </w:p>
    <w:p>
      <w:pPr>
        <w:pStyle w:val="a-BR833544"/>
        <w:spacing w:line="360" w:lineRule="auto"/>
        <w:ind w:firstLine="420" w:firstLineChars="200"/>
        <w:rPr>
          <w:rFonts w:ascii="宋体" w:hAnsi="宋体"/>
          <w:szCs w:val="21"/>
        </w:rPr>
      </w:pPr>
      <w:r>
        <w:rPr>
          <w:rFonts w:ascii="宋体" w:hAnsi="宋体" w:hint="eastAsia"/>
          <w:szCs w:val="21"/>
        </w:rPr>
        <w:t>（二）基金份额的相关信息（包括但不限于持有人、交易日期、交易类型等）应当以份额登记机构记载的数据为准。私募基金管理人、基金份额持有人认为份额登记机构记载的数据存在错误的，应当承担举证义务。</w:t>
      </w:r>
    </w:p>
    <w:p>
      <w:pPr>
        <w:pStyle w:val="a-BR833544"/>
        <w:spacing w:line="360" w:lineRule="auto"/>
        <w:ind w:firstLine="420" w:firstLineChars="200"/>
        <w:rPr>
          <w:rFonts w:ascii="宋体" w:hAnsi="宋体"/>
          <w:szCs w:val="21"/>
        </w:rPr>
      </w:pPr>
      <w:r>
        <w:rPr>
          <w:rFonts w:ascii="宋体" w:hAnsi="宋体" w:hint="eastAsia"/>
          <w:szCs w:val="21"/>
        </w:rPr>
        <w:t>（三）私募基金管理人委托份额登记机构办理本基金的份额登记业务的，私募基金管理人依法应承担的份额登记职责不因委托而免除。</w:t>
      </w:r>
    </w:p>
    <w:p>
      <w:pPr>
        <w:pStyle w:val="a-BR833544"/>
        <w:spacing w:line="360" w:lineRule="auto"/>
        <w:ind w:firstLine="420" w:firstLineChars="200"/>
        <w:rPr>
          <w:rFonts w:ascii="宋体" w:hAnsi="宋体"/>
          <w:szCs w:val="21"/>
        </w:rPr>
      </w:pPr>
      <w:r>
        <w:rPr>
          <w:rFonts w:ascii="宋体" w:hAnsi="宋体" w:hint="eastAsia"/>
          <w:szCs w:val="21"/>
        </w:rPr>
        <w:t>（四）份额登记机构将按照中国证券投资基金业协会的规定办理基金份额登记数据的备份，定期向中国证券投资基金业协会指定的机构上传与基金份额有关的数据。</w:t>
      </w:r>
    </w:p>
    <w:p>
      <w:pPr>
        <w:pStyle w:val="ae-BR833747"/>
        <w:rPr>
          <w:sz w:val="21"/>
          <w:szCs w:val="21"/>
        </w:rPr>
      </w:pPr>
      <w:bookmarkStart w:id="27" w:name="_Toc256000011"/>
      <w:r>
        <w:rPr>
          <w:rFonts w:hint="eastAsia"/>
          <w:sz w:val="21"/>
          <w:szCs w:val="21"/>
        </w:rPr>
        <w:t>十一、私募基金的投资</w:t>
      </w:r>
      <w:bookmarkEnd w:id="27"/>
    </w:p>
    <w:p>
      <w:pPr>
        <w:pStyle w:val="a6-BR833747"/>
        <w:numPr>
          <w:ilvl w:val="0"/>
          <w:numId w:val="5"/>
        </w:numPr>
        <w:spacing w:line="360" w:lineRule="auto"/>
        <w:ind w:left="0" w:firstLine="420"/>
        <w:rPr>
          <w:rFonts w:ascii="宋体" w:hAnsi="宋体"/>
          <w:szCs w:val="21"/>
        </w:rPr>
      </w:pPr>
      <w:r>
        <w:rPr>
          <w:rFonts w:ascii="宋体" w:hAnsi="宋体" w:hint="eastAsia"/>
          <w:szCs w:val="21"/>
        </w:rPr>
        <w:t>投资目标</w:t>
      </w:r>
    </w:p>
    <w:p>
      <w:pPr>
        <w:pStyle w:val="a-BR833747"/>
        <w:spacing w:line="360" w:lineRule="auto"/>
        <w:ind w:firstLine="420" w:firstLineChars="200"/>
        <w:rPr>
          <w:rFonts w:ascii="宋体" w:hAnsi="宋体"/>
          <w:szCs w:val="21"/>
        </w:rPr>
      </w:pPr>
      <w:r>
        <w:t>本基金在深入研究的基础上构建投资组合，在严格控制投资风险的前提下，力求获得长期稳定的投资回报。</w:t>
      </w:r>
    </w:p>
    <w:p>
      <w:pPr>
        <w:pStyle w:val="a6-BR833747"/>
        <w:numPr>
          <w:ilvl w:val="0"/>
          <w:numId w:val="5"/>
        </w:numPr>
        <w:spacing w:line="360" w:lineRule="auto"/>
        <w:ind w:left="0" w:firstLine="420"/>
        <w:rPr>
          <w:rFonts w:ascii="宋体" w:hAnsi="宋体"/>
          <w:szCs w:val="21"/>
        </w:rPr>
      </w:pPr>
      <w:r>
        <w:rPr>
          <w:rFonts w:ascii="宋体" w:hAnsi="宋体" w:hint="eastAsia"/>
          <w:szCs w:val="21"/>
        </w:rPr>
        <w:t>投资范围</w:t>
      </w:r>
    </w:p>
    <w:p>
      <w:pPr>
        <w:pStyle w:val="a-BR821607"/>
        <w:spacing w:line="360" w:lineRule="auto"/>
        <w:ind w:firstLine="420" w:firstLineChars="200"/>
        <w:rPr>
          <w:rFonts w:ascii="宋体" w:hAnsi="宋体"/>
          <w:szCs w:val="21"/>
        </w:rPr>
      </w:pPr>
      <w:r>
        <w:rPr>
          <w:rFonts w:ascii="宋体" w:hAnsi="宋体" w:hint="eastAsia"/>
          <w:szCs w:val="21"/>
        </w:rPr>
        <w:t xml:space="preserve">沪深交易所发行上市的股票（包含新股申购）、新三板精选层挂牌公司股票、港股通标的范围内的股票、沪深交易所发行上市的存托凭证、沪深交易所发行交易的优先股、沪深交易所或银行间市场发行交易的债券、沪深交易所或银行间市场发行交易的资产支持证券、银行间市场发行及交易的资产支持票据、证券公司收益凭证（含非本金保障型收益凭证）、债券逆回购、沪深交易所质押式报价回购、现金、银行存款（包括定期存款、活期存款、协议存款、结构性存款及其他银行存款）、同业存单、融资融券交易、转融通证券出借交易（即本基金将其持有的证券作为融券标的证券出借给证券金融公司）、沪深交易所及期货交易所上市的期货、沪深交易所及期货交易所上市的期权、证券交易所权证、上海黄金交易所上市的合约品种、仅以证券公司/期货公司/银行及其子公司为交易对手的证券期货市场场外衍生品（仅包括收益互换及场外期权）、公募基金、银行理财产品、证券公司及其子公司资产管理计划、于基金业协会官方网站公示已登记的私募证券投资基金管理人发行的私募基金。 </w:t>
      </w:r>
    </w:p>
    <w:p>
      <w:pPr>
        <w:pStyle w:val="a-BR833747"/>
        <w:spacing w:line="360" w:lineRule="auto"/>
        <w:ind w:firstLine="420" w:firstLineChars="200"/>
        <w:rPr>
          <w:rFonts w:ascii="宋体" w:hAnsi="宋体" w:cs="宋体"/>
          <w:kern w:val="0"/>
          <w:szCs w:val="21"/>
        </w:rPr>
      </w:pPr>
      <w:r>
        <w:rPr>
          <w:rFonts w:ascii="宋体" w:hAnsi="宋体" w:cs="宋体" w:hint="eastAsia"/>
          <w:kern w:val="0"/>
          <w:szCs w:val="21"/>
        </w:rPr>
        <w:t>如法律法规或中国证监会规定私募基金管理人需取得特定资质后方可投资上述证券或金融衍生产品的，则私募基金管理人投资上述证券或金融衍生产品前应获得相应资质。</w:t>
      </w:r>
    </w:p>
    <w:p>
      <w:pPr>
        <w:pStyle w:val="a-BR833747"/>
        <w:spacing w:line="360" w:lineRule="auto"/>
        <w:ind w:firstLine="420" w:firstLineChars="200"/>
        <w:rPr>
          <w:rFonts w:ascii="宋体" w:hAnsi="宋体" w:cs="宋体"/>
          <w:kern w:val="0"/>
          <w:szCs w:val="21"/>
        </w:rPr>
      </w:pPr>
      <w:r>
        <w:rPr>
          <w:rFonts w:ascii="宋体" w:hAnsi="宋体" w:cs="宋体" w:hint="eastAsia"/>
          <w:kern w:val="0"/>
          <w:szCs w:val="21"/>
        </w:rPr>
        <w:t>如需新增上述投资范围外的投资品种的，则应由全体基金份额持有人、私募基金管理人和私募基金托管人协商一致并签署补充协议对本章节内容进行变更。</w:t>
      </w:r>
    </w:p>
    <w:p>
      <w:pPr>
        <w:pStyle w:val="a6-BR833747"/>
        <w:numPr>
          <w:ilvl w:val="0"/>
          <w:numId w:val="5"/>
        </w:numPr>
        <w:spacing w:line="360" w:lineRule="auto"/>
        <w:ind w:left="0" w:firstLine="420"/>
        <w:rPr>
          <w:rFonts w:ascii="宋体" w:hAnsi="宋体"/>
          <w:szCs w:val="21"/>
        </w:rPr>
      </w:pPr>
      <w:r>
        <w:rPr>
          <w:rFonts w:ascii="宋体" w:hAnsi="宋体" w:hint="eastAsia"/>
          <w:szCs w:val="21"/>
        </w:rPr>
        <w:t>投资策略</w:t>
      </w:r>
    </w:p>
    <w:p>
      <w:pPr>
        <w:pStyle w:val="a-BR833747"/>
        <w:spacing w:line="360" w:lineRule="auto"/>
        <w:ind w:firstLine="420" w:firstLineChars="200"/>
        <w:jc w:val="left"/>
        <w:rPr>
          <w:rFonts w:ascii="宋体" w:hAnsi="宋体"/>
          <w:szCs w:val="21"/>
        </w:rPr>
      </w:pPr>
      <w:r>
        <w:t>本基金将根据宏观经济分析和整体市场估值水平的变化自上而下地进行资产配置，在降低市场风险的同时追求更高收益。</w:t>
      </w:r>
    </w:p>
    <w:p>
      <w:pPr>
        <w:pStyle w:val="a-BR833747"/>
        <w:spacing w:line="360" w:lineRule="auto"/>
        <w:ind w:firstLine="420" w:firstLineChars="200"/>
        <w:jc w:val="left"/>
        <w:rPr>
          <w:rFonts w:ascii="宋体" w:hAnsi="宋体"/>
          <w:szCs w:val="21"/>
        </w:rPr>
      </w:pPr>
      <w:r>
        <w:rPr>
          <w:rFonts w:ascii="宋体" w:hAnsi="宋体" w:hint="eastAsia"/>
          <w:b/>
          <w:bCs/>
          <w:szCs w:val="21"/>
        </w:rPr>
        <w:t>以上内容为私募基金管理人对于本基金全部或部分投资品种相应投资策略的阐述，不构成对于本基金投资范围、投资比例及限制或其他投资风控指标的补充。</w:t>
      </w:r>
    </w:p>
    <w:p>
      <w:pPr>
        <w:pStyle w:val="a6-BR833747"/>
        <w:numPr>
          <w:ilvl w:val="0"/>
          <w:numId w:val="5"/>
        </w:numPr>
        <w:spacing w:line="360" w:lineRule="auto"/>
        <w:ind w:left="0" w:firstLine="420"/>
        <w:rPr>
          <w:rFonts w:ascii="宋体" w:hAnsi="宋体"/>
          <w:szCs w:val="21"/>
        </w:rPr>
      </w:pPr>
      <w:r>
        <w:rPr>
          <w:rFonts w:ascii="宋体" w:hAnsi="宋体" w:hint="eastAsia"/>
          <w:szCs w:val="21"/>
        </w:rPr>
        <w:t>投资限制</w:t>
      </w:r>
    </w:p>
    <w:p>
      <w:pPr>
        <w:pStyle w:val="a-BR883622"/>
        <w:spacing w:line="360" w:lineRule="auto"/>
        <w:ind w:firstLine="420" w:firstLineChars="200"/>
        <w:rPr>
          <w:rFonts w:ascii="宋体" w:hAnsi="宋体"/>
          <w:szCs w:val="21"/>
        </w:rPr>
      </w:pPr>
      <w:r>
        <w:rPr>
          <w:rFonts w:ascii="宋体" w:hAnsi="宋体" w:hint="eastAsia"/>
          <w:szCs w:val="21"/>
        </w:rPr>
        <w:t>本基金财产的投资组合应遵循以下限制（本基金</w:t>
      </w:r>
      <w:r>
        <w:rPr>
          <w:rFonts w:ascii="宋体" w:hAnsi="宋体"/>
          <w:szCs w:val="21"/>
        </w:rPr>
        <w:t>自</w:t>
      </w:r>
      <w:r>
        <w:rPr>
          <w:rFonts w:ascii="宋体" w:hAnsi="宋体" w:hint="eastAsia"/>
          <w:szCs w:val="21"/>
        </w:rPr>
        <w:t>进入清算程序</w:t>
      </w:r>
      <w:r>
        <w:rPr>
          <w:rFonts w:ascii="宋体" w:hAnsi="宋体"/>
          <w:szCs w:val="21"/>
        </w:rPr>
        <w:t>后</w:t>
      </w:r>
      <w:r>
        <w:rPr>
          <w:rFonts w:ascii="宋体" w:hAnsi="宋体" w:hint="eastAsia"/>
          <w:szCs w:val="21"/>
        </w:rPr>
        <w:t>无需遵循</w:t>
      </w:r>
      <w:r>
        <w:rPr>
          <w:rFonts w:ascii="宋体" w:hAnsi="宋体"/>
          <w:szCs w:val="21"/>
        </w:rPr>
        <w:t>以下投资</w:t>
      </w:r>
      <w:r>
        <w:rPr>
          <w:rFonts w:ascii="宋体" w:hAnsi="宋体" w:hint="eastAsia"/>
          <w:szCs w:val="21"/>
        </w:rPr>
        <w:t>比例</w:t>
      </w:r>
      <w:r>
        <w:rPr>
          <w:rFonts w:ascii="宋体" w:hAnsi="宋体"/>
          <w:szCs w:val="21"/>
        </w:rPr>
        <w:t>限制）</w:t>
      </w:r>
      <w:r>
        <w:rPr>
          <w:rFonts w:ascii="宋体" w:hAnsi="宋体" w:hint="eastAsia"/>
          <w:szCs w:val="21"/>
        </w:rPr>
        <w:t>：</w:t>
      </w:r>
    </w:p>
    <w:p>
      <w:pPr>
        <w:pStyle w:val="a9-BR883622"/>
        <w:numPr>
          <w:ilvl w:val="0"/>
          <w:numId w:val="6"/>
        </w:numPr>
        <w:spacing w:line="360" w:lineRule="auto"/>
        <w:ind w:left="0" w:firstLine="420"/>
      </w:pPr>
      <w:r>
        <w:rPr>
          <w:rFonts w:hint="eastAsia"/>
        </w:rPr>
        <w:t>本基金不得投向未经具有证券投资基金托管资格的机构托管的私募基金；</w:t>
      </w:r>
    </w:p>
    <w:p>
      <w:pPr>
        <w:pStyle w:val="a9-BR883622"/>
        <w:numPr>
          <w:ilvl w:val="0"/>
          <w:numId w:val="6"/>
        </w:numPr>
        <w:spacing w:line="360" w:lineRule="auto"/>
        <w:ind w:left="0" w:firstLine="420"/>
      </w:pPr>
      <w:r>
        <w:rPr>
          <w:rFonts w:hint="eastAsia"/>
        </w:rPr>
        <w:t>本基金不得投资于结构化金融产品（含资产证券化产品）的次级/劣后级份额（公募基金除外）；</w:t>
      </w:r>
    </w:p>
    <w:p>
      <w:pPr>
        <w:pStyle w:val="a9-BR883622"/>
        <w:numPr>
          <w:ilvl w:val="0"/>
          <w:numId w:val="6"/>
        </w:numPr>
        <w:spacing w:line="360" w:lineRule="auto"/>
        <w:ind w:left="0" w:firstLine="420"/>
      </w:pPr>
      <w:r>
        <w:rPr>
          <w:rFonts w:hint="eastAsia"/>
        </w:rPr>
        <w:t>本基金的基金资产总值占基金资产净值的比例不得超过200%；</w:t>
      </w:r>
    </w:p>
    <w:p>
      <w:pPr>
        <w:pStyle w:val="a9-BR883622"/>
        <w:numPr>
          <w:ilvl w:val="0"/>
          <w:numId w:val="6"/>
        </w:numPr>
        <w:spacing w:line="360" w:lineRule="auto"/>
        <w:ind w:left="0" w:firstLine="420"/>
      </w:pPr>
      <w:r>
        <w:rPr>
          <w:rFonts w:hint="eastAsia"/>
        </w:rPr>
        <w:t>本基金持有的存托凭证，以市值合计，不得超过基金资产净值的100%；</w:t>
      </w:r>
    </w:p>
    <w:p>
      <w:pPr>
        <w:pStyle w:val="a9-BR883622"/>
        <w:numPr>
          <w:ilvl w:val="0"/>
          <w:numId w:val="6"/>
        </w:numPr>
        <w:spacing w:line="360" w:lineRule="auto"/>
        <w:ind w:left="0" w:firstLine="420"/>
      </w:pPr>
      <w:r>
        <w:rPr>
          <w:rFonts w:hint="eastAsia"/>
        </w:rPr>
        <w:t>本基金不得参与认购沪深交易所上市公司非公开发行股票；</w:t>
      </w:r>
    </w:p>
    <w:p>
      <w:pPr>
        <w:pStyle w:val="a9-BR883622"/>
        <w:numPr>
          <w:ilvl w:val="0"/>
          <w:numId w:val="6"/>
        </w:numPr>
        <w:spacing w:line="360" w:lineRule="auto"/>
        <w:ind w:left="0" w:firstLine="420"/>
      </w:pPr>
      <w:r>
        <w:rPr>
          <w:rFonts w:hint="eastAsia"/>
        </w:rPr>
        <w:t>本基金投资于新三板精选层挂牌公司股票，以市值合计，不得超过基金资产总值的100%；</w:t>
      </w:r>
    </w:p>
    <w:p>
      <w:pPr>
        <w:pStyle w:val="a9-BR883622"/>
        <w:numPr>
          <w:ilvl w:val="0"/>
          <w:numId w:val="6"/>
        </w:numPr>
        <w:spacing w:line="360" w:lineRule="auto"/>
        <w:ind w:left="0" w:firstLine="420"/>
      </w:pPr>
      <w:r>
        <w:rPr>
          <w:b/>
        </w:rPr>
        <w:t>自2024年8月1日（含）起，本基金投资应当遵循以下限制。私募基金托管人对以下限制的监督，依赖于本私募基金管理人、交易商、经纪商等机构提供的数据的真实性、准确性、完整性、及时性，监督频率亦受限于私募基金托管人收到数据的频率（可能以季度或更低的频率对相关指标进行核算、监督）。若因收到数据不真实、不准确、不完整、不及时导致私募基金托管人无法准确监督相关投资限制，给基金资产或投资者造成损失的，私募基金托管人不承担赔偿责任。</w:t>
      </w:r>
    </w:p>
    <w:p w:rsidR="00B426B7" w:rsidP="00B426B7">
      <w:pPr>
        <w:spacing w:line="340" w:lineRule="auto"/>
        <w:ind w:firstLine="315" w:firstLineChars="150"/>
      </w:pPr>
      <w:r>
        <w:rPr>
          <w:spacing w:val="1"/>
        </w:rPr>
        <w:t>（</w:t>
      </w:r>
      <w:r>
        <w:rPr>
          <w:spacing w:val="1"/>
        </w:rPr>
        <w:t>1</w:t>
      </w:r>
      <w:r>
        <w:rPr>
          <w:spacing w:val="1"/>
        </w:rPr>
        <w:t>）本基金新增场外期权合约以及存续合约展期的，除</w:t>
      </w:r>
      <w:r>
        <w:rPr>
          <w:spacing w:val="1"/>
        </w:rPr>
        <w:t>仅开展</w:t>
      </w:r>
      <w:r>
        <w:rPr>
          <w:spacing w:val="1"/>
        </w:rPr>
        <w:t>商品类场外期权交易外，基金净资产不低于</w:t>
      </w:r>
      <w:r>
        <w:rPr>
          <w:spacing w:val="1"/>
        </w:rPr>
        <w:t>5000</w:t>
      </w:r>
      <w:r>
        <w:rPr>
          <w:spacing w:val="1"/>
        </w:rPr>
        <w:t>万元；本基金参与场外期权交易的，向全部交易对手方缴纳的场外期权交易保证金和权利金合计不得超过基金净资产的</w:t>
      </w:r>
      <w:r>
        <w:rPr>
          <w:spacing w:val="1"/>
        </w:rPr>
        <w:t>25%</w:t>
      </w:r>
      <w:r>
        <w:rPr>
          <w:spacing w:val="1"/>
        </w:rPr>
        <w:t>；</w:t>
      </w:r>
    </w:p>
    <w:p w:rsidR="00B426B7" w:rsidP="00B426B7">
      <w:pPr>
        <w:spacing w:line="340" w:lineRule="auto"/>
        <w:ind w:firstLine="315" w:firstLineChars="150"/>
      </w:pPr>
      <w:r>
        <w:rPr>
          <w:spacing w:val="1"/>
        </w:rPr>
        <w:t>（</w:t>
      </w:r>
      <w:r>
        <w:rPr>
          <w:spacing w:val="1"/>
        </w:rPr>
        <w:t>2</w:t>
      </w:r>
      <w:r>
        <w:rPr>
          <w:spacing w:val="1"/>
        </w:rPr>
        <w:t>）本基金新增收益互换合约以及存续合约展期的，基金净资产不低于</w:t>
      </w:r>
      <w:r>
        <w:rPr>
          <w:spacing w:val="1"/>
        </w:rPr>
        <w:t>1000</w:t>
      </w:r>
      <w:r>
        <w:rPr>
          <w:spacing w:val="1"/>
        </w:rPr>
        <w:t>万元；本基金参与挂钩股票、股票指数等权益类收益互换的，向交易对手方缴纳的保证金比例不低于合约名义本金的</w:t>
      </w:r>
      <w:r>
        <w:rPr>
          <w:spacing w:val="1"/>
        </w:rPr>
        <w:t>50%</w:t>
      </w:r>
      <w:r>
        <w:rPr>
          <w:spacing w:val="1"/>
        </w:rPr>
        <w:t>；</w:t>
      </w:r>
    </w:p>
    <w:p w:rsidR="003C47A0" w:rsidP="00B426B7">
      <w:pPr>
        <w:ind w:firstLine="315" w:firstLineChars="150"/>
      </w:pPr>
      <w:r>
        <w:rPr>
          <w:spacing w:val="1"/>
        </w:rPr>
        <w:t>（</w:t>
      </w:r>
      <w:r>
        <w:rPr>
          <w:spacing w:val="1"/>
        </w:rPr>
        <w:t>3</w:t>
      </w:r>
      <w:r>
        <w:rPr>
          <w:spacing w:val="1"/>
        </w:rPr>
        <w:t>）本基金参与证券公司等机构发行带敲入和敲出结构的场外期权或者收益凭证（如雪球结构场外衍生品）的合约名义本金不得超过基金净资产的</w:t>
      </w:r>
      <w:r>
        <w:rPr>
          <w:spacing w:val="1"/>
        </w:rPr>
        <w:t>25%</w:t>
      </w:r>
      <w:r>
        <w:rPr>
          <w:spacing w:val="1"/>
        </w:rPr>
        <w:t>；</w:t>
      </w:r>
    </w:p>
    <w:p>
      <w:pPr>
        <w:pStyle w:val="a-BR833747"/>
        <w:spacing w:line="360" w:lineRule="auto"/>
        <w:ind w:firstLine="420" w:firstLineChars="200"/>
        <w:rPr>
          <w:rFonts w:ascii="宋体" w:hAnsi="宋体"/>
          <w:b/>
          <w:bCs/>
          <w:szCs w:val="21"/>
        </w:rPr>
      </w:pPr>
      <w:r>
        <w:rPr>
          <w:rFonts w:ascii="宋体" w:hAnsi="宋体" w:hint="eastAsia"/>
          <w:b/>
          <w:bCs/>
          <w:szCs w:val="21"/>
        </w:rPr>
        <w:t>上述投资限制中涉及“股票”的，如条款未明确列示交易场所的，均仅指本合同释义中“证券交易所”上市的股票。</w:t>
      </w:r>
    </w:p>
    <w:p>
      <w:pPr>
        <w:pStyle w:val="a-BR833747"/>
        <w:spacing w:line="360" w:lineRule="auto"/>
        <w:ind w:firstLine="420" w:firstLineChars="200"/>
        <w:rPr>
          <w:rFonts w:ascii="宋体" w:hAnsi="宋体"/>
          <w:b/>
          <w:bCs/>
          <w:szCs w:val="21"/>
        </w:rPr>
      </w:pPr>
      <w:r>
        <w:rPr>
          <w:rFonts w:ascii="宋体" w:hAnsi="宋体" w:hint="eastAsia"/>
          <w:b/>
          <w:bCs/>
          <w:szCs w:val="21"/>
        </w:rPr>
        <w:t>以上投资比例及限制中，如涉及新股新债申购的申报金额与数量、盘中监控、穿透审查或合并计算、交易策略类等监控事项的，由私募基金管理人自行监控，私募基金托管人不承担投资监督职责。</w:t>
      </w:r>
    </w:p>
    <w:p>
      <w:pPr>
        <w:pStyle w:val="a-BR833747"/>
        <w:spacing w:line="360" w:lineRule="auto"/>
        <w:ind w:firstLine="420" w:firstLineChars="200"/>
        <w:rPr>
          <w:rFonts w:ascii="宋体" w:hAnsi="宋体"/>
          <w:szCs w:val="21"/>
        </w:rPr>
      </w:pPr>
      <w:r>
        <w:rPr>
          <w:rFonts w:ascii="宋体" w:hAnsi="宋体" w:hint="eastAsia"/>
          <w:szCs w:val="21"/>
        </w:rPr>
        <w:t>特别地，如本基金启用侧袋机制的，实施侧袋机制期间，以上各项投资运作指标均仅以主袋账户资产为基准，私募基金管理人应当在侧袋机制启用后</w:t>
      </w:r>
      <w:r>
        <w:rPr>
          <w:rFonts w:ascii="宋体" w:hAnsi="宋体"/>
          <w:szCs w:val="21"/>
        </w:rPr>
        <w:t>10</w:t>
      </w:r>
      <w:r>
        <w:rPr>
          <w:rFonts w:ascii="宋体" w:hAnsi="宋体" w:hint="eastAsia"/>
          <w:szCs w:val="21"/>
        </w:rPr>
        <w:t>个交易日（含）内对主袋账户的投资比例进行调整。</w:t>
      </w:r>
    </w:p>
    <w:p>
      <w:pPr>
        <w:pStyle w:val="a-BR833747"/>
        <w:spacing w:line="360" w:lineRule="auto"/>
        <w:ind w:firstLine="420" w:firstLineChars="200"/>
        <w:rPr>
          <w:rFonts w:ascii="宋体" w:hAnsi="宋体"/>
          <w:szCs w:val="21"/>
        </w:rPr>
      </w:pPr>
      <w:r>
        <w:rPr>
          <w:rFonts w:ascii="宋体" w:hAnsi="宋体" w:hint="eastAsia"/>
          <w:szCs w:val="21"/>
        </w:rPr>
        <w:t>私募基金管理人自本基金成立日起</w:t>
      </w:r>
      <w:r>
        <w:rPr>
          <w:rFonts w:ascii="宋体" w:hAnsi="宋体"/>
          <w:szCs w:val="21"/>
        </w:rPr>
        <w:t>3</w:t>
      </w:r>
      <w:r>
        <w:rPr>
          <w:rFonts w:ascii="宋体" w:hAnsi="宋体" w:hint="eastAsia"/>
          <w:szCs w:val="21"/>
        </w:rPr>
        <w:t>个月内使本基金的投资组合比例符合上述投资限制的约定。由于证券、期货市场波动、上市公司合并、基金规模变动、证券摘牌或退市、资产管理产品管理人注销等私募基金管理人之外的原因致使基金投资不符合本基金投资范围或投资限制约定的，属于被动超标情形，私募基金管理人应在该被动超标事项发生之日起的</w:t>
      </w:r>
      <w:r>
        <w:rPr>
          <w:rFonts w:ascii="宋体" w:hAnsi="宋体"/>
          <w:szCs w:val="21"/>
        </w:rPr>
        <w:t>10</w:t>
      </w:r>
      <w:r>
        <w:rPr>
          <w:rFonts w:ascii="宋体" w:hAnsi="宋体" w:hint="eastAsia"/>
          <w:szCs w:val="21"/>
        </w:rPr>
        <w:t>个交易日（含）内调整完毕。如因证券流通受限或其他非私募基金管理人可以控制的原因导致私募基金管理人不能履行调整义务的，则调整期限相应顺延。私募基金管理人应当自恢复交易或可调整之日起的</w:t>
      </w:r>
      <w:r>
        <w:rPr>
          <w:rFonts w:ascii="宋体" w:hAnsi="宋体"/>
          <w:szCs w:val="21"/>
        </w:rPr>
        <w:t>10</w:t>
      </w:r>
      <w:r>
        <w:rPr>
          <w:rFonts w:ascii="宋体" w:hAnsi="宋体" w:hint="eastAsia"/>
          <w:szCs w:val="21"/>
        </w:rPr>
        <w:t>个交易日（含）内调整完毕。法律、行政法规、金融监管部门另有规定的，从其规定。</w:t>
      </w:r>
    </w:p>
    <w:p>
      <w:pPr>
        <w:pStyle w:val="a6-BR833747"/>
        <w:numPr>
          <w:ilvl w:val="0"/>
          <w:numId w:val="5"/>
        </w:numPr>
        <w:spacing w:line="360" w:lineRule="auto"/>
        <w:ind w:left="0" w:firstLine="420"/>
        <w:rPr>
          <w:rFonts w:ascii="宋体" w:hAnsi="宋体"/>
          <w:szCs w:val="21"/>
        </w:rPr>
      </w:pPr>
      <w:r>
        <w:rPr>
          <w:rFonts w:ascii="宋体" w:hAnsi="宋体" w:hint="eastAsia"/>
          <w:szCs w:val="21"/>
        </w:rPr>
        <w:t>关联交易决策以及披露机制</w:t>
      </w:r>
    </w:p>
    <w:p>
      <w:pPr>
        <w:pStyle w:val="a-BR833747"/>
        <w:spacing w:line="360" w:lineRule="auto"/>
        <w:ind w:firstLine="420" w:firstLineChars="200"/>
        <w:rPr>
          <w:rFonts w:ascii="宋体" w:hAnsi="宋体"/>
          <w:szCs w:val="21"/>
        </w:rPr>
      </w:pPr>
      <w:r>
        <w:rPr>
          <w:rFonts w:ascii="宋体" w:hAnsi="宋体" w:hint="eastAsia"/>
          <w:szCs w:val="21"/>
        </w:rPr>
        <w:t>关联交易是指本基金与私募基金管理人、投资者、私募基金管理人管理的其他私募投资基金、同一实际控制人控制下的其他管理人管理的私募投资基金或者与上述主体有其他重大利害关系的关联方发生的交易行为。</w:t>
      </w:r>
    </w:p>
    <w:p>
      <w:pPr>
        <w:pStyle w:val="a-BR833747"/>
        <w:numPr>
          <w:ilvl w:val="0"/>
          <w:numId w:val="7"/>
        </w:numPr>
        <w:spacing w:line="360" w:lineRule="auto"/>
        <w:ind w:firstLine="420" w:firstLineChars="200"/>
        <w:rPr>
          <w:rFonts w:ascii="宋体" w:hAnsi="宋体"/>
          <w:szCs w:val="21"/>
        </w:rPr>
      </w:pPr>
      <w:r>
        <w:rPr>
          <w:rFonts w:ascii="宋体" w:hAnsi="宋体" w:hint="eastAsia"/>
          <w:szCs w:val="21"/>
        </w:rPr>
        <w:t>关联交易的决策机制和回避安排</w:t>
      </w:r>
    </w:p>
    <w:p>
      <w:pPr>
        <w:pStyle w:val="a-BR833747"/>
        <w:numPr>
          <w:ilvl w:val="12"/>
          <w:numId w:val="0"/>
        </w:numPr>
        <w:spacing w:line="360" w:lineRule="auto"/>
        <w:ind w:firstLine="420"/>
        <w:rPr>
          <w:rFonts w:ascii="宋体" w:hAnsi="宋体"/>
          <w:szCs w:val="21"/>
        </w:rPr>
      </w:pPr>
      <w:r>
        <w:rPr>
          <w:rFonts w:ascii="宋体" w:hAnsi="宋体" w:hint="eastAsia"/>
          <w:szCs w:val="21"/>
        </w:rPr>
        <w:t>私募基金管理人在关联交易中应遵循防范利益冲突、投资者利益优先、平等自愿、等价有偿原则，并建立有效的关联交易风险控制机制，对关联交易的合理性、必要性、合法性进行充分评估。私募基金管理人不得隐瞒关联关系或者将关联交易非关联化，不得以基金财产与关联方进行利益输送、内幕交易和操纵市场等违法违规活动。</w:t>
      </w:r>
    </w:p>
    <w:p>
      <w:pPr>
        <w:pStyle w:val="a-BR833747"/>
        <w:numPr>
          <w:ilvl w:val="12"/>
          <w:numId w:val="0"/>
        </w:numPr>
        <w:spacing w:line="360" w:lineRule="auto"/>
        <w:ind w:firstLine="420"/>
        <w:rPr>
          <w:rFonts w:ascii="宋体" w:hAnsi="宋体"/>
          <w:szCs w:val="21"/>
        </w:rPr>
      </w:pPr>
      <w:r>
        <w:rPr>
          <w:rFonts w:ascii="宋体" w:hAnsi="宋体" w:hint="eastAsia"/>
          <w:szCs w:val="21"/>
        </w:rPr>
        <w:t>私募基金管理人拟进行关联交易的，应当由投资决策委员会或负责投资的高层管理人员做出决议后，提交公司风控部门进行审核。审核通过后，私募基金管理人方可执行该等投资决策。在进行投资决策以及风控审核过程中，如相关决策、审核人员兼任交易对手方工作人员的，应当予以回避。</w:t>
      </w:r>
    </w:p>
    <w:p>
      <w:pPr>
        <w:pStyle w:val="a-BR833747"/>
        <w:numPr>
          <w:ilvl w:val="0"/>
          <w:numId w:val="7"/>
        </w:numPr>
        <w:spacing w:line="360" w:lineRule="auto"/>
        <w:ind w:firstLine="420" w:firstLineChars="200"/>
        <w:rPr>
          <w:rFonts w:ascii="宋体" w:hAnsi="宋体"/>
          <w:szCs w:val="21"/>
        </w:rPr>
      </w:pPr>
      <w:r>
        <w:rPr>
          <w:rFonts w:ascii="宋体" w:hAnsi="宋体" w:hint="eastAsia"/>
          <w:szCs w:val="21"/>
        </w:rPr>
        <w:t>关联交易的信息披露</w:t>
      </w:r>
    </w:p>
    <w:p>
      <w:pPr>
        <w:pStyle w:val="a-BR833747"/>
        <w:spacing w:line="360" w:lineRule="auto"/>
        <w:ind w:firstLine="420"/>
        <w:rPr>
          <w:rFonts w:ascii="宋体" w:hAnsi="宋体"/>
          <w:szCs w:val="21"/>
        </w:rPr>
      </w:pPr>
      <w:r>
        <w:rPr>
          <w:rFonts w:ascii="宋体" w:hAnsi="宋体" w:hint="eastAsia"/>
          <w:szCs w:val="21"/>
        </w:rPr>
        <w:t>如本基金将进行可能对投资者利益产生重大影响的关联交易的，私募基金管理人应当在进行关联交易前及时告知全体投资者，并在必要情况下设置临时开放日供不同意该关联交易的投资者赎回。在关联交易期间或交易完成后，私募基金管理人应当向投资者充分披露关联交易的损益情况，以供投资者及时进行决策。</w:t>
      </w:r>
    </w:p>
    <w:p>
      <w:pPr>
        <w:pStyle w:val="a-BR833747"/>
        <w:spacing w:line="360" w:lineRule="auto"/>
        <w:ind w:firstLine="420" w:firstLineChars="200"/>
        <w:rPr>
          <w:rFonts w:ascii="宋体" w:hAnsi="宋体"/>
          <w:b/>
          <w:bCs/>
          <w:szCs w:val="21"/>
        </w:rPr>
      </w:pPr>
      <w:r>
        <w:rPr>
          <w:rFonts w:ascii="宋体" w:hAnsi="宋体" w:hint="eastAsia"/>
          <w:b/>
          <w:bCs/>
          <w:szCs w:val="21"/>
        </w:rPr>
        <w:t>基金投资者签署本合同即表明其已经知晓本基金可进行上述关联交易。基金份额持有人不得因本基金投资收益劣于私募基金管理人及其关联方管理的其他投资产品，而向私募基金管理人或私募基金托管人提出任何损失或损害补偿的要求。上述关联交易决策以及披露机制由私募基金管理人负责执行，私募基金托管人对此不负有监督义务。</w:t>
      </w:r>
    </w:p>
    <w:p>
      <w:pPr>
        <w:pStyle w:val="a6-BR833747"/>
        <w:numPr>
          <w:ilvl w:val="0"/>
          <w:numId w:val="5"/>
        </w:numPr>
        <w:spacing w:line="360" w:lineRule="auto"/>
        <w:ind w:left="0" w:firstLine="422"/>
        <w:rPr>
          <w:rFonts w:ascii="宋体" w:hAnsi="宋体"/>
          <w:b/>
          <w:bCs/>
          <w:szCs w:val="21"/>
        </w:rPr>
      </w:pPr>
      <w:r>
        <w:rPr>
          <w:rFonts w:ascii="宋体" w:hAnsi="宋体" w:hint="eastAsia"/>
          <w:b/>
          <w:bCs/>
          <w:szCs w:val="21"/>
        </w:rPr>
        <w:t>全体基金份额持有人在此授权并同意：本基金投资于投资范围内的非证券交易所或期货交易所发行、上市的投资标的时，私募基金管理人有权代表本基金与相关方签署基金投资相关文件及协议，并以私募基金管理人的名义办理相关权属登记及变更手续。但私募基金管理人应确保向投资相对方说明真实的资金来源为本基金，并将投资本金及收益及时返回至本基金托管资金账户。对于本基金的上述投资事宜，根据相关法律规定，可能出现私募基金管理人代表本基金签订相关协议、开立相关账户及办理相关手续等情况。在持有上述投资标的或产品期间，上述投资标的或产品的交易文件有任何变更的，私募基金管理人应负责确保该变更符合本合同约定。在持有上述投资标的或产品期间，私募基金管理人对上述投资标的或产品不得进行抵押、质押、非交易过户或其他任何有损本基金投资者利益的行为。</w:t>
      </w:r>
    </w:p>
    <w:p>
      <w:pPr>
        <w:pStyle w:val="a-BR833747"/>
        <w:spacing w:line="360" w:lineRule="auto"/>
        <w:ind w:firstLine="420" w:firstLineChars="200"/>
        <w:rPr>
          <w:rFonts w:ascii="宋体" w:hAnsi="宋体"/>
          <w:b/>
          <w:szCs w:val="21"/>
        </w:rPr>
      </w:pPr>
      <w:r>
        <w:rPr>
          <w:rFonts w:ascii="宋体" w:hAnsi="宋体" w:hint="eastAsia"/>
          <w:b/>
          <w:szCs w:val="21"/>
        </w:rPr>
        <w:t>与上述投资相关的从协议或与履约保障有关的协议或决议（以下简称“从协议”，包括但不限于：股东会决议、担保协议、保证协议、抵押协议等协议）的签订及生效属于私募基金管理人的投资管理职责，由私募基金管理人自行控制。</w:t>
      </w:r>
    </w:p>
    <w:p>
      <w:pPr>
        <w:pStyle w:val="a-BR833747"/>
        <w:spacing w:line="360" w:lineRule="auto"/>
        <w:ind w:firstLine="420" w:firstLineChars="200"/>
        <w:rPr>
          <w:rFonts w:ascii="宋体" w:hAnsi="宋体"/>
          <w:b/>
          <w:bCs/>
          <w:szCs w:val="21"/>
        </w:rPr>
      </w:pPr>
      <w:r>
        <w:rPr>
          <w:rFonts w:ascii="宋体" w:hAnsi="宋体" w:hint="eastAsia"/>
          <w:b/>
          <w:szCs w:val="21"/>
        </w:rPr>
        <w:t>私募基金托管人对以上事项不承担复核与监督责任，亦不构成私募基金托管人执行私募基金管理人划款指令的必要前提条件。投资者签署本基金合同即视为已知悉相关风险并同意上述安排。</w:t>
      </w:r>
    </w:p>
    <w:p>
      <w:pPr>
        <w:pStyle w:val="a6-BR833747"/>
        <w:numPr>
          <w:ilvl w:val="0"/>
          <w:numId w:val="5"/>
        </w:numPr>
        <w:spacing w:line="360" w:lineRule="auto"/>
        <w:ind w:left="0" w:firstLine="420"/>
        <w:rPr>
          <w:rFonts w:ascii="宋体" w:hAnsi="宋体"/>
          <w:szCs w:val="21"/>
        </w:rPr>
      </w:pPr>
      <w:r>
        <w:rPr>
          <w:rFonts w:ascii="宋体" w:hAnsi="宋体" w:hint="eastAsia"/>
          <w:szCs w:val="21"/>
        </w:rPr>
        <w:t>预警止损机制</w:t>
      </w:r>
    </w:p>
    <w:p>
      <w:pPr>
        <w:pStyle w:val="a6-BR833747"/>
        <w:spacing w:line="360" w:lineRule="auto"/>
        <w:ind w:left="422" w:firstLine="0" w:firstLineChars="0"/>
        <w:rPr>
          <w:rFonts w:ascii="宋体" w:hAnsi="宋体"/>
          <w:szCs w:val="21"/>
        </w:rPr>
      </w:pPr>
      <w:r>
        <w:rPr>
          <w:rFonts w:ascii="宋体" w:hAnsi="宋体" w:hint="eastAsia"/>
          <w:szCs w:val="21"/>
        </w:rPr>
        <w:t>本基金不设置预警线、止损线。</w:t>
      </w:r>
    </w:p>
    <w:p>
      <w:pPr>
        <w:pStyle w:val="a6-BR833747"/>
        <w:numPr>
          <w:ilvl w:val="0"/>
          <w:numId w:val="5"/>
        </w:numPr>
        <w:spacing w:line="360" w:lineRule="auto"/>
        <w:ind w:left="0" w:firstLine="422"/>
        <w:rPr>
          <w:rFonts w:ascii="宋体" w:hAnsi="宋体"/>
          <w:szCs w:val="21"/>
        </w:rPr>
      </w:pPr>
      <w:r>
        <w:rPr>
          <w:rFonts w:ascii="宋体" w:hAnsi="宋体" w:hint="eastAsia"/>
          <w:b/>
          <w:bCs/>
          <w:szCs w:val="21"/>
        </w:rPr>
        <w:t>私募基金管理人自有风控措施</w:t>
      </w:r>
    </w:p>
    <w:p>
      <w:pPr>
        <w:pStyle w:val="a-BR833747"/>
        <w:spacing w:line="360" w:lineRule="auto"/>
        <w:ind w:firstLine="420" w:firstLineChars="200"/>
        <w:rPr>
          <w:rFonts w:ascii="宋体" w:hAnsi="宋体"/>
          <w:szCs w:val="21"/>
        </w:rPr>
      </w:pPr>
      <w:r>
        <w:rPr>
          <w:rFonts w:ascii="宋体" w:hAnsi="宋体" w:hint="eastAsia"/>
          <w:b/>
          <w:bCs/>
          <w:szCs w:val="21"/>
        </w:rPr>
        <w:t>以下相关约定为私募基金管理人为更好地控制风险所制定，由私募基金管理人负责遵守并实施，私募基金托管人对此不负有监督义务</w:t>
      </w:r>
      <w:r>
        <w:rPr>
          <w:rFonts w:ascii="宋体" w:hAnsi="宋体" w:hint="eastAsia"/>
          <w:szCs w:val="21"/>
        </w:rPr>
        <w:t>：</w:t>
      </w:r>
    </w:p>
    <w:p>
      <w:pPr>
        <w:pStyle w:val="3-BR833747"/>
        <w:numPr>
          <w:ilvl w:val="12"/>
          <w:numId w:val="0"/>
        </w:numPr>
        <w:spacing w:line="360" w:lineRule="auto"/>
        <w:ind w:left="420"/>
        <w:rPr>
          <w:rFonts w:ascii="宋体" w:hAnsi="宋体"/>
          <w:szCs w:val="21"/>
        </w:rPr>
      </w:pPr>
      <w:r>
        <w:rPr>
          <w:rFonts w:hint="eastAsia"/>
        </w:rPr>
        <w:t>私募基金管理人的投资风控策略</w:t>
      </w:r>
    </w:p>
    <w:p>
      <w:pPr>
        <w:pStyle w:val="a6-BR833747"/>
        <w:numPr>
          <w:ilvl w:val="0"/>
          <w:numId w:val="8"/>
        </w:numPr>
        <w:spacing w:line="360" w:lineRule="auto"/>
        <w:ind w:left="0" w:firstLine="420"/>
        <w:rPr>
          <w:rFonts w:ascii="宋体" w:hAnsi="宋体"/>
          <w:szCs w:val="21"/>
        </w:rPr>
      </w:pPr>
      <w:r>
        <w:rPr>
          <w:rFonts w:ascii="宋体" w:hAnsi="宋体"/>
          <w:szCs w:val="21"/>
        </w:rPr>
        <w:t>本基金持有的</w:t>
      </w:r>
      <w:r>
        <w:rPr>
          <w:rFonts w:ascii="宋体" w:hAnsi="宋体" w:hint="eastAsia"/>
          <w:szCs w:val="21"/>
        </w:rPr>
        <w:t>证券期货市场场外</w:t>
      </w:r>
      <w:r>
        <w:rPr>
          <w:rFonts w:ascii="宋体" w:hAnsi="宋体"/>
          <w:szCs w:val="21"/>
        </w:rPr>
        <w:t>期权</w:t>
      </w:r>
      <w:r>
        <w:rPr>
          <w:rFonts w:ascii="宋体" w:hAnsi="宋体" w:hint="eastAsia"/>
          <w:szCs w:val="21"/>
        </w:rPr>
        <w:t>，</w:t>
      </w:r>
      <w:r>
        <w:rPr>
          <w:rFonts w:ascii="宋体" w:hAnsi="宋体"/>
          <w:szCs w:val="21"/>
        </w:rPr>
        <w:t>依支付的权利金与</w:t>
      </w:r>
      <w:r>
        <w:rPr>
          <w:rFonts w:ascii="宋体" w:hAnsi="宋体" w:hint="eastAsia"/>
          <w:szCs w:val="21"/>
        </w:rPr>
        <w:t>初始</w:t>
      </w:r>
      <w:r>
        <w:rPr>
          <w:rFonts w:ascii="宋体" w:hAnsi="宋体"/>
          <w:szCs w:val="21"/>
        </w:rPr>
        <w:t>保证金总额计</w:t>
      </w:r>
      <w:r>
        <w:rPr>
          <w:rFonts w:ascii="宋体" w:hAnsi="宋体" w:hint="eastAsia"/>
          <w:szCs w:val="21"/>
        </w:rPr>
        <w:t>，合计</w:t>
      </w:r>
      <w:r>
        <w:rPr>
          <w:rFonts w:ascii="宋体" w:hAnsi="宋体"/>
          <w:szCs w:val="21"/>
        </w:rPr>
        <w:t>不得超过基金</w:t>
      </w:r>
      <w:r>
        <w:rPr>
          <w:rFonts w:ascii="宋体" w:hAnsi="宋体"/>
          <w:bCs/>
          <w:szCs w:val="21"/>
        </w:rPr>
        <w:t>资产净值的30%</w:t>
      </w:r>
      <w:r>
        <w:rPr>
          <w:rFonts w:ascii="宋体" w:hAnsi="宋体" w:hint="eastAsia"/>
          <w:bCs/>
          <w:szCs w:val="21"/>
        </w:rPr>
        <w:t>；</w:t>
      </w:r>
    </w:p>
    <w:p>
      <w:pPr>
        <w:pStyle w:val="a-BR833747"/>
        <w:spacing w:line="360" w:lineRule="auto"/>
        <w:ind w:firstLine="420" w:firstLineChars="200"/>
        <w:rPr>
          <w:rFonts w:ascii="宋体" w:hAnsi="宋体"/>
          <w:b/>
          <w:szCs w:val="21"/>
        </w:rPr>
      </w:pPr>
      <w:r>
        <w:rPr>
          <w:rFonts w:ascii="宋体" w:hAnsi="宋体" w:hint="eastAsia"/>
          <w:b/>
          <w:szCs w:val="21"/>
        </w:rPr>
        <w:t>以上私募基金管理人的投资风控策略条款均由私募基金管理人自行监控，私募基金托管人不负有监督义务。</w:t>
      </w:r>
    </w:p>
    <w:p>
      <w:pPr>
        <w:pStyle w:val="a-BR833747"/>
        <w:spacing w:line="360" w:lineRule="auto"/>
        <w:ind w:firstLine="420" w:firstLineChars="200"/>
        <w:rPr>
          <w:rFonts w:ascii="宋体" w:hAnsi="宋体"/>
          <w:szCs w:val="21"/>
        </w:rPr>
      </w:pPr>
      <w:r>
        <w:rPr>
          <w:rFonts w:ascii="宋体" w:hAnsi="宋体" w:hint="eastAsia"/>
          <w:szCs w:val="21"/>
        </w:rPr>
        <w:t>特别地，如本基金启用侧袋机制的，实施侧袋机制期间，以上各项私募基金管理人的投资风控策略均仅以主袋账户资产为基准，私募基金管理人应当在侧袋机制启用后10个交易日（含）内对主袋账户的投资比例进行调整。</w:t>
      </w:r>
    </w:p>
    <w:p>
      <w:pPr>
        <w:pStyle w:val="a6-BR833747"/>
        <w:numPr>
          <w:ilvl w:val="0"/>
          <w:numId w:val="5"/>
        </w:numPr>
        <w:spacing w:line="360" w:lineRule="auto"/>
        <w:ind w:left="0" w:firstLine="420"/>
        <w:rPr>
          <w:rFonts w:ascii="宋体" w:hAnsi="宋体"/>
          <w:szCs w:val="21"/>
        </w:rPr>
      </w:pPr>
      <w:r>
        <w:rPr>
          <w:rFonts w:ascii="宋体" w:hAnsi="宋体" w:hint="eastAsia"/>
          <w:szCs w:val="21"/>
        </w:rPr>
        <w:t>基金备案前的现金管理</w:t>
      </w:r>
    </w:p>
    <w:p>
      <w:pPr>
        <w:pStyle w:val="a-BR833747"/>
        <w:spacing w:line="360" w:lineRule="auto"/>
        <w:ind w:firstLine="420" w:firstLineChars="200"/>
        <w:rPr>
          <w:rFonts w:ascii="宋体" w:hAnsi="宋体"/>
          <w:szCs w:val="21"/>
        </w:rPr>
      </w:pPr>
      <w:r>
        <w:rPr>
          <w:rFonts w:ascii="宋体" w:hAnsi="宋体" w:hint="eastAsia"/>
          <w:szCs w:val="21"/>
        </w:rPr>
        <w:t>本基金于中国证券投资基金业协会完成备案前私募基金管理人不得开展投资活动，但为避免资金闲置，私募基金管理人以现金管理为目的将基金资产投资于银行活期存款、国债、中央银行票据、货币市场基金的除外。</w:t>
      </w:r>
    </w:p>
    <w:p>
      <w:pPr>
        <w:pStyle w:val="a6-BR833747"/>
        <w:numPr>
          <w:ilvl w:val="0"/>
          <w:numId w:val="5"/>
        </w:numPr>
        <w:spacing w:line="360" w:lineRule="auto"/>
        <w:ind w:left="0" w:firstLine="422"/>
        <w:rPr>
          <w:rFonts w:ascii="宋体" w:hAnsi="宋体"/>
          <w:szCs w:val="21"/>
        </w:rPr>
      </w:pPr>
      <w:r>
        <w:rPr>
          <w:rFonts w:ascii="宋体" w:hAnsi="宋体" w:hint="eastAsia"/>
          <w:b/>
          <w:bCs/>
          <w:szCs w:val="21"/>
        </w:rPr>
        <w:t>关于穿透原则的特殊约定</w:t>
      </w:r>
    </w:p>
    <w:p>
      <w:pPr>
        <w:pStyle w:val="a-BR833747"/>
        <w:spacing w:line="360" w:lineRule="auto"/>
        <w:ind w:firstLine="420" w:firstLineChars="200"/>
        <w:rPr>
          <w:rFonts w:ascii="宋体" w:hAnsi="宋体"/>
          <w:b/>
          <w:bCs/>
          <w:szCs w:val="21"/>
        </w:rPr>
      </w:pPr>
      <w:r>
        <w:rPr>
          <w:rFonts w:ascii="宋体" w:hAnsi="宋体" w:hint="eastAsia"/>
          <w:b/>
          <w:bCs/>
          <w:szCs w:val="21"/>
        </w:rPr>
        <w:t>除非本合同有明示说明的，本合同相关投资范围、投资限制及其他投资风控指标均为仅对本基金本身及直接投资标的进行的约定，不适用于穿透情形（包括但不限于穿透至下层私募投资基金或资产管理产品（如有）及对应底层资产）下的要求。</w:t>
      </w:r>
      <w:r>
        <w:rPr>
          <w:rFonts w:hint="eastAsia"/>
          <w:b/>
          <w:bCs/>
          <w:szCs w:val="21"/>
        </w:rPr>
        <w:t>私募基金托管人仅以</w:t>
      </w:r>
      <w:r>
        <w:rPr>
          <w:rFonts w:ascii="宋体" w:hAnsi="宋体" w:hint="eastAsia"/>
          <w:b/>
          <w:bCs/>
          <w:szCs w:val="21"/>
        </w:rPr>
        <w:t>《投资监督事项表》</w:t>
      </w:r>
      <w:r>
        <w:rPr>
          <w:rFonts w:hint="eastAsia"/>
          <w:b/>
          <w:bCs/>
          <w:szCs w:val="21"/>
        </w:rPr>
        <w:t>为限对本基金的直接投资履行投资监督职责，不对本基金资产的最终投向、资产比例</w:t>
      </w:r>
      <w:r>
        <w:rPr>
          <w:rFonts w:ascii="宋体" w:hAnsi="宋体" w:hint="eastAsia"/>
          <w:b/>
          <w:bCs/>
          <w:szCs w:val="21"/>
        </w:rPr>
        <w:t>及其他投资风控指标</w:t>
      </w:r>
      <w:r>
        <w:rPr>
          <w:rFonts w:hint="eastAsia"/>
          <w:b/>
          <w:bCs/>
          <w:szCs w:val="21"/>
        </w:rPr>
        <w:t>是否符合</w:t>
      </w:r>
      <w:r>
        <w:rPr>
          <w:rFonts w:ascii="宋体" w:hAnsi="宋体" w:hint="eastAsia"/>
          <w:b/>
          <w:bCs/>
          <w:szCs w:val="21"/>
        </w:rPr>
        <w:t>《投资监督事项表》的约定进行穿透核查。</w:t>
      </w:r>
    </w:p>
    <w:p>
      <w:pPr>
        <w:pStyle w:val="a-BR833747"/>
        <w:spacing w:line="360" w:lineRule="auto"/>
        <w:ind w:firstLine="420" w:firstLineChars="200"/>
        <w:rPr>
          <w:rFonts w:ascii="宋体" w:hAnsi="宋体"/>
          <w:b/>
          <w:bCs/>
          <w:szCs w:val="21"/>
        </w:rPr>
      </w:pPr>
      <w:r>
        <w:rPr>
          <w:rFonts w:ascii="宋体" w:hAnsi="宋体" w:hint="eastAsia"/>
          <w:b/>
          <w:bCs/>
          <w:szCs w:val="21"/>
        </w:rPr>
        <w:t>本合同对拟投资标的进行穿透约定的（例如投资某基金，对该基金的投向或如何运作进行约定），以该投资标的的交易</w:t>
      </w:r>
      <w:r>
        <w:rPr>
          <w:rFonts w:ascii="宋体" w:hAnsi="宋体"/>
          <w:b/>
          <w:bCs/>
          <w:szCs w:val="21"/>
        </w:rPr>
        <w:t>/法定文件的具体约定为准</w:t>
      </w:r>
      <w:r>
        <w:rPr>
          <w:rFonts w:ascii="宋体" w:hAnsi="宋体" w:hint="eastAsia"/>
          <w:b/>
          <w:bCs/>
        </w:rPr>
        <w:t>，但私募基金管理人仍应确保本基金合同中穿透约定内容的真实性和准确性</w:t>
      </w:r>
      <w:r>
        <w:rPr>
          <w:rFonts w:ascii="宋体" w:hAnsi="宋体"/>
          <w:b/>
          <w:bCs/>
          <w:szCs w:val="21"/>
        </w:rPr>
        <w:t>。</w:t>
      </w:r>
      <w:r>
        <w:rPr>
          <w:rFonts w:ascii="宋体" w:hAnsi="宋体" w:hint="eastAsia"/>
          <w:b/>
          <w:bCs/>
          <w:szCs w:val="21"/>
        </w:rPr>
        <w:t>私募基金管理人负责审查本合同穿透约定与该投资标的的交易</w:t>
      </w:r>
      <w:r>
        <w:rPr>
          <w:rFonts w:ascii="宋体" w:hAnsi="宋体"/>
          <w:b/>
          <w:bCs/>
          <w:szCs w:val="21"/>
        </w:rPr>
        <w:t>/法定文件的具体约定是否一致，如不一致但仍向私募</w:t>
      </w:r>
      <w:r>
        <w:rPr>
          <w:rFonts w:hint="eastAsia"/>
          <w:b/>
          <w:bCs/>
        </w:rPr>
        <w:t>基金</w:t>
      </w:r>
      <w:r>
        <w:rPr>
          <w:rFonts w:ascii="宋体" w:hAnsi="宋体"/>
          <w:b/>
          <w:bCs/>
          <w:szCs w:val="21"/>
        </w:rPr>
        <w:t>托管人发出投资划款指令的，</w:t>
      </w:r>
      <w:r>
        <w:rPr>
          <w:rFonts w:ascii="宋体" w:hAnsi="宋体" w:hint="eastAsia"/>
          <w:b/>
          <w:bCs/>
          <w:szCs w:val="21"/>
        </w:rPr>
        <w:t>私募基金管理人保证该不一致不损害基金份额持有人的利益。私募基金托管人仅根据投资划款指令进行划款，不负有审核上述事项的义务，不承担由此导致的损失。</w:t>
      </w:r>
    </w:p>
    <w:p>
      <w:pPr>
        <w:pStyle w:val="a6-BR833747"/>
        <w:numPr>
          <w:ilvl w:val="0"/>
          <w:numId w:val="5"/>
        </w:numPr>
        <w:spacing w:line="360" w:lineRule="auto"/>
        <w:ind w:left="0" w:firstLine="420"/>
        <w:rPr>
          <w:rFonts w:ascii="宋体" w:hAnsi="宋体"/>
          <w:szCs w:val="21"/>
        </w:rPr>
      </w:pPr>
      <w:r>
        <w:rPr>
          <w:rFonts w:ascii="宋体" w:hAnsi="宋体" w:hint="eastAsia"/>
          <w:szCs w:val="21"/>
        </w:rPr>
        <w:t>参与融资融券及其他场外证券业务的情况（如有）</w:t>
      </w:r>
    </w:p>
    <w:p>
      <w:pPr>
        <w:pStyle w:val="a-BR833747"/>
        <w:spacing w:line="360" w:lineRule="auto"/>
        <w:ind w:firstLine="420" w:firstLineChars="200"/>
        <w:rPr>
          <w:rFonts w:ascii="宋体" w:hAnsi="宋体" w:cs="宋体"/>
          <w:kern w:val="0"/>
          <w:szCs w:val="21"/>
        </w:rPr>
      </w:pPr>
      <w:r>
        <w:rPr>
          <w:rFonts w:ascii="宋体" w:hAnsi="宋体" w:cs="宋体" w:hint="eastAsia"/>
          <w:kern w:val="0"/>
          <w:szCs w:val="21"/>
        </w:rPr>
        <w:t>根据本基金投资范围，本基金可参与融资融券业务，在放大投资收益的同时也放大了投资风险，同时还须支付相应的利息和费用，由此承担的风险可能远远超过普通证券交易。</w:t>
      </w:r>
    </w:p>
    <w:p>
      <w:pPr>
        <w:pStyle w:val="a-BR833747"/>
        <w:spacing w:line="360" w:lineRule="auto"/>
        <w:ind w:firstLine="420" w:firstLineChars="200"/>
        <w:rPr>
          <w:rFonts w:ascii="宋体" w:hAnsi="宋体" w:cs="宋体"/>
          <w:kern w:val="0"/>
          <w:szCs w:val="21"/>
        </w:rPr>
      </w:pPr>
      <w:r>
        <w:rPr>
          <w:rFonts w:ascii="宋体" w:hAnsi="宋体" w:cs="宋体" w:hint="eastAsia"/>
          <w:kern w:val="0"/>
          <w:szCs w:val="21"/>
        </w:rPr>
        <w:t>本基金</w:t>
      </w:r>
      <w:r>
        <w:rPr>
          <w:rFonts w:ascii="宋体" w:hAnsi="宋体" w:cs="宋体"/>
          <w:kern w:val="0"/>
          <w:szCs w:val="21"/>
        </w:rPr>
        <w:t>可参与“</w:t>
      </w:r>
      <w:r>
        <w:rPr>
          <w:rFonts w:ascii="宋体" w:hAnsi="宋体" w:cs="宋体" w:hint="eastAsia"/>
          <w:kern w:val="0"/>
          <w:szCs w:val="21"/>
        </w:rPr>
        <w:t>私募</w:t>
      </w:r>
      <w:r>
        <w:rPr>
          <w:rFonts w:ascii="宋体" w:hAnsi="宋体" w:cs="宋体"/>
          <w:kern w:val="0"/>
          <w:szCs w:val="21"/>
        </w:rPr>
        <w:t>基金的投资”</w:t>
      </w:r>
      <w:r>
        <w:rPr>
          <w:rFonts w:ascii="宋体" w:hAnsi="宋体" w:cs="宋体" w:hint="eastAsia"/>
          <w:kern w:val="0"/>
          <w:szCs w:val="21"/>
        </w:rPr>
        <w:t>章节之</w:t>
      </w:r>
      <w:r>
        <w:rPr>
          <w:rFonts w:ascii="宋体" w:hAnsi="宋体" w:cs="宋体"/>
          <w:kern w:val="0"/>
          <w:szCs w:val="21"/>
        </w:rPr>
        <w:t>“</w:t>
      </w:r>
      <w:r>
        <w:rPr>
          <w:rFonts w:ascii="宋体" w:hAnsi="宋体" w:cs="宋体" w:hint="eastAsia"/>
          <w:kern w:val="0"/>
          <w:szCs w:val="21"/>
        </w:rPr>
        <w:t>投资</w:t>
      </w:r>
      <w:r>
        <w:rPr>
          <w:rFonts w:ascii="宋体" w:hAnsi="宋体" w:cs="宋体"/>
          <w:kern w:val="0"/>
          <w:szCs w:val="21"/>
        </w:rPr>
        <w:t>范围”</w:t>
      </w:r>
      <w:r>
        <w:rPr>
          <w:rFonts w:ascii="宋体" w:hAnsi="宋体" w:cs="宋体" w:hint="eastAsia"/>
          <w:kern w:val="0"/>
          <w:szCs w:val="21"/>
        </w:rPr>
        <w:t>中</w:t>
      </w:r>
      <w:r>
        <w:rPr>
          <w:rFonts w:ascii="宋体" w:hAnsi="宋体" w:cs="宋体"/>
          <w:kern w:val="0"/>
          <w:szCs w:val="21"/>
        </w:rPr>
        <w:t>约定的</w:t>
      </w:r>
      <w:r>
        <w:rPr>
          <w:rFonts w:ascii="宋体" w:hAnsi="宋体" w:cs="宋体" w:hint="eastAsia"/>
          <w:kern w:val="0"/>
          <w:szCs w:val="21"/>
        </w:rPr>
        <w:t>场外</w:t>
      </w:r>
      <w:r>
        <w:rPr>
          <w:rFonts w:ascii="宋体" w:hAnsi="宋体" w:cs="宋体"/>
          <w:kern w:val="0"/>
          <w:szCs w:val="21"/>
        </w:rPr>
        <w:t>证券</w:t>
      </w:r>
      <w:r>
        <w:rPr>
          <w:rFonts w:ascii="宋体" w:hAnsi="宋体" w:cs="宋体" w:hint="eastAsia"/>
          <w:kern w:val="0"/>
          <w:szCs w:val="21"/>
        </w:rPr>
        <w:t>业务，</w:t>
      </w:r>
      <w:r>
        <w:rPr>
          <w:rFonts w:ascii="宋体" w:hAnsi="宋体" w:cs="宋体"/>
          <w:kern w:val="0"/>
          <w:szCs w:val="21"/>
        </w:rPr>
        <w:t>投资收益</w:t>
      </w:r>
      <w:r>
        <w:rPr>
          <w:rFonts w:ascii="宋体" w:hAnsi="宋体" w:cs="宋体" w:hint="eastAsia"/>
          <w:kern w:val="0"/>
          <w:szCs w:val="21"/>
        </w:rPr>
        <w:t>受</w:t>
      </w:r>
      <w:r>
        <w:rPr>
          <w:rFonts w:ascii="宋体" w:hAnsi="宋体" w:cs="宋体"/>
          <w:kern w:val="0"/>
          <w:szCs w:val="21"/>
        </w:rPr>
        <w:t>挂钩</w:t>
      </w:r>
      <w:r>
        <w:rPr>
          <w:rFonts w:ascii="宋体" w:hAnsi="宋体" w:cs="宋体" w:hint="eastAsia"/>
          <w:kern w:val="0"/>
          <w:szCs w:val="21"/>
        </w:rPr>
        <w:t>标的</w:t>
      </w:r>
      <w:r>
        <w:rPr>
          <w:rFonts w:ascii="宋体" w:hAnsi="宋体" w:cs="宋体"/>
          <w:kern w:val="0"/>
          <w:szCs w:val="21"/>
        </w:rPr>
        <w:t>的市场价格</w:t>
      </w:r>
      <w:r>
        <w:rPr>
          <w:rFonts w:ascii="宋体" w:hAnsi="宋体" w:cs="宋体" w:hint="eastAsia"/>
          <w:kern w:val="0"/>
          <w:szCs w:val="21"/>
        </w:rPr>
        <w:t>、</w:t>
      </w:r>
      <w:r>
        <w:rPr>
          <w:rFonts w:ascii="宋体" w:hAnsi="宋体" w:cs="宋体"/>
          <w:kern w:val="0"/>
          <w:szCs w:val="21"/>
        </w:rPr>
        <w:t>市场利率</w:t>
      </w:r>
      <w:r>
        <w:rPr>
          <w:rFonts w:ascii="宋体" w:hAnsi="宋体" w:cs="宋体" w:hint="eastAsia"/>
          <w:kern w:val="0"/>
          <w:szCs w:val="21"/>
        </w:rPr>
        <w:t>、</w:t>
      </w:r>
      <w:r>
        <w:rPr>
          <w:rFonts w:ascii="宋体" w:hAnsi="宋体" w:cs="宋体"/>
          <w:kern w:val="0"/>
          <w:szCs w:val="21"/>
        </w:rPr>
        <w:t>波动率或相关性</w:t>
      </w:r>
      <w:r>
        <w:rPr>
          <w:rFonts w:ascii="宋体" w:hAnsi="宋体" w:cs="宋体" w:hint="eastAsia"/>
          <w:kern w:val="0"/>
          <w:szCs w:val="21"/>
        </w:rPr>
        <w:t>等因素</w:t>
      </w:r>
      <w:r>
        <w:rPr>
          <w:rFonts w:ascii="宋体" w:hAnsi="宋体" w:cs="宋体"/>
          <w:kern w:val="0"/>
          <w:szCs w:val="21"/>
        </w:rPr>
        <w:t>的影响，导致本基金</w:t>
      </w:r>
      <w:r>
        <w:rPr>
          <w:rFonts w:ascii="宋体" w:hAnsi="宋体" w:cs="宋体" w:hint="eastAsia"/>
          <w:kern w:val="0"/>
          <w:szCs w:val="21"/>
        </w:rPr>
        <w:t>收益</w:t>
      </w:r>
      <w:r>
        <w:rPr>
          <w:rFonts w:ascii="宋体" w:hAnsi="宋体" w:cs="宋体"/>
          <w:kern w:val="0"/>
          <w:szCs w:val="21"/>
        </w:rPr>
        <w:t>产生不确定性的风险</w:t>
      </w:r>
      <w:r>
        <w:rPr>
          <w:rFonts w:ascii="宋体" w:hAnsi="宋体" w:cs="宋体" w:hint="eastAsia"/>
          <w:kern w:val="0"/>
          <w:szCs w:val="21"/>
        </w:rPr>
        <w:t>。</w:t>
      </w:r>
    </w:p>
    <w:p>
      <w:pPr>
        <w:pStyle w:val="a6-BR833747"/>
        <w:numPr>
          <w:ilvl w:val="0"/>
          <w:numId w:val="5"/>
        </w:numPr>
        <w:spacing w:line="360" w:lineRule="auto"/>
        <w:ind w:left="0" w:firstLine="420"/>
        <w:rPr>
          <w:rFonts w:ascii="宋体" w:hAnsi="宋体"/>
          <w:szCs w:val="21"/>
        </w:rPr>
      </w:pPr>
      <w:r>
        <w:rPr>
          <w:rFonts w:ascii="宋体" w:hAnsi="宋体" w:hint="eastAsia"/>
          <w:szCs w:val="21"/>
        </w:rPr>
        <w:t>投资经理</w:t>
      </w:r>
    </w:p>
    <w:p>
      <w:pPr>
        <w:pStyle w:val="a-BR833747"/>
        <w:spacing w:line="360" w:lineRule="auto"/>
        <w:ind w:firstLine="420" w:firstLineChars="200"/>
        <w:rPr>
          <w:rFonts w:ascii="宋体" w:hAnsi="宋体"/>
          <w:szCs w:val="21"/>
        </w:rPr>
      </w:pPr>
      <w:r>
        <w:rPr>
          <w:rFonts w:ascii="宋体" w:hAnsi="宋体" w:hint="eastAsia"/>
          <w:szCs w:val="21"/>
        </w:rPr>
        <w:t>1、投资经理简介</w:t>
      </w:r>
    </w:p>
    <w:p>
      <w:pPr>
        <w:pStyle w:val="a-BR833747"/>
        <w:spacing w:line="360" w:lineRule="auto"/>
        <w:ind w:firstLine="420" w:firstLineChars="200"/>
        <w:rPr>
          <w:rFonts w:ascii="宋体" w:hAnsi="宋体"/>
          <w:szCs w:val="21"/>
        </w:rPr>
      </w:pPr>
      <w:r>
        <w:t>刘旭晖先生，</w:t>
      </w:r>
      <w:r>
        <w:rPr>
          <w:rFonts w:hint="eastAsia"/>
          <w:lang w:eastAsia="zh-CN"/>
        </w:rPr>
        <w:t>海南正仁量化私募基金</w:t>
      </w:r>
      <w:r>
        <w:rPr>
          <w:rFonts w:hint="eastAsia"/>
          <w:lang w:val="en-US" w:eastAsia="zh-CN"/>
        </w:rPr>
        <w:t>管理有限公司</w:t>
      </w:r>
      <w:r>
        <w:t>执行董事，获基金从业资格。2010年获得全国物理奥林匹克竞赛一等奖保送至浙江大学竺可桢学院，2014年或者工学学士学位，后于浙江大学数字仪器研究所攻读博士，大数据方向。2016年开始从事股票量化研究，擅长量化选股及交易。</w:t>
      </w:r>
    </w:p>
    <w:p>
      <w:pPr>
        <w:pStyle w:val="a-BR833747"/>
        <w:spacing w:line="360" w:lineRule="auto"/>
        <w:ind w:firstLine="420" w:firstLineChars="200"/>
        <w:rPr>
          <w:rFonts w:ascii="宋体" w:hAnsi="宋体"/>
          <w:szCs w:val="21"/>
        </w:rPr>
      </w:pPr>
      <w:r>
        <w:rPr>
          <w:rFonts w:ascii="宋体" w:hAnsi="宋体" w:hint="eastAsia"/>
          <w:szCs w:val="21"/>
        </w:rPr>
        <w:t>以上投资经理已取得基金从业资格并在基金业协会完成注册。</w:t>
      </w:r>
    </w:p>
    <w:p>
      <w:pPr>
        <w:pStyle w:val="a-BR833747"/>
        <w:spacing w:line="360" w:lineRule="auto"/>
        <w:ind w:firstLine="420" w:firstLineChars="200"/>
        <w:rPr>
          <w:rFonts w:ascii="宋体" w:hAnsi="宋体"/>
          <w:szCs w:val="21"/>
        </w:rPr>
      </w:pPr>
      <w:r>
        <w:rPr>
          <w:rFonts w:ascii="宋体" w:hAnsi="宋体" w:hint="eastAsia"/>
          <w:szCs w:val="21"/>
        </w:rPr>
        <w:t>2、投资经理变更</w:t>
      </w:r>
    </w:p>
    <w:p>
      <w:pPr>
        <w:pStyle w:val="a-BR833747"/>
        <w:spacing w:line="360" w:lineRule="auto"/>
        <w:ind w:firstLine="420" w:firstLineChars="200"/>
        <w:rPr>
          <w:rFonts w:ascii="宋体" w:hAnsi="宋体"/>
          <w:szCs w:val="21"/>
        </w:rPr>
      </w:pPr>
      <w:r>
        <w:rPr>
          <w:rFonts w:ascii="宋体" w:hAnsi="宋体" w:hint="eastAsia"/>
          <w:szCs w:val="21"/>
        </w:rPr>
        <w:t>私募基金管理人可根据业务需要变更投资经理，并在变更后及时告知基金份额持有人和私募基金托管人。私募基金管理人自变更之日起3个工作日通过信函、传真、电子邮件、手机短信、网站公告等本合同规定的方式之一通知私募基金份额持有人，即视为履行了告知义务。</w:t>
      </w:r>
    </w:p>
    <w:p>
      <w:pPr>
        <w:pStyle w:val="a7-BR503101"/>
        <w:rPr>
          <w:sz w:val="21"/>
          <w:szCs w:val="21"/>
        </w:rPr>
      </w:pPr>
      <w:bookmarkStart w:id="28" w:name="_Toc256000012"/>
      <w:r>
        <w:rPr>
          <w:rFonts w:hint="eastAsia"/>
          <w:sz w:val="21"/>
          <w:szCs w:val="21"/>
        </w:rPr>
        <w:t>十二、私募基金的财产</w:t>
      </w:r>
      <w:bookmarkEnd w:id="28"/>
    </w:p>
    <w:p>
      <w:pPr>
        <w:pStyle w:val="a-BR503101"/>
        <w:spacing w:line="360" w:lineRule="auto"/>
        <w:ind w:firstLine="420" w:firstLineChars="200"/>
        <w:rPr>
          <w:rFonts w:ascii="宋体" w:hAnsi="宋体"/>
          <w:szCs w:val="21"/>
        </w:rPr>
      </w:pPr>
      <w:r>
        <w:rPr>
          <w:rFonts w:ascii="宋体" w:hAnsi="宋体" w:hint="eastAsia"/>
          <w:szCs w:val="21"/>
        </w:rPr>
        <w:t>（一）私募基金财产的保管与处分</w:t>
      </w:r>
    </w:p>
    <w:p>
      <w:pPr>
        <w:pStyle w:val="a-BR503101"/>
        <w:spacing w:line="360" w:lineRule="auto"/>
        <w:ind w:firstLine="420" w:firstLineChars="200"/>
        <w:rPr>
          <w:b/>
          <w:bCs/>
          <w:szCs w:val="21"/>
        </w:rPr>
      </w:pPr>
      <w:r>
        <w:rPr>
          <w:rFonts w:ascii="宋体" w:hAnsi="宋体"/>
          <w:szCs w:val="21"/>
        </w:rPr>
        <w:t>1</w:t>
      </w:r>
      <w:r>
        <w:rPr>
          <w:rFonts w:ascii="宋体" w:hAnsi="宋体" w:hint="eastAsia"/>
          <w:szCs w:val="21"/>
        </w:rPr>
        <w:t>、私募基金财产独立于私募基金管理人、私募基金托管人的固有财产。私募基金管理人、私募基金托管人不得将基金财产归入其固有财产。</w:t>
      </w:r>
      <w:r>
        <w:rPr>
          <w:rFonts w:hint="eastAsia"/>
          <w:b/>
          <w:bCs/>
          <w:szCs w:val="21"/>
        </w:rPr>
        <w:t>私募基金托管人仅对实际交付并控制下的基金财产承担保管职责，对于非私募基金托管人保管的财产不承担责任。</w:t>
      </w:r>
    </w:p>
    <w:p>
      <w:pPr>
        <w:pStyle w:val="a-BR503101"/>
        <w:spacing w:line="360" w:lineRule="auto"/>
        <w:ind w:firstLine="420" w:firstLineChars="200"/>
        <w:rPr>
          <w:szCs w:val="21"/>
        </w:rPr>
      </w:pPr>
      <w:r>
        <w:rPr>
          <w:rFonts w:hint="eastAsia"/>
          <w:szCs w:val="21"/>
        </w:rPr>
        <w:t>2、因私募基金财产的管理、运用或者其他情形而取得的财产和收益归入私募基金财产。</w:t>
      </w:r>
    </w:p>
    <w:p>
      <w:pPr>
        <w:pStyle w:val="a-BR503101"/>
        <w:spacing w:line="360" w:lineRule="auto"/>
        <w:ind w:firstLine="420" w:firstLineChars="200"/>
        <w:rPr>
          <w:szCs w:val="21"/>
        </w:rPr>
      </w:pPr>
      <w:r>
        <w:rPr>
          <w:rFonts w:hint="eastAsia"/>
          <w:szCs w:val="21"/>
        </w:rPr>
        <w:t>3、私募基金管理人、私募基金托管人可以按照合同的约定收取管理费用、托管费用以及基金合同约定的其他费用。私募基金管理人、私募基金托管人以其固有财产承担法律责任，其债权人不得对基金财产行使请求冻结、扣押和其他权利。私募基金管理人、私募基金托管人因依法解散、被依法撤销或者被依法宣告破产等原因进行清算的，基金财产不属于其清算财产。</w:t>
      </w:r>
    </w:p>
    <w:p>
      <w:pPr>
        <w:pStyle w:val="a-BR503101"/>
        <w:spacing w:line="360" w:lineRule="auto"/>
        <w:ind w:firstLine="420" w:firstLineChars="200"/>
        <w:rPr>
          <w:szCs w:val="21"/>
        </w:rPr>
      </w:pPr>
      <w:r>
        <w:rPr>
          <w:rFonts w:hint="eastAsia"/>
          <w:szCs w:val="21"/>
        </w:rPr>
        <w:t>4、私募基金管理人、私募基金托管人不得违反法律法规的规定和基金合同约定擅自将基金资产用于抵押、质押、担保或设定任何形式的优先权或其他第三方权利。</w:t>
      </w:r>
    </w:p>
    <w:p>
      <w:pPr>
        <w:pStyle w:val="a-BR503101"/>
        <w:spacing w:line="360" w:lineRule="auto"/>
        <w:ind w:firstLine="420" w:firstLineChars="200"/>
        <w:rPr>
          <w:rFonts w:ascii="宋体" w:hAnsi="宋体"/>
          <w:szCs w:val="21"/>
        </w:rPr>
      </w:pPr>
      <w:r>
        <w:rPr>
          <w:rFonts w:hint="eastAsia"/>
          <w:szCs w:val="21"/>
        </w:rPr>
        <w:t>5、基金财产产生的债权，不得与不属于私募基金财产本身的债务相互抵销。非因基金财产本身承担的债务，私募基金管理人、私募基金托管人不得主张其债权人对基金财产强制执行。上述债权人对基金财产主张权利时，私募基金管理人、私募基金托管人应明确告知基金财产的独立性。</w:t>
      </w:r>
    </w:p>
    <w:p>
      <w:pPr>
        <w:pStyle w:val="a-BR503101"/>
        <w:spacing w:line="360" w:lineRule="auto"/>
        <w:ind w:firstLine="420" w:firstLineChars="200"/>
        <w:rPr>
          <w:rFonts w:ascii="宋体" w:hAnsi="宋体"/>
          <w:szCs w:val="21"/>
        </w:rPr>
      </w:pPr>
      <w:r>
        <w:rPr>
          <w:rFonts w:ascii="宋体" w:hAnsi="宋体" w:hint="eastAsia"/>
          <w:szCs w:val="21"/>
        </w:rPr>
        <w:t>6、托管期间，如相关监管机构或法规对基金财产的保管事宜另有规定的，从其规定。</w:t>
      </w:r>
    </w:p>
    <w:p>
      <w:pPr>
        <w:pStyle w:val="a-BR503101"/>
        <w:spacing w:line="360" w:lineRule="auto"/>
        <w:ind w:firstLine="420" w:firstLineChars="200"/>
        <w:rPr>
          <w:rFonts w:ascii="宋体" w:hAnsi="宋体"/>
          <w:b/>
          <w:bCs/>
          <w:szCs w:val="21"/>
        </w:rPr>
      </w:pPr>
      <w:r>
        <w:rPr>
          <w:rFonts w:ascii="宋体" w:hAnsi="宋体" w:hint="eastAsia"/>
          <w:b/>
          <w:szCs w:val="21"/>
        </w:rPr>
        <w:t>7、</w:t>
      </w:r>
      <w:r>
        <w:rPr>
          <w:rFonts w:ascii="宋体" w:hAnsi="宋体" w:hint="eastAsia"/>
          <w:b/>
          <w:bCs/>
          <w:szCs w:val="21"/>
        </w:rPr>
        <w:t>对于本基金的投资事宜，根据相关法律规定，可能出现私募基金管理人代表本基金签订相关协议、开立相关账户及办理相关手续等情况，私募基金托管人对于因此而产生的风险不承担责任。</w:t>
      </w:r>
    </w:p>
    <w:p>
      <w:pPr>
        <w:pStyle w:val="a-BR503101"/>
        <w:spacing w:line="360" w:lineRule="auto"/>
        <w:ind w:firstLine="420" w:firstLineChars="200"/>
        <w:rPr>
          <w:rFonts w:ascii="宋体" w:hAnsi="宋体"/>
          <w:b/>
          <w:bCs/>
          <w:szCs w:val="21"/>
        </w:rPr>
      </w:pPr>
      <w:r>
        <w:rPr>
          <w:rFonts w:hint="eastAsia"/>
          <w:b/>
          <w:bCs/>
          <w:szCs w:val="21"/>
        </w:rPr>
        <w:t>8、本基金投资于公募基金、资产管理产品或其他私募基金，本私募基金管理人应当协调被投资产品的管理人或托管人，向私募基金托管人提供上述机构出具的资产权属登记证明。</w:t>
      </w:r>
    </w:p>
    <w:p>
      <w:pPr>
        <w:pStyle w:val="a-BR503101"/>
        <w:spacing w:line="360" w:lineRule="auto"/>
        <w:ind w:firstLine="420" w:firstLineChars="200"/>
        <w:rPr>
          <w:rFonts w:ascii="宋体" w:hAnsi="宋体"/>
          <w:b/>
          <w:szCs w:val="21"/>
        </w:rPr>
      </w:pPr>
      <w:r>
        <w:rPr>
          <w:rFonts w:ascii="宋体" w:hAnsi="宋体" w:hint="eastAsia"/>
          <w:b/>
          <w:szCs w:val="21"/>
        </w:rPr>
        <w:t>9、对于因为基金投资产生的应收资产，应由私募基金管理人负责与有关当事人确定到账日期并书面通知私募基金托管人，到账日基金资产没有到达基金托管资金账户的，由此给基金造成损失的，私募基金管理人应负责向有关当事人追偿基金的损失。私募基金托管人对此不承担任何责任。</w:t>
      </w:r>
    </w:p>
    <w:p>
      <w:pPr>
        <w:pStyle w:val="a-BR503101"/>
        <w:tabs>
          <w:tab w:val="left" w:pos="1260"/>
        </w:tabs>
        <w:spacing w:line="360" w:lineRule="auto"/>
        <w:ind w:firstLine="420" w:firstLineChars="200"/>
        <w:rPr>
          <w:rFonts w:ascii="宋体" w:hAnsi="宋体"/>
          <w:szCs w:val="21"/>
        </w:rPr>
      </w:pPr>
      <w:r>
        <w:rPr>
          <w:rFonts w:ascii="宋体" w:hAnsi="宋体" w:hint="eastAsia"/>
          <w:kern w:val="0"/>
          <w:szCs w:val="21"/>
        </w:rPr>
        <w:t>（二）</w:t>
      </w:r>
      <w:r>
        <w:rPr>
          <w:rFonts w:ascii="宋体" w:hAnsi="宋体" w:hint="eastAsia"/>
          <w:szCs w:val="21"/>
        </w:rPr>
        <w:t>基金财产相关账户的开立和管理</w:t>
      </w:r>
    </w:p>
    <w:p>
      <w:pPr>
        <w:pStyle w:val="a-BR503101"/>
        <w:spacing w:line="360" w:lineRule="auto"/>
        <w:ind w:firstLine="420" w:firstLineChars="200"/>
        <w:rPr>
          <w:rFonts w:ascii="宋体" w:hAnsi="宋体"/>
          <w:szCs w:val="21"/>
        </w:rPr>
      </w:pPr>
      <w:r>
        <w:rPr>
          <w:rFonts w:ascii="宋体" w:hAnsi="宋体" w:hint="eastAsia"/>
          <w:szCs w:val="21"/>
        </w:rPr>
        <w:t>私募基金托管人按照规定开立基金财产的托管资金账户等投资所需账户，私募基金管理人应给予必要的配合，并提供所需资料。本基金的一切货币收支活动，包括但不限于投资、支付退出金额、支付基金收益、收取参与款，均需通过托管资金账户进行。托管资金账户的开立和使用，仅限于满足本基金开展业务的需要。私募基金托管人和私募基金管理人不得假借本基金的名义开立其他任何与本</w:t>
      </w:r>
      <w:r>
        <w:rPr>
          <w:rFonts w:ascii="宋体" w:hAnsi="宋体"/>
          <w:szCs w:val="21"/>
        </w:rPr>
        <w:t>基金投资运作无关的</w:t>
      </w:r>
      <w:r>
        <w:rPr>
          <w:rFonts w:ascii="宋体" w:hAnsi="宋体" w:hint="eastAsia"/>
          <w:szCs w:val="21"/>
        </w:rPr>
        <w:t>银行账户；亦不得使用本基金的任何银行账户进行本基金业务以外的活动。</w:t>
      </w:r>
    </w:p>
    <w:p>
      <w:pPr>
        <w:pStyle w:val="a-BR503101"/>
        <w:tabs>
          <w:tab w:val="left" w:pos="1260"/>
        </w:tabs>
        <w:spacing w:line="360" w:lineRule="auto"/>
        <w:ind w:firstLine="420" w:firstLineChars="200"/>
        <w:rPr>
          <w:rFonts w:ascii="宋体" w:hAnsi="宋体"/>
          <w:kern w:val="0"/>
          <w:szCs w:val="21"/>
        </w:rPr>
      </w:pPr>
      <w:r>
        <w:rPr>
          <w:rFonts w:ascii="宋体" w:hAnsi="宋体" w:hint="eastAsia"/>
          <w:kern w:val="0"/>
          <w:szCs w:val="21"/>
        </w:rPr>
        <w:t>私募基金管理人为基金财产在证券经纪机构开立证券交易资金账户，用于基金财产证券交易结算资金的存管、记载交易结算资金的变动明细以及场内证券交易清算。私募基金托管人和私募基金管理人不得出借或转让证券账户、证券交易资金账户，亦不得使用证券账户或证券交易资金账户进行本基金业务以外的活动。</w:t>
      </w:r>
    </w:p>
    <w:p>
      <w:pPr>
        <w:pStyle w:val="a-BR503101"/>
        <w:spacing w:line="360" w:lineRule="auto"/>
        <w:ind w:firstLine="420" w:firstLineChars="200"/>
        <w:rPr>
          <w:rFonts w:ascii="宋体" w:hAnsi="宋体"/>
          <w:b/>
          <w:bCs/>
          <w:kern w:val="0"/>
          <w:szCs w:val="21"/>
        </w:rPr>
      </w:pPr>
      <w:r>
        <w:rPr>
          <w:rFonts w:ascii="宋体" w:hAnsi="宋体" w:hint="eastAsia"/>
          <w:kern w:val="0"/>
          <w:szCs w:val="21"/>
        </w:rPr>
        <w:t>因业务发展而需要开立的其他账户，应由私募基金托管人或私募基金管理人根据有关法律法规的规定开立、管理和使用。</w:t>
      </w:r>
      <w:r>
        <w:rPr>
          <w:rFonts w:ascii="宋体" w:hAnsi="宋体" w:hint="eastAsia"/>
          <w:szCs w:val="21"/>
        </w:rPr>
        <w:t>证券账户和期货账户的持有人名称应当符合证券、期货登记结算机构的有关规定。</w:t>
      </w:r>
      <w:r>
        <w:rPr>
          <w:rFonts w:ascii="宋体" w:hAnsi="宋体" w:hint="eastAsia"/>
          <w:kern w:val="0"/>
          <w:szCs w:val="21"/>
        </w:rPr>
        <w:t>如该账户是由私募基金管理人负责开立的，私募基金管理人应保证该账户专款专用。相应的投资回款及收益，也由私募基金管理人负责及时原路划回托管资金账户。私募基金管理人开立此类账户后需及时通知私募基金托管人。</w:t>
      </w:r>
      <w:r>
        <w:rPr>
          <w:rFonts w:ascii="宋体" w:hAnsi="宋体" w:hint="eastAsia"/>
          <w:b/>
          <w:bCs/>
          <w:kern w:val="0"/>
          <w:szCs w:val="21"/>
        </w:rPr>
        <w:t>对于非由私募基金托管人开立、管理并实际控制的账户，私募基金托管人不承担保管职责。</w:t>
      </w:r>
    </w:p>
    <w:p>
      <w:pPr>
        <w:pStyle w:val="a-BR503101"/>
        <w:spacing w:line="360" w:lineRule="auto"/>
        <w:ind w:firstLine="420" w:firstLineChars="200"/>
        <w:rPr>
          <w:rFonts w:ascii="宋体" w:hAnsi="宋体"/>
          <w:kern w:val="0"/>
          <w:szCs w:val="21"/>
        </w:rPr>
      </w:pPr>
      <w:r>
        <w:rPr>
          <w:rFonts w:ascii="宋体" w:hAnsi="宋体" w:hint="eastAsia"/>
          <w:szCs w:val="21"/>
        </w:rPr>
        <w:t>开立的上述基金财产账户与私募基金管理人、私募基金托管人、私募基金募集机构和私募基金份额登记机构自有的财产账户以及其他基金财产账户相独立。</w:t>
      </w:r>
    </w:p>
    <w:p>
      <w:pPr>
        <w:pStyle w:val="aa-BR778146"/>
        <w:rPr>
          <w:sz w:val="21"/>
          <w:szCs w:val="21"/>
          <w:lang w:val="en-US"/>
        </w:rPr>
      </w:pPr>
      <w:bookmarkStart w:id="29" w:name="_Toc256000013"/>
      <w:r>
        <w:rPr>
          <w:rFonts w:hint="eastAsia"/>
          <w:sz w:val="21"/>
          <w:szCs w:val="21"/>
        </w:rPr>
        <w:t>十三、交易及清算交收安排</w:t>
      </w:r>
      <w:bookmarkEnd w:id="29"/>
    </w:p>
    <w:p>
      <w:pPr>
        <w:pStyle w:val="a-BR778146"/>
        <w:spacing w:line="360" w:lineRule="auto"/>
        <w:ind w:firstLine="420" w:firstLineChars="200"/>
        <w:rPr>
          <w:rFonts w:ascii="宋体" w:hAnsi="宋体"/>
          <w:szCs w:val="21"/>
        </w:rPr>
      </w:pPr>
      <w:r>
        <w:rPr>
          <w:rFonts w:ascii="宋体" w:hAnsi="宋体" w:hint="eastAsia"/>
          <w:szCs w:val="21"/>
        </w:rPr>
        <w:t>（一）选择证券、期货经纪机构的程序（如有）</w:t>
      </w:r>
    </w:p>
    <w:p>
      <w:pPr>
        <w:pStyle w:val="a-BR778146"/>
        <w:spacing w:line="360" w:lineRule="auto"/>
        <w:ind w:firstLine="420" w:firstLineChars="200"/>
        <w:rPr>
          <w:rFonts w:ascii="宋体" w:hAnsi="宋体"/>
          <w:szCs w:val="21"/>
        </w:rPr>
      </w:pPr>
      <w:r>
        <w:rPr>
          <w:rFonts w:ascii="宋体" w:hAnsi="宋体" w:hint="eastAsia"/>
          <w:szCs w:val="21"/>
        </w:rPr>
        <w:t>私募基金管理人负责选择代理本基金财产证券买卖的证券经纪机构，并与其签订证券经纪合同，私募基金管理人、私募基金托管人和证券经纪机构可就本基金参与证券交易的具体事项另行签订协议。</w:t>
      </w:r>
    </w:p>
    <w:p>
      <w:pPr>
        <w:pStyle w:val="a-BR778146"/>
        <w:spacing w:line="360" w:lineRule="auto"/>
        <w:ind w:firstLine="420" w:firstLineChars="200"/>
        <w:rPr>
          <w:rFonts w:ascii="宋体" w:hAnsi="宋体"/>
          <w:szCs w:val="21"/>
        </w:rPr>
      </w:pPr>
      <w:r>
        <w:rPr>
          <w:rFonts w:ascii="宋体" w:hAnsi="宋体" w:hint="eastAsia"/>
          <w:szCs w:val="21"/>
        </w:rPr>
        <w:t>私募基金管理人负责选择为本基金提供期货交易服务的期货经纪公司，并与其签订期货经纪合同。私募基金管理人、私募基金托管人和期货经纪公司可就本基金参与期货交易的具体事项另行签订协议。</w:t>
      </w:r>
    </w:p>
    <w:p>
      <w:pPr>
        <w:pStyle w:val="a-BR778146"/>
        <w:spacing w:line="360" w:lineRule="auto"/>
        <w:ind w:firstLine="420" w:firstLineChars="200"/>
        <w:rPr>
          <w:rFonts w:ascii="宋体" w:hAnsi="宋体"/>
          <w:szCs w:val="21"/>
        </w:rPr>
      </w:pPr>
      <w:r>
        <w:rPr>
          <w:rFonts w:ascii="宋体" w:hAnsi="宋体" w:hint="eastAsia"/>
          <w:szCs w:val="21"/>
        </w:rPr>
        <w:t>（二）交易及清算交收</w:t>
      </w:r>
    </w:p>
    <w:p>
      <w:pPr>
        <w:pStyle w:val="a-BR778146"/>
        <w:spacing w:line="360" w:lineRule="auto"/>
        <w:ind w:firstLine="420" w:firstLineChars="200"/>
        <w:rPr>
          <w:rFonts w:ascii="宋体" w:hAnsi="宋体"/>
          <w:szCs w:val="21"/>
        </w:rPr>
      </w:pPr>
      <w:r>
        <w:rPr>
          <w:rFonts w:ascii="宋体" w:hAnsi="宋体"/>
          <w:szCs w:val="21"/>
        </w:rPr>
        <w:t>1、</w:t>
      </w:r>
      <w:r>
        <w:rPr>
          <w:rFonts w:ascii="宋体" w:hAnsi="宋体" w:hint="eastAsia"/>
          <w:szCs w:val="21"/>
        </w:rPr>
        <w:t>投资交易所证券后的清算交收安排</w:t>
      </w:r>
    </w:p>
    <w:p>
      <w:pPr>
        <w:pStyle w:val="a-BR778146"/>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）本基金通过证券经纪机构进行的交易由证券经纪机构作为结算参与人代理本基金进行结算。</w:t>
      </w:r>
    </w:p>
    <w:p>
      <w:pPr>
        <w:pStyle w:val="a-BR778146"/>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）证券交易所证券资金结算</w:t>
      </w:r>
    </w:p>
    <w:p>
      <w:pPr>
        <w:pStyle w:val="a-BR778146"/>
        <w:spacing w:line="360" w:lineRule="auto"/>
        <w:ind w:firstLine="420" w:firstLineChars="200"/>
        <w:rPr>
          <w:rFonts w:ascii="宋体" w:hAnsi="宋体"/>
          <w:szCs w:val="21"/>
        </w:rPr>
      </w:pPr>
      <w:r>
        <w:rPr>
          <w:rFonts w:ascii="宋体" w:hAnsi="宋体" w:hint="eastAsia"/>
          <w:szCs w:val="21"/>
        </w:rPr>
        <w:t>私募基金托管人、私募基金管理人应共同遵守中登公司制定的相关业务规则和规定，该等规则和规定自动成为本条款约定的内容。</w:t>
      </w:r>
    </w:p>
    <w:p>
      <w:pPr>
        <w:pStyle w:val="a-BR778146"/>
        <w:spacing w:line="360" w:lineRule="auto"/>
        <w:ind w:firstLine="420" w:firstLineChars="200"/>
        <w:rPr>
          <w:rFonts w:ascii="宋体" w:hAnsi="宋体"/>
          <w:szCs w:val="21"/>
        </w:rPr>
      </w:pPr>
      <w:r>
        <w:rPr>
          <w:rFonts w:ascii="宋体" w:hAnsi="宋体" w:hint="eastAsia"/>
          <w:szCs w:val="21"/>
        </w:rPr>
        <w:t>私募基金管理人在投资前，应充分知晓与理解中登公司针对各类交易品种制定的结算业务规则和规定。</w:t>
      </w:r>
    </w:p>
    <w:p>
      <w:pPr>
        <w:pStyle w:val="a-BR778146"/>
        <w:spacing w:line="360" w:lineRule="auto"/>
        <w:ind w:firstLine="420" w:firstLineChars="200"/>
        <w:rPr>
          <w:rFonts w:ascii="宋体" w:hAnsi="宋体"/>
          <w:szCs w:val="21"/>
        </w:rPr>
      </w:pPr>
      <w:r>
        <w:rPr>
          <w:rFonts w:ascii="宋体" w:hAnsi="宋体" w:hint="eastAsia"/>
          <w:szCs w:val="21"/>
        </w:rPr>
        <w:t>证券经纪机构代理本基金财产与中登公司完成证券交易及非交易涉及的证券资金结算业务，并承担由证券经纪机构原因造成的正常结算、交收业务无法完成的责任；若由于私募基金管理人原因造成的正常结算业务无法完成，责任由私募基金管理人承担。</w:t>
      </w:r>
    </w:p>
    <w:p>
      <w:pPr>
        <w:pStyle w:val="a-BR778146"/>
        <w:spacing w:line="360" w:lineRule="auto"/>
        <w:ind w:firstLine="420" w:firstLineChars="200"/>
        <w:rPr>
          <w:rStyle w:val="a0"/>
        </w:rPr>
      </w:pPr>
      <w:r>
        <w:rPr>
          <w:rFonts w:ascii="宋体" w:hAnsi="宋体" w:hint="eastAsia"/>
          <w:szCs w:val="21"/>
        </w:rPr>
        <w:t>如证券经纪机构及托管资金账户开立银行的业务规则允许且技术支持，私募基金管理人可以通过自助转账方式，自行完成托管资金账户与证券交易资金账户、信用账户及衍生品账户之间的资金划拨，而无需事前经私募基金托管人同意或向私募基金托管人出具任何形式的指令。</w:t>
      </w:r>
      <w:r>
        <w:rPr>
          <w:rFonts w:ascii="宋体" w:hAnsi="宋体" w:hint="eastAsia"/>
          <w:b/>
          <w:szCs w:val="21"/>
        </w:rPr>
        <w:t>私募基金管理人选择通过自助转账方式进行资金划转的，应自行监控并保障资金划转安全，确保资金用途符合法律法规要求及基金合同约定，否则因此对基金资产造成损失的，私募基金托管人不承担任何责任。</w:t>
      </w:r>
    </w:p>
    <w:p>
      <w:pPr>
        <w:pStyle w:val="a-BR778146"/>
        <w:spacing w:line="360" w:lineRule="auto"/>
        <w:ind w:firstLine="420" w:firstLineChars="200"/>
        <w:rPr>
          <w:rFonts w:ascii="宋体" w:hAnsi="宋体"/>
          <w:szCs w:val="21"/>
        </w:rPr>
      </w:pPr>
      <w:r>
        <w:rPr>
          <w:rFonts w:ascii="宋体" w:hAnsi="宋体"/>
          <w:szCs w:val="21"/>
        </w:rPr>
        <w:t>2、</w:t>
      </w:r>
      <w:r>
        <w:rPr>
          <w:rFonts w:ascii="宋体" w:hAnsi="宋体" w:hint="eastAsia"/>
          <w:szCs w:val="21"/>
        </w:rPr>
        <w:t>投资期货的清算与交收（如有）</w:t>
      </w:r>
    </w:p>
    <w:p>
      <w:pPr>
        <w:pStyle w:val="a-BR778146"/>
        <w:spacing w:line="360" w:lineRule="auto"/>
        <w:ind w:firstLine="420" w:firstLineChars="200"/>
        <w:rPr>
          <w:rFonts w:ascii="宋体" w:hAnsi="宋体"/>
          <w:szCs w:val="21"/>
        </w:rPr>
      </w:pPr>
      <w:r>
        <w:rPr>
          <w:rFonts w:ascii="宋体" w:hAnsi="宋体" w:hint="eastAsia"/>
          <w:szCs w:val="21"/>
        </w:rPr>
        <w:t>私募基金管理人负责选择代理本基金期货买卖的期货经纪机构，并与私募基金托管人及期货经纪机构，就期货保证金保管、期货交易、出入金、数据发送等事项签订协议，明确各方的权利义务。本基金投资于期货发生的资金交割清算由私募基金管理人选定的期货经纪机构负责办理，私募基金托管人对由于期货交易所期货保证金制度和清算交割的需要而存放在期货经纪机构的资金不行使保管职责，私募基金管理人应在期货经纪协议或其他协议中约定由选定的期货经纪机构承担资金安全保管责任。</w:t>
      </w:r>
    </w:p>
    <w:p>
      <w:pPr>
        <w:pStyle w:val="a-BR778146"/>
        <w:spacing w:line="360" w:lineRule="auto"/>
        <w:ind w:firstLine="420" w:firstLineChars="200"/>
        <w:rPr>
          <w:rStyle w:val="a0"/>
        </w:rPr>
      </w:pPr>
      <w:r>
        <w:rPr>
          <w:rFonts w:ascii="宋体" w:hAnsi="宋体" w:hint="eastAsia"/>
          <w:szCs w:val="21"/>
        </w:rPr>
        <w:t>如期货经纪机构及托管资金账户开立银行的业务规则允许且技术支持，私募基金管理人可以通过自助转账方式，自行完成托管资金账户与期货账户之间的资金划拨，而无需事前经私募基金托管人同意或向私募基金托管人出具任何形式的指令。</w:t>
      </w:r>
      <w:r>
        <w:rPr>
          <w:rFonts w:ascii="宋体" w:hAnsi="宋体" w:hint="eastAsia"/>
          <w:b/>
          <w:szCs w:val="21"/>
        </w:rPr>
        <w:t>私募基金管理人选择通过自助转账方式进行资金划转的，应自行监控并保障资金划转安全，确保资金用途符合法律法规要求及基金合同约定，否则因此对基金资产造成损失的，私募基金托管人不承担任何责任。</w:t>
      </w:r>
    </w:p>
    <w:p>
      <w:pPr>
        <w:pStyle w:val="a-BR778146"/>
        <w:spacing w:line="360" w:lineRule="auto"/>
        <w:ind w:firstLine="420" w:firstLineChars="200"/>
        <w:rPr>
          <w:rFonts w:ascii="宋体" w:hAnsi="宋体"/>
          <w:szCs w:val="21"/>
        </w:rPr>
      </w:pPr>
      <w:r>
        <w:rPr>
          <w:rFonts w:ascii="宋体" w:hAnsi="宋体"/>
          <w:szCs w:val="21"/>
        </w:rPr>
        <w:t>3、</w:t>
      </w:r>
      <w:r>
        <w:rPr>
          <w:rFonts w:ascii="宋体" w:hAnsi="宋体" w:hint="eastAsia"/>
          <w:szCs w:val="21"/>
        </w:rPr>
        <w:t>其他交易的清算与交收</w:t>
      </w:r>
    </w:p>
    <w:p>
      <w:pPr>
        <w:pStyle w:val="a-BR778146"/>
        <w:spacing w:line="360" w:lineRule="auto"/>
        <w:ind w:firstLine="420" w:firstLineChars="200"/>
        <w:rPr>
          <w:rFonts w:ascii="宋体" w:hAnsi="宋体"/>
          <w:szCs w:val="21"/>
        </w:rPr>
      </w:pPr>
      <w:r>
        <w:rPr>
          <w:rFonts w:ascii="宋体" w:hAnsi="宋体" w:hint="eastAsia"/>
          <w:szCs w:val="21"/>
        </w:rPr>
        <w:t>其他交易的清算与交收由私募基金托管人依据私募基金管理人符合本合同约定的有效划款指令和其他相关文件进行资金划拨。</w:t>
      </w:r>
    </w:p>
    <w:p>
      <w:pPr>
        <w:pStyle w:val="a-BR778146"/>
        <w:spacing w:line="360" w:lineRule="auto"/>
        <w:ind w:firstLine="420" w:firstLineChars="200"/>
        <w:rPr>
          <w:rFonts w:ascii="宋体" w:hAnsi="宋体"/>
          <w:szCs w:val="21"/>
        </w:rPr>
      </w:pPr>
      <w:r>
        <w:rPr>
          <w:rFonts w:ascii="宋体" w:hAnsi="宋体" w:hint="eastAsia"/>
          <w:szCs w:val="21"/>
        </w:rPr>
        <w:t>（三）资金、证券账目及交易记录的核对</w:t>
      </w:r>
    </w:p>
    <w:p>
      <w:pPr>
        <w:pStyle w:val="a-BR778146"/>
        <w:spacing w:line="360" w:lineRule="auto"/>
        <w:ind w:firstLine="420" w:firstLineChars="200"/>
        <w:rPr>
          <w:rFonts w:ascii="宋体" w:hAnsi="宋体"/>
          <w:szCs w:val="21"/>
        </w:rPr>
      </w:pPr>
      <w:r>
        <w:rPr>
          <w:rFonts w:ascii="宋体" w:hAnsi="宋体" w:hint="eastAsia"/>
          <w:szCs w:val="21"/>
        </w:rPr>
        <w:t>私募基金管理人应定期与私募基金托管人对资产的证券账目、实物券账目、交易记录进行核对。</w:t>
      </w:r>
    </w:p>
    <w:p>
      <w:pPr>
        <w:pStyle w:val="a-BR778146"/>
        <w:spacing w:line="360" w:lineRule="auto"/>
        <w:ind w:firstLine="420" w:firstLineChars="200"/>
        <w:rPr>
          <w:rFonts w:ascii="宋体" w:hAnsi="宋体"/>
          <w:szCs w:val="21"/>
        </w:rPr>
      </w:pPr>
      <w:r>
        <w:rPr>
          <w:rFonts w:ascii="宋体" w:hAnsi="宋体"/>
          <w:szCs w:val="21"/>
        </w:rPr>
        <w:t>1、交易记录的核对</w:t>
      </w:r>
    </w:p>
    <w:p>
      <w:pPr>
        <w:pStyle w:val="a-BR778146"/>
        <w:spacing w:line="360" w:lineRule="auto"/>
        <w:ind w:firstLine="420" w:firstLineChars="200"/>
        <w:rPr>
          <w:rFonts w:ascii="宋体" w:hAnsi="宋体"/>
          <w:szCs w:val="21"/>
        </w:rPr>
      </w:pPr>
      <w:r>
        <w:rPr>
          <w:rFonts w:ascii="宋体" w:hAnsi="宋体" w:hint="eastAsia"/>
          <w:szCs w:val="21"/>
        </w:rPr>
        <w:t>私募基金管理人按日进行交易记录的核对。对外披露净值之前，必须保证披露当天所有实际交易记录与会计账簿上的交易记录完全一致。如果实际交易记录与会计账簿记录不一致，造成本基金会计核算不完整或不真实，由此导致的损失由私募基金管理人承担。</w:t>
      </w:r>
    </w:p>
    <w:p>
      <w:pPr>
        <w:pStyle w:val="a-BR778146"/>
        <w:spacing w:line="360" w:lineRule="auto"/>
        <w:ind w:firstLine="420" w:firstLineChars="200"/>
        <w:rPr>
          <w:rFonts w:ascii="宋体" w:hAnsi="宋体"/>
          <w:szCs w:val="21"/>
        </w:rPr>
      </w:pPr>
      <w:r>
        <w:rPr>
          <w:rFonts w:ascii="宋体" w:hAnsi="宋体"/>
          <w:szCs w:val="21"/>
        </w:rPr>
        <w:t>2、资金账目的核对</w:t>
      </w:r>
    </w:p>
    <w:p>
      <w:pPr>
        <w:pStyle w:val="a-BR778146"/>
        <w:spacing w:line="360" w:lineRule="auto"/>
        <w:ind w:firstLine="420" w:firstLineChars="200"/>
        <w:rPr>
          <w:rFonts w:ascii="宋体" w:hAnsi="宋体"/>
          <w:szCs w:val="21"/>
        </w:rPr>
      </w:pPr>
      <w:r>
        <w:rPr>
          <w:rFonts w:ascii="宋体" w:hAnsi="宋体" w:hint="eastAsia"/>
          <w:szCs w:val="21"/>
        </w:rPr>
        <w:t>资金账目按日核对。</w:t>
      </w:r>
    </w:p>
    <w:p>
      <w:pPr>
        <w:pStyle w:val="a-BR778146"/>
        <w:spacing w:line="360" w:lineRule="auto"/>
        <w:ind w:firstLine="420" w:firstLineChars="200"/>
        <w:rPr>
          <w:rFonts w:ascii="宋体" w:hAnsi="宋体"/>
          <w:szCs w:val="21"/>
        </w:rPr>
      </w:pPr>
      <w:r>
        <w:rPr>
          <w:rFonts w:ascii="宋体" w:hAnsi="宋体"/>
          <w:szCs w:val="21"/>
        </w:rPr>
        <w:t>3、证券账目的核对</w:t>
      </w:r>
    </w:p>
    <w:p>
      <w:pPr>
        <w:pStyle w:val="a-BR778146"/>
        <w:spacing w:line="360" w:lineRule="auto"/>
        <w:ind w:firstLine="420" w:firstLineChars="200"/>
        <w:rPr>
          <w:rFonts w:ascii="宋体" w:hAnsi="宋体"/>
          <w:szCs w:val="21"/>
        </w:rPr>
      </w:pPr>
      <w:r>
        <w:rPr>
          <w:rFonts w:ascii="宋体" w:hAnsi="宋体" w:hint="eastAsia"/>
          <w:szCs w:val="21"/>
        </w:rPr>
        <w:t>私募基金管理人应定期与私募基金托管人核对证券账目，确保双方账目相符。</w:t>
      </w:r>
    </w:p>
    <w:p>
      <w:pPr>
        <w:pStyle w:val="a-BR778146"/>
        <w:spacing w:line="360" w:lineRule="auto"/>
        <w:ind w:firstLine="420" w:firstLineChars="200"/>
        <w:rPr>
          <w:rFonts w:ascii="宋体" w:hAnsi="宋体"/>
          <w:szCs w:val="21"/>
        </w:rPr>
      </w:pPr>
      <w:r>
        <w:rPr>
          <w:rFonts w:ascii="宋体" w:hAnsi="宋体" w:hint="eastAsia"/>
          <w:szCs w:val="21"/>
        </w:rPr>
        <w:t>（四）申购、赎回的资金清算</w:t>
      </w:r>
    </w:p>
    <w:p>
      <w:pPr>
        <w:pStyle w:val="a-BR778146"/>
        <w:tabs>
          <w:tab w:val="left" w:pos="1260"/>
        </w:tabs>
        <w:spacing w:line="360" w:lineRule="auto"/>
        <w:ind w:firstLine="420" w:firstLineChars="200"/>
        <w:rPr>
          <w:rFonts w:ascii="宋体" w:hAnsi="宋体"/>
          <w:kern w:val="0"/>
          <w:szCs w:val="21"/>
        </w:rPr>
      </w:pPr>
      <w:r>
        <w:rPr>
          <w:rFonts w:ascii="宋体" w:hAnsi="宋体"/>
          <w:kern w:val="0"/>
          <w:szCs w:val="21"/>
        </w:rPr>
        <w:t>1</w:t>
      </w:r>
      <w:r>
        <w:rPr>
          <w:rFonts w:ascii="宋体" w:hAnsi="宋体" w:hint="eastAsia"/>
          <w:kern w:val="0"/>
          <w:szCs w:val="21"/>
        </w:rPr>
        <w:t>、基金份额申购、赎回的确认及清算由私募基金管理人或其指定的份额登记机构负责。</w:t>
      </w:r>
    </w:p>
    <w:p>
      <w:pPr>
        <w:pStyle w:val="a-BR778146"/>
        <w:tabs>
          <w:tab w:val="left" w:pos="1260"/>
        </w:tabs>
        <w:spacing w:line="360" w:lineRule="auto"/>
        <w:ind w:firstLine="420" w:firstLineChars="200"/>
        <w:rPr>
          <w:rFonts w:ascii="宋体" w:hAnsi="宋体"/>
          <w:kern w:val="0"/>
          <w:szCs w:val="21"/>
        </w:rPr>
      </w:pPr>
      <w:r>
        <w:rPr>
          <w:rFonts w:ascii="宋体" w:hAnsi="宋体"/>
          <w:kern w:val="0"/>
          <w:szCs w:val="21"/>
        </w:rPr>
        <w:t>2</w:t>
      </w:r>
      <w:r>
        <w:rPr>
          <w:rFonts w:ascii="宋体" w:hAnsi="宋体" w:hint="eastAsia"/>
          <w:kern w:val="0"/>
          <w:szCs w:val="21"/>
        </w:rPr>
        <w:t>、私募基金管理人或其委托的份额登记机构应将每个开放日的申购、赎回数据传送给私募基金托管人。私募基金管理人应对传递的申购、赎回数据的真实性、准确性、完整性负责。私募基金托管人应根据私募基金管理人指令及时划付款项。</w:t>
      </w:r>
    </w:p>
    <w:p>
      <w:pPr>
        <w:pStyle w:val="a-BR778146"/>
        <w:tabs>
          <w:tab w:val="left" w:pos="1260"/>
        </w:tabs>
        <w:spacing w:line="360" w:lineRule="auto"/>
        <w:ind w:firstLine="420" w:firstLineChars="200"/>
        <w:rPr>
          <w:rFonts w:ascii="宋体" w:hAnsi="宋体"/>
          <w:kern w:val="0"/>
          <w:szCs w:val="21"/>
        </w:rPr>
      </w:pPr>
      <w:r>
        <w:rPr>
          <w:rFonts w:ascii="宋体" w:hAnsi="宋体"/>
          <w:kern w:val="0"/>
          <w:szCs w:val="21"/>
        </w:rPr>
        <w:t>3</w:t>
      </w:r>
      <w:r>
        <w:rPr>
          <w:rFonts w:ascii="宋体" w:hAnsi="宋体" w:hint="eastAsia"/>
          <w:kern w:val="0"/>
          <w:szCs w:val="21"/>
        </w:rPr>
        <w:t>、私募基金管理人应在申购确认日后3个交易日内将申购净额（不包含申购费）划至托管资金账户。如申购净额未能如期到账，由此给基金造成损失的，由责任方承担。私募基金管理人负责向责任方追偿基金的损失。</w:t>
      </w:r>
    </w:p>
    <w:p>
      <w:pPr>
        <w:pStyle w:val="a-BR778146"/>
        <w:tabs>
          <w:tab w:val="left" w:pos="1260"/>
        </w:tabs>
        <w:spacing w:line="360" w:lineRule="auto"/>
        <w:ind w:firstLine="420" w:firstLineChars="200"/>
        <w:rPr>
          <w:rFonts w:ascii="宋体" w:hAnsi="宋体"/>
          <w:kern w:val="0"/>
          <w:szCs w:val="21"/>
        </w:rPr>
      </w:pPr>
      <w:r>
        <w:rPr>
          <w:rFonts w:ascii="宋体" w:hAnsi="宋体"/>
          <w:kern w:val="0"/>
          <w:szCs w:val="21"/>
        </w:rPr>
        <w:t>4</w:t>
      </w:r>
      <w:r>
        <w:rPr>
          <w:rFonts w:ascii="宋体" w:hAnsi="宋体" w:hint="eastAsia"/>
          <w:kern w:val="0"/>
          <w:szCs w:val="21"/>
        </w:rPr>
        <w:t>、私募基金管理人应在</w:t>
      </w:r>
      <w:r>
        <w:rPr>
          <w:rFonts w:ascii="宋体" w:hAnsi="宋体" w:hint="eastAsia"/>
          <w:szCs w:val="21"/>
        </w:rPr>
        <w:t>赎回确认日后在本合同约定的赎回款项支付时效内并提前至少一个交易日</w:t>
      </w:r>
      <w:r>
        <w:rPr>
          <w:rFonts w:ascii="宋体" w:hAnsi="宋体" w:hint="eastAsia"/>
          <w:kern w:val="0"/>
          <w:szCs w:val="21"/>
        </w:rPr>
        <w:t>向私募基金托管人发送赎回的划款指令并保证托管资金账户预留足额资金，私募基金托管人依据划款指令（包含赎回产生的应付费用）划至私募基金管理人指定账户。涉及代理销售机构赎回资金的交收，私募基金管理人应在与代理销售机构约定的赎回资金交收日之前向私募基金托管人发送赎回的划款指令并保证托管资金账户预留足额资金，若私募基金管理人无法在与代理销售机构约定的赎回资金交收日完成资金交收而引起代理销售机构相关损失，由私募基金管理人承担。若赎回金额未能如期划拨，由此造成的损失，由责任方承担，私募基金管理人负责向责任方追偿基金的损失。</w:t>
      </w:r>
    </w:p>
    <w:p>
      <w:pPr>
        <w:pStyle w:val="a-BR778146"/>
        <w:spacing w:line="360" w:lineRule="auto"/>
        <w:ind w:firstLine="420" w:firstLineChars="200"/>
        <w:rPr>
          <w:rFonts w:ascii="宋体" w:hAnsi="宋体"/>
          <w:szCs w:val="21"/>
        </w:rPr>
      </w:pPr>
      <w:r>
        <w:rPr>
          <w:rFonts w:ascii="宋体" w:hAnsi="宋体" w:hint="eastAsia"/>
          <w:szCs w:val="21"/>
        </w:rPr>
        <w:t>（五）无法按时清算的责任认定及处理程序</w:t>
      </w:r>
    </w:p>
    <w:p>
      <w:pPr>
        <w:pStyle w:val="a-BR778146"/>
        <w:spacing w:line="360" w:lineRule="auto"/>
        <w:ind w:firstLine="420" w:firstLineChars="200"/>
        <w:rPr>
          <w:rFonts w:ascii="宋体" w:hAnsi="宋体"/>
          <w:szCs w:val="21"/>
        </w:rPr>
      </w:pPr>
      <w:r>
        <w:rPr>
          <w:rFonts w:ascii="宋体" w:hAnsi="宋体" w:hint="eastAsia"/>
          <w:szCs w:val="21"/>
        </w:rPr>
        <w:t>对于任何原因发生的证券资金交收违约事件，相关各方应当及时协商解决。</w:t>
      </w:r>
    </w:p>
    <w:p>
      <w:pPr>
        <w:pStyle w:val="a-BR778146"/>
        <w:tabs>
          <w:tab w:val="left" w:pos="1260"/>
        </w:tabs>
        <w:spacing w:line="360" w:lineRule="auto"/>
        <w:ind w:firstLine="420" w:firstLineChars="200"/>
        <w:rPr>
          <w:rFonts w:ascii="宋体" w:hAnsi="宋体"/>
          <w:szCs w:val="21"/>
        </w:rPr>
      </w:pPr>
      <w:r>
        <w:rPr>
          <w:rFonts w:ascii="宋体" w:hAnsi="宋体" w:hint="eastAsia"/>
          <w:szCs w:val="21"/>
        </w:rPr>
        <w:t>私募基金管理人应保证其发送的划款指令合法有效、指令签章与预留印鉴表面一致（如适用）、指令要素正确且基金托管资金账户上有充足的资金</w:t>
      </w:r>
      <w:r>
        <w:rPr>
          <w:rFonts w:hint="eastAsia"/>
        </w:rPr>
        <w:t>或在专用证券账户内有足额证券</w:t>
      </w:r>
      <w:r>
        <w:rPr>
          <w:rFonts w:ascii="宋体" w:hAnsi="宋体" w:hint="eastAsia"/>
          <w:szCs w:val="21"/>
        </w:rPr>
        <w:t>。上述任一条件不满足时，私募基金托管人有权拒绝私募基金管理人发送的划款指令，并视上述所有条件满足时间为指令送达时间。私募基金管理人在发送划款指令时应充分考虑私募基金托管人的划款处理时间，至少为</w:t>
      </w:r>
      <w:r>
        <w:rPr>
          <w:rFonts w:ascii="宋体" w:hAnsi="宋体"/>
          <w:szCs w:val="21"/>
        </w:rPr>
        <w:t>2</w:t>
      </w:r>
      <w:r>
        <w:rPr>
          <w:rFonts w:ascii="宋体" w:hAnsi="宋体" w:hint="eastAsia"/>
          <w:szCs w:val="21"/>
        </w:rPr>
        <w:t>个工作小时。私募基金托管人不承担由于私募基金管理人指令合法有效性存在问题、传输不及时、指令要素错误、未能留出足够的划款时间及其它非私募基金托管人原因致使资金未能及时出账或出现未到账项所造成的损失。在基金财产资金头寸充足的情况下，私募基金托管人对私募基金管理人符合法律、行政法规和本合同约定的指令不得拒绝执行。</w:t>
      </w:r>
    </w:p>
    <w:p>
      <w:pPr>
        <w:pStyle w:val="a-BR778146"/>
        <w:tabs>
          <w:tab w:val="left" w:pos="1260"/>
        </w:tabs>
        <w:spacing w:line="360" w:lineRule="auto"/>
        <w:ind w:firstLine="420" w:firstLineChars="200"/>
        <w:rPr>
          <w:rFonts w:ascii="宋体" w:hAnsi="宋体"/>
          <w:szCs w:val="21"/>
        </w:rPr>
      </w:pPr>
      <w:r>
        <w:rPr>
          <w:rFonts w:ascii="宋体" w:hAnsi="宋体" w:hint="eastAsia"/>
          <w:szCs w:val="21"/>
        </w:rPr>
        <w:t>（六）指令的发送、确认及执行</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szCs w:val="21"/>
        </w:rPr>
        <w:t>1、</w:t>
      </w:r>
      <w:r>
        <w:rPr>
          <w:rFonts w:ascii="宋体" w:hAnsi="宋体" w:hint="eastAsia"/>
          <w:szCs w:val="21"/>
        </w:rPr>
        <w:t>私募基金管理人对发送指令人员的书面授权</w:t>
      </w:r>
    </w:p>
    <w:p>
      <w:pPr>
        <w:pStyle w:val="a-BR778146"/>
        <w:spacing w:line="360" w:lineRule="auto"/>
        <w:ind w:firstLine="420" w:firstLineChars="200"/>
        <w:rPr>
          <w:rFonts w:ascii="宋体" w:hAnsi="宋体"/>
          <w:szCs w:val="21"/>
        </w:rPr>
      </w:pPr>
      <w:r>
        <w:rPr>
          <w:rFonts w:ascii="宋体" w:hAnsi="宋体" w:hint="eastAsia"/>
          <w:szCs w:val="21"/>
        </w:rPr>
        <w:t>私募基金管理人应按本合同的约定，事先根据私募基金托管人的要求书面通知（以下称“授权通知”）私募基金托管人有权发送指令的人员名单、签字样本、相应权限、预留印鉴、启用日期等。私募基金管理人向私募基金托管人发出的授权通知应加盖公章和法定代表人/执行事务合伙人（或授权代表）名章。私募基金管理人将加盖公章和法定代表人/执行事务合伙人（或授权代表）名章的授权通知的正本送交私募基金托管人，同时以电话形式向私募基金托管人确认；授权通知自私募基金托管人收到正本原件并电话确认后，方视为通知送达。授权通知在送达后，自其载明的启用日期开始生效，通知送达的日期晚于载明的启用日期的，则通知送达时生效。</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私募基金管理人和私募基金托管人对授权文件负有保密义务，其内容不得向授权人及相关操作人员以外的任何人泄露。</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szCs w:val="21"/>
        </w:rPr>
        <w:t>2、指令的内容</w:t>
      </w:r>
    </w:p>
    <w:p>
      <w:pPr>
        <w:pStyle w:val="a-BR778146"/>
        <w:spacing w:line="360" w:lineRule="auto"/>
        <w:ind w:firstLine="420" w:firstLineChars="200"/>
        <w:rPr>
          <w:rFonts w:ascii="宋体" w:hAnsi="宋体"/>
          <w:szCs w:val="21"/>
        </w:rPr>
      </w:pPr>
      <w:r>
        <w:rPr>
          <w:rFonts w:ascii="宋体" w:hAnsi="宋体" w:hint="eastAsia"/>
          <w:szCs w:val="21"/>
        </w:rPr>
        <w:t>指令是指在管理基金财产时，私募基金管理人向私募基金托管人发出的划款指令。私募基金管理人发给私募基金托管人的指令应按照私募基金托管人的要求写明划款要素信息，包括但不限于款项事由、指令的执行日期、金额、收付款账户信息等。私募基金管理人需通过私募基金托管人指定的电子指令平台提交电子形式指令，在提前告知私募基金托管人并经私募基金托管人同意的情形下，也可以通过电子邮件等形式向私募基金托管人发送符合其要求的纸质指令之电子扫描件。</w:t>
      </w:r>
    </w:p>
    <w:p>
      <w:pPr>
        <w:pStyle w:val="a-BR778146"/>
        <w:spacing w:line="360" w:lineRule="auto"/>
        <w:ind w:firstLine="420" w:firstLineChars="200"/>
        <w:rPr>
          <w:rFonts w:ascii="宋体" w:hAnsi="宋体"/>
          <w:b/>
          <w:bCs/>
          <w:szCs w:val="21"/>
        </w:rPr>
      </w:pPr>
      <w:r>
        <w:rPr>
          <w:rFonts w:ascii="宋体" w:hAnsi="宋体" w:hint="eastAsia"/>
          <w:szCs w:val="21"/>
        </w:rPr>
        <w:t>私募基金管理人通过私募基金托管人的电子指令平台提交场外投资指令的，应根据私募基金托管人的要求进行办理。如私募基金管理人提交电子指令的同时上传签章纸质指令扫描件的，私募基金管理人应确保电子指令与签章纸质指令扫描件（如有）的一致性，如不一致，私募基金托管人有权拒绝执行或以电子指令为准执行，</w:t>
      </w:r>
      <w:r>
        <w:rPr>
          <w:rFonts w:ascii="宋体" w:hAnsi="宋体" w:hint="eastAsia"/>
          <w:b/>
          <w:bCs/>
          <w:szCs w:val="21"/>
        </w:rPr>
        <w:t>但因不一致所造成的损失由管理人自行承担。</w:t>
      </w:r>
    </w:p>
    <w:p>
      <w:pPr>
        <w:pStyle w:val="a-BR778146"/>
        <w:spacing w:line="360" w:lineRule="auto"/>
        <w:ind w:firstLine="420" w:firstLineChars="200"/>
        <w:rPr>
          <w:rFonts w:ascii="宋体" w:hAnsi="宋体"/>
          <w:b/>
          <w:bCs/>
          <w:szCs w:val="21"/>
        </w:rPr>
      </w:pPr>
      <w:r>
        <w:rPr>
          <w:rFonts w:ascii="宋体" w:hAnsi="宋体"/>
          <w:szCs w:val="21"/>
        </w:rPr>
        <w:t>当本基金进行场外投资，私募基金管理人要求私募基金托管人从托管资金账户向指定的收款账户划款时，私募基金管理人应根据私募基金托管人要求提供相关资料的扫描件作为佐证材料。私募基金托管人对相关佐证材料内容的</w:t>
      </w:r>
      <w:r>
        <w:rPr>
          <w:rFonts w:ascii="宋体" w:hAnsi="宋体" w:hint="eastAsia"/>
          <w:szCs w:val="21"/>
        </w:rPr>
        <w:t>真实性、</w:t>
      </w:r>
      <w:r>
        <w:rPr>
          <w:rFonts w:ascii="宋体" w:hAnsi="宋体"/>
          <w:szCs w:val="21"/>
        </w:rPr>
        <w:t>合法</w:t>
      </w:r>
      <w:r>
        <w:rPr>
          <w:rFonts w:ascii="宋体" w:hAnsi="宋体" w:hint="eastAsia"/>
          <w:szCs w:val="21"/>
        </w:rPr>
        <w:t>合规</w:t>
      </w:r>
      <w:r>
        <w:rPr>
          <w:rFonts w:ascii="宋体" w:hAnsi="宋体"/>
          <w:szCs w:val="21"/>
        </w:rPr>
        <w:t>性、</w:t>
      </w:r>
      <w:r>
        <w:rPr>
          <w:rFonts w:ascii="宋体" w:hAnsi="宋体" w:hint="eastAsia"/>
          <w:szCs w:val="21"/>
        </w:rPr>
        <w:t>完整性、有效</w:t>
      </w:r>
      <w:r>
        <w:rPr>
          <w:rFonts w:ascii="宋体" w:hAnsi="宋体"/>
          <w:szCs w:val="21"/>
        </w:rPr>
        <w:t>性不进行审核。私募基金管理人应确保所提供的上述文件合法</w:t>
      </w:r>
      <w:r>
        <w:rPr>
          <w:rFonts w:ascii="宋体" w:hAnsi="宋体" w:hint="eastAsia"/>
          <w:szCs w:val="21"/>
        </w:rPr>
        <w:t>合规</w:t>
      </w:r>
      <w:r>
        <w:rPr>
          <w:rFonts w:ascii="宋体" w:hAnsi="宋体"/>
          <w:szCs w:val="21"/>
        </w:rPr>
        <w:t>、真实、完整和有效</w:t>
      </w:r>
      <w:r>
        <w:rPr>
          <w:rFonts w:ascii="宋体" w:hAnsi="宋体" w:hint="eastAsia"/>
          <w:szCs w:val="21"/>
        </w:rPr>
        <w:t>，并确保在上述投资到期或产品赎回</w:t>
      </w:r>
      <w:r>
        <w:rPr>
          <w:rFonts w:ascii="宋体" w:hAnsi="宋体"/>
          <w:szCs w:val="21"/>
        </w:rPr>
        <w:t>/终止后将本金及收益返回至本基金托管资金账户。</w:t>
      </w:r>
      <w:r>
        <w:rPr>
          <w:rFonts w:ascii="宋体" w:hAnsi="宋体"/>
          <w:b/>
          <w:bCs/>
          <w:szCs w:val="21"/>
        </w:rPr>
        <w:t>如果私募基金管理人无法提供相关交易文件的，私募基金托管人有权拒绝执行投资划款指令，由此造成的损失由私募基金管理人负责并承担。</w:t>
      </w:r>
      <w:r>
        <w:rPr>
          <w:rFonts w:ascii="宋体" w:hAnsi="宋体"/>
          <w:szCs w:val="21"/>
        </w:rPr>
        <w:t>私募基金管理人应确保相关交易文件的始终有效性、真实性、完整性、准确性。</w:t>
      </w:r>
    </w:p>
    <w:p>
      <w:pPr>
        <w:pStyle w:val="a-BR778146"/>
        <w:spacing w:line="360" w:lineRule="auto"/>
        <w:ind w:firstLine="420" w:firstLineChars="200"/>
        <w:rPr>
          <w:rFonts w:ascii="宋体" w:hAnsi="宋体"/>
          <w:szCs w:val="21"/>
        </w:rPr>
      </w:pPr>
      <w:r>
        <w:rPr>
          <w:rFonts w:ascii="宋体" w:hAnsi="宋体"/>
          <w:szCs w:val="21"/>
        </w:rPr>
        <w:t>3、指令的发送、确认和执行的时间及程序</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指令由授权书确定的被授权人代表私募基金管理人通过电子邮件发送扫描件或电子指令平台等方式向私募基金托管人发送。如通过电子邮件发送扫描件方式发送指令，私募基金管理人有义务在发送指令后与私募基金托管人以电话的方式进行确认。扫描件以获得收件人（私募基金托管人）确认该指令已成功接收之时视为送达。</w:t>
      </w:r>
      <w:r>
        <w:rPr>
          <w:rFonts w:ascii="宋体" w:hAnsi="宋体" w:hint="eastAsia"/>
          <w:b/>
          <w:bCs/>
          <w:szCs w:val="21"/>
        </w:rPr>
        <w:t>因私募基金管理人未能及时与私募基金托管人进行指令确认，致使资金未能及时出账所造成的损失，私募基金托管人不承担责任。</w:t>
      </w:r>
      <w:r>
        <w:rPr>
          <w:rFonts w:ascii="宋体" w:hAnsi="宋体" w:hint="eastAsia"/>
          <w:szCs w:val="21"/>
        </w:rPr>
        <w:t>如通过电子指令平台提交指令，私募基金管理人需在指令跟踪界面查看划款指令是否完成。</w:t>
      </w:r>
      <w:r>
        <w:rPr>
          <w:rFonts w:ascii="宋体" w:hAnsi="宋体" w:hint="eastAsia"/>
          <w:b/>
          <w:bCs/>
          <w:szCs w:val="21"/>
        </w:rPr>
        <w:t>因私募基金管理人未跟踪指令完成情况，致使资金未能及时出账所造成的损失，私募基金托管人不承担责任。</w:t>
      </w:r>
      <w:r>
        <w:rPr>
          <w:rFonts w:ascii="宋体" w:hAnsi="宋体" w:hint="eastAsia"/>
          <w:szCs w:val="21"/>
        </w:rPr>
        <w:t>私募基金托管人依照本合同约定的方法确认指令有效后，方可执行指令。</w:t>
      </w:r>
    </w:p>
    <w:p>
      <w:pPr>
        <w:pStyle w:val="a-BR778146"/>
        <w:spacing w:line="360" w:lineRule="auto"/>
        <w:ind w:firstLine="420" w:firstLineChars="200"/>
        <w:rPr>
          <w:rFonts w:ascii="宋体" w:hAnsi="宋体"/>
          <w:b/>
          <w:bCs/>
          <w:szCs w:val="21"/>
        </w:rPr>
      </w:pPr>
      <w:r>
        <w:rPr>
          <w:rFonts w:ascii="宋体" w:hAnsi="宋体" w:hint="eastAsia"/>
          <w:szCs w:val="21"/>
        </w:rPr>
        <w:t>对于被授权人依照“授权通知”发出的指令，私募基金管理人不得否认其效力。私募基金管理人应按照相关法律法规以及本合同的规定，在其合法的经营权限和交易权限内发送划款指令，被授权人应按照其授权权限发送划款指令。私募基金管理人在发送指令时，应为私募基金托管人留出执行指令所必需的时间。</w:t>
      </w:r>
      <w:r>
        <w:rPr>
          <w:rFonts w:ascii="宋体" w:hAnsi="宋体" w:hint="eastAsia"/>
          <w:kern w:val="0"/>
        </w:rPr>
        <w:t>在每个交易日的</w:t>
      </w:r>
      <w:r>
        <w:rPr>
          <w:rFonts w:ascii="宋体" w:hAnsi="宋体"/>
          <w:kern w:val="0"/>
        </w:rPr>
        <w:t>13</w:t>
      </w:r>
      <w:r>
        <w:rPr>
          <w:rFonts w:ascii="宋体" w:hAnsi="宋体" w:hint="eastAsia"/>
          <w:kern w:val="0"/>
        </w:rPr>
        <w:t>：</w:t>
      </w:r>
      <w:r>
        <w:rPr>
          <w:rFonts w:ascii="宋体" w:hAnsi="宋体"/>
          <w:kern w:val="0"/>
        </w:rPr>
        <w:t>00</w:t>
      </w:r>
      <w:r>
        <w:rPr>
          <w:rFonts w:ascii="宋体" w:hAnsi="宋体" w:hint="eastAsia"/>
          <w:kern w:val="0"/>
        </w:rPr>
        <w:t>以后接收私募基金管理人发出的场内交易转账、赎回、场外投资划款指令的，私募基金托管人不保证当日完成划转流程；在每个交易日的</w:t>
      </w:r>
      <w:r>
        <w:rPr>
          <w:rFonts w:ascii="宋体" w:hAnsi="宋体"/>
          <w:kern w:val="0"/>
        </w:rPr>
        <w:t>14</w:t>
      </w:r>
      <w:r>
        <w:rPr>
          <w:rFonts w:ascii="宋体" w:hAnsi="宋体" w:hint="eastAsia"/>
          <w:kern w:val="0"/>
        </w:rPr>
        <w:t>：</w:t>
      </w:r>
      <w:r>
        <w:rPr>
          <w:rFonts w:ascii="宋体" w:hAnsi="宋体"/>
          <w:kern w:val="0"/>
        </w:rPr>
        <w:t>30</w:t>
      </w:r>
      <w:r>
        <w:rPr>
          <w:rFonts w:ascii="宋体" w:hAnsi="宋体" w:hint="eastAsia"/>
          <w:kern w:val="0"/>
        </w:rPr>
        <w:t>以后接收私募基金管理人发出的其他划款指令，私募基金托管人不保证当日完成在银行的划付流程。</w:t>
      </w:r>
      <w:r>
        <w:rPr>
          <w:rFonts w:ascii="宋体" w:hAnsi="宋体" w:hint="eastAsia"/>
          <w:b/>
          <w:bCs/>
          <w:szCs w:val="21"/>
        </w:rPr>
        <w:t>因私募基金管理人原因造成的指令传输不及时、未能留出足够划款所需时间，致使资金未能及时出账或出现未到账项所造成的损失由私募基金管理人承担。</w:t>
      </w:r>
    </w:p>
    <w:p>
      <w:pPr>
        <w:pStyle w:val="a-BR778146"/>
        <w:spacing w:line="360" w:lineRule="auto"/>
        <w:ind w:firstLine="420" w:firstLineChars="200"/>
        <w:rPr>
          <w:rFonts w:ascii="宋体" w:hAnsi="宋体"/>
          <w:szCs w:val="21"/>
        </w:rPr>
      </w:pPr>
      <w:r>
        <w:rPr>
          <w:rFonts w:ascii="宋体" w:hAnsi="宋体" w:hint="eastAsia"/>
          <w:szCs w:val="21"/>
        </w:rPr>
        <w:t>私募基金托管人收到私募基金管理人发送的指令后，如为电子指令平台提交指令，应验证电子指令要素是否齐备。如为电子邮件发送划款指令扫描件，应对指令进行形式审查，验证指令的书面要素是否齐全、审核印鉴和签名是否和预留印鉴和签名样本表面相符，复核无误后及时执行。若对指令进行形式审查时或对指令要素如账户信息、金额、汇路存在异议或不符，私募基金托管人应立即与私募基金管理人进行联系和沟通，并要求私募基金管理人重新发送经修改的指令。私募基金托管人可以要求私募基金管理人提供相关交易凭证、合同或其他资料，以确保私募基金托管人有足够的资料来判断指令的有效性。对于银行间市场交易确认事宜，私募基金管理人应根据私募基金托管人要求进行办理。</w:t>
      </w:r>
    </w:p>
    <w:p>
      <w:pPr>
        <w:pStyle w:val="a-BR778146"/>
        <w:spacing w:line="360" w:lineRule="auto"/>
        <w:ind w:firstLine="420" w:firstLineChars="200"/>
        <w:rPr>
          <w:rFonts w:ascii="宋体" w:hAnsi="宋体"/>
          <w:szCs w:val="21"/>
        </w:rPr>
      </w:pPr>
      <w:r>
        <w:rPr>
          <w:rFonts w:ascii="宋体" w:hAnsi="宋体" w:hint="eastAsia"/>
          <w:b/>
          <w:szCs w:val="21"/>
        </w:rPr>
        <w:t>私募基金托管人仅根据私募基金管理人的授权文件对指令进行表面相符性的形式审查，对其真实性不承担责任。私募基金托管人不负责审查私募基金管理人发送指令同时提交的其他文件资料的合法性、真实性、完整性和有效性，私募基金管理人应保证上述文件资料合法、真实、完整和有效。如因私募基金管理人提供的上述文件不合法、不真实、不完整或失去效力而影响私募基金托管人的审核或给任何第三人带来损失，私募基金托管人不承担任何形式的责任。</w:t>
      </w:r>
    </w:p>
    <w:p>
      <w:pPr>
        <w:pStyle w:val="a-BR778146"/>
        <w:spacing w:line="360" w:lineRule="auto"/>
        <w:ind w:firstLine="420" w:firstLineChars="200"/>
        <w:rPr>
          <w:rFonts w:ascii="宋体" w:hAnsi="宋体"/>
          <w:b/>
          <w:szCs w:val="21"/>
        </w:rPr>
      </w:pPr>
      <w:r>
        <w:rPr>
          <w:rFonts w:ascii="宋体" w:hAnsi="宋体" w:hint="eastAsia"/>
          <w:b/>
          <w:szCs w:val="21"/>
        </w:rPr>
        <w:t>本基金的所有投资文件，包括投资协议以及其他与该投资相关的从协议或与履约保障有关的协议或决议（以下简称“从协议”，包括但不限于：股东会决议、担保协议、保证协议、抵押协议等协议）的签订及生效属于私募基金管理人的投资管理职责，由私募基金管理人自行控制，私募基金托管人对此不承担复核与监督责任，亦不构成私募基金托管人执行私募基金管理人划款指令的必要前提条件。投资者签署本基金合同即视为已知悉相关风险并同意上述安排。</w:t>
      </w:r>
    </w:p>
    <w:p>
      <w:pPr>
        <w:pStyle w:val="a-BR778146"/>
        <w:spacing w:line="360" w:lineRule="auto"/>
        <w:ind w:firstLine="420" w:firstLineChars="200"/>
        <w:rPr>
          <w:rFonts w:ascii="宋体" w:hAnsi="宋体"/>
          <w:szCs w:val="21"/>
        </w:rPr>
      </w:pPr>
      <w:r>
        <w:rPr>
          <w:rFonts w:ascii="宋体" w:hAnsi="宋体"/>
          <w:szCs w:val="21"/>
        </w:rPr>
        <w:t>4、</w:t>
      </w:r>
      <w:r>
        <w:rPr>
          <w:rFonts w:ascii="宋体" w:hAnsi="宋体" w:hint="eastAsia"/>
          <w:szCs w:val="21"/>
        </w:rPr>
        <w:t>私募基金托管人暂缓、拒绝执行指令的情形和处理程序</w:t>
      </w:r>
    </w:p>
    <w:p>
      <w:pPr>
        <w:pStyle w:val="a3-BR778146"/>
        <w:rPr>
          <w:rFonts w:ascii="宋体" w:hAnsi="宋体"/>
          <w:color w:val="auto"/>
        </w:rPr>
      </w:pPr>
      <w:r>
        <w:rPr>
          <w:rFonts w:ascii="宋体" w:hAnsi="宋体" w:hint="eastAsia"/>
          <w:color w:val="auto"/>
        </w:rPr>
        <w:t>私募基金托管人发现私募基金管理人发送的划款指令存在以下情形的，有权暂缓或拒绝执行，并及时通知私募基金管理人：</w:t>
      </w:r>
    </w:p>
    <w:p>
      <w:pPr>
        <w:pStyle w:val="a3-BR778146"/>
        <w:rPr>
          <w:rFonts w:ascii="宋体" w:hAnsi="宋体"/>
          <w:color w:val="auto"/>
        </w:rPr>
      </w:pPr>
      <w:r>
        <w:rPr>
          <w:rFonts w:ascii="宋体" w:hAnsi="宋体" w:hint="eastAsia"/>
          <w:color w:val="auto"/>
        </w:rPr>
        <w:t>（1）指令存在明显错误；</w:t>
      </w:r>
    </w:p>
    <w:p>
      <w:pPr>
        <w:pStyle w:val="a3-BR778146"/>
        <w:ind w:left="420" w:firstLine="0" w:firstLineChars="0"/>
        <w:rPr>
          <w:rFonts w:ascii="宋体" w:hAnsi="宋体"/>
          <w:color w:val="auto"/>
        </w:rPr>
      </w:pPr>
      <w:r>
        <w:rPr>
          <w:rFonts w:ascii="宋体" w:hAnsi="宋体" w:hint="eastAsia"/>
          <w:color w:val="auto"/>
        </w:rPr>
        <w:t>（2）指令信息模糊不清或未填写完整；</w:t>
      </w:r>
    </w:p>
    <w:p>
      <w:pPr>
        <w:pStyle w:val="a3-BR778146"/>
        <w:ind w:left="420" w:firstLine="0" w:firstLineChars="0"/>
        <w:rPr>
          <w:rFonts w:ascii="宋体" w:hAnsi="宋体"/>
          <w:color w:val="auto"/>
        </w:rPr>
      </w:pPr>
      <w:r>
        <w:rPr>
          <w:rFonts w:ascii="宋体" w:hAnsi="宋体" w:hint="eastAsia"/>
          <w:color w:val="auto"/>
        </w:rPr>
        <w:t>（</w:t>
      </w:r>
      <w:r>
        <w:rPr>
          <w:rFonts w:ascii="宋体" w:hAnsi="宋体" w:hint="eastAsia"/>
          <w:color w:val="auto"/>
          <w:lang w:val="en-US"/>
        </w:rPr>
        <w:t>3</w:t>
      </w:r>
      <w:r>
        <w:rPr>
          <w:rFonts w:ascii="宋体" w:hAnsi="宋体" w:hint="eastAsia"/>
          <w:color w:val="auto"/>
        </w:rPr>
        <w:t>）指令交割信息有误；</w:t>
      </w:r>
    </w:p>
    <w:p>
      <w:pPr>
        <w:pStyle w:val="a3-BR778146"/>
        <w:ind w:left="420" w:firstLine="0" w:firstLineChars="0"/>
        <w:rPr>
          <w:rFonts w:ascii="宋体" w:hAnsi="宋体"/>
          <w:color w:val="auto"/>
        </w:rPr>
      </w:pPr>
      <w:r>
        <w:rPr>
          <w:rFonts w:ascii="宋体" w:hAnsi="宋体" w:hint="eastAsia"/>
          <w:color w:val="auto"/>
        </w:rPr>
        <w:t>（</w:t>
      </w:r>
      <w:r>
        <w:rPr>
          <w:rFonts w:ascii="宋体" w:hAnsi="宋体" w:hint="eastAsia"/>
          <w:color w:val="auto"/>
          <w:lang w:val="en-US"/>
        </w:rPr>
        <w:t>4</w:t>
      </w:r>
      <w:r>
        <w:rPr>
          <w:rFonts w:ascii="宋体" w:hAnsi="宋体" w:hint="eastAsia"/>
          <w:color w:val="auto"/>
        </w:rPr>
        <w:t>）指令事实上无法执行或执行后资金无法成功划付的；</w:t>
      </w:r>
    </w:p>
    <w:p>
      <w:pPr>
        <w:pStyle w:val="a3-BR778146"/>
        <w:autoSpaceDE w:val="0"/>
        <w:autoSpaceDN w:val="0"/>
        <w:adjustRightInd w:val="0"/>
        <w:ind w:firstLineChars="0"/>
        <w:jc w:val="left"/>
        <w:rPr>
          <w:rFonts w:ascii="宋体" w:hAnsi="宋体"/>
          <w:color w:val="auto"/>
        </w:rPr>
      </w:pPr>
      <w:r>
        <w:rPr>
          <w:rFonts w:ascii="宋体" w:hAnsi="宋体" w:hint="eastAsia"/>
          <w:color w:val="auto"/>
        </w:rPr>
        <w:t>私募基金管理人收到通知后应及时核对，并予以纠正，如未及时纠正由此造成的损失由私募基金管理人承担。</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5</w:t>
      </w:r>
      <w:r>
        <w:rPr>
          <w:rFonts w:ascii="宋体" w:hAnsi="宋体"/>
          <w:szCs w:val="21"/>
        </w:rPr>
        <w:t>、更换被授权人的程序</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私募基金管理人撤换被授权人员或改变被授权人员的权限，必须提前至少三个交易日，向私募基金托管人发送加盖公章和法定代表人/执行事务合伙人（或授权代表）名章的被授权人变更通知正本原件（包括人员名单、签字样本、相应权限、预留印鉴、启用日期等），同时电话通知私募基金托管人。被授权人变更通知自私募基金托管人收到正本原件并向私募基金管理人电话确认后，方视为通知送达。被授权人变更通知在送达后，自其载明的启用日期起开始生效。通知送达的日期晚于载明的启用日期的，则通知送达时生效，原授权文件同时废止。被授权人变更通知生效前，私募基金托管人仍应按原约定执行指令，私募基金管理人不得否认其效力。</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6</w:t>
      </w:r>
      <w:r>
        <w:rPr>
          <w:rFonts w:ascii="宋体" w:hAnsi="宋体"/>
          <w:szCs w:val="21"/>
        </w:rPr>
        <w:t>、指令的保管</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指令若以电子指令平台形式提交，则以电子数据的形式保管。指令若以扫描件形式发出，则正本由私募基金管理人保管，私募基金托管人保管指令扫描件。当两者不一致时，以私募基金托管人收到的指令扫描件为准。</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szCs w:val="21"/>
        </w:rPr>
        <w:t>7</w:t>
      </w:r>
      <w:r>
        <w:rPr>
          <w:rFonts w:ascii="宋体" w:hAnsi="宋体"/>
          <w:szCs w:val="21"/>
        </w:rPr>
        <w:t>、相关责任</w:t>
      </w:r>
    </w:p>
    <w:p>
      <w:pPr>
        <w:pStyle w:val="a-BR778146"/>
        <w:autoSpaceDE w:val="0"/>
        <w:autoSpaceDN w:val="0"/>
        <w:adjustRightInd w:val="0"/>
        <w:spacing w:line="360" w:lineRule="auto"/>
        <w:ind w:firstLine="420" w:firstLineChars="200"/>
        <w:jc w:val="left"/>
        <w:rPr>
          <w:rFonts w:ascii="宋体" w:hAnsi="宋体"/>
          <w:szCs w:val="21"/>
        </w:rPr>
      </w:pPr>
      <w:r>
        <w:rPr>
          <w:rFonts w:ascii="宋体" w:hAnsi="宋体" w:hint="eastAsia"/>
          <w:b/>
          <w:szCs w:val="21"/>
        </w:rPr>
        <w:t>私募基金托管人正确执行私募基金管理人符合本合同约定的划款指令，基金财产发生损失的，私募基金托管人不承担任何形式的责任。</w:t>
      </w:r>
      <w:r>
        <w:rPr>
          <w:rFonts w:ascii="宋体" w:hAnsi="宋体" w:hint="eastAsia"/>
          <w:szCs w:val="21"/>
        </w:rPr>
        <w:t>在遵循本合同约定的业务受理渠道及在指令预留处理的时间内，因私募基金托管人原因未能及时或正确执行符合本合同约定的划款指令而导致基金财产受损的，私募基金托管人应承担相应的责任，但托管资金账户及其他账户余额不足或私募基金托管人遇到不可抗力的情况除外。</w:t>
      </w:r>
    </w:p>
    <w:p>
      <w:pPr>
        <w:pStyle w:val="a-BR778146"/>
        <w:autoSpaceDE w:val="0"/>
        <w:autoSpaceDN w:val="0"/>
        <w:adjustRightInd w:val="0"/>
        <w:spacing w:line="360" w:lineRule="auto"/>
        <w:ind w:firstLine="420" w:firstLineChars="200"/>
        <w:jc w:val="left"/>
        <w:rPr>
          <w:rFonts w:ascii="宋体" w:hAnsi="宋体"/>
          <w:b/>
          <w:szCs w:val="21"/>
        </w:rPr>
      </w:pPr>
      <w:r>
        <w:rPr>
          <w:rFonts w:ascii="宋体" w:hAnsi="宋体" w:hint="eastAsia"/>
          <w:b/>
          <w:szCs w:val="21"/>
        </w:rPr>
        <w:t>如果私募基金管理人的划款指令存在事实上未经授权、欺诈、伪造等非私募基金托管人原因造成的情形，只要私募基金托管人根据本合同相关约定验证有关印鉴与签名无误，私募基金托管人不承担因正确执行有关指令而给私募基金管理人或基金财产或任何第三人带来的损失，全部责任由私募基金管理人承担。</w:t>
      </w:r>
    </w:p>
    <w:p>
      <w:pPr>
        <w:pStyle w:val="a7-BR422077"/>
        <w:rPr>
          <w:sz w:val="21"/>
          <w:szCs w:val="21"/>
        </w:rPr>
      </w:pPr>
      <w:bookmarkStart w:id="30" w:name="_Toc256000014"/>
      <w:r>
        <w:rPr>
          <w:rFonts w:hint="eastAsia"/>
          <w:sz w:val="21"/>
          <w:szCs w:val="21"/>
        </w:rPr>
        <w:t>十四、越权交易处理</w:t>
      </w:r>
      <w:bookmarkEnd w:id="30"/>
    </w:p>
    <w:p>
      <w:pPr>
        <w:pStyle w:val="a-BR422077"/>
        <w:spacing w:line="360" w:lineRule="auto"/>
        <w:ind w:firstLine="420" w:firstLineChars="200"/>
        <w:rPr>
          <w:rFonts w:ascii="宋体" w:hAnsi="宋体"/>
          <w:szCs w:val="21"/>
        </w:rPr>
      </w:pPr>
      <w:r>
        <w:rPr>
          <w:rFonts w:ascii="宋体" w:hAnsi="宋体" w:hint="eastAsia"/>
          <w:szCs w:val="21"/>
        </w:rPr>
        <w:t>（一）越权交易的界定</w:t>
      </w:r>
    </w:p>
    <w:p>
      <w:pPr>
        <w:pStyle w:val="a-BR422077"/>
        <w:spacing w:line="360" w:lineRule="auto"/>
        <w:ind w:firstLine="420" w:firstLineChars="200"/>
        <w:rPr>
          <w:rFonts w:ascii="宋体" w:hAnsi="宋体"/>
          <w:szCs w:val="21"/>
        </w:rPr>
      </w:pPr>
      <w:r>
        <w:rPr>
          <w:rFonts w:ascii="宋体" w:hAnsi="宋体" w:hint="eastAsia"/>
          <w:szCs w:val="21"/>
        </w:rPr>
        <w:t>越权交易是指私募基金管理人违反法律、行政法规和其他有关规定或本合同约定的投资交易行为。</w:t>
      </w:r>
    </w:p>
    <w:p>
      <w:pPr>
        <w:pStyle w:val="a-BR422077"/>
        <w:spacing w:line="360" w:lineRule="auto"/>
        <w:ind w:firstLine="420" w:firstLineChars="200"/>
        <w:rPr>
          <w:rFonts w:ascii="宋体" w:hAnsi="宋体"/>
          <w:szCs w:val="21"/>
        </w:rPr>
      </w:pPr>
      <w:r>
        <w:rPr>
          <w:rFonts w:ascii="宋体" w:hAnsi="宋体" w:hint="eastAsia"/>
          <w:szCs w:val="21"/>
        </w:rPr>
        <w:t>私募基金管理人应在本合同约定的权限内运用基金财产进行投资管理，不得违反本合同的约定，超越权限从事投资。</w:t>
      </w:r>
    </w:p>
    <w:p>
      <w:pPr>
        <w:pStyle w:val="a-BR422077"/>
        <w:spacing w:line="360" w:lineRule="auto"/>
        <w:ind w:firstLine="420" w:firstLineChars="200"/>
        <w:rPr>
          <w:rFonts w:ascii="宋体" w:hAnsi="宋体"/>
          <w:szCs w:val="21"/>
        </w:rPr>
      </w:pPr>
      <w:r>
        <w:rPr>
          <w:rFonts w:ascii="宋体" w:hAnsi="宋体" w:hint="eastAsia"/>
          <w:szCs w:val="21"/>
        </w:rPr>
        <w:t>（二）越权交易的处理程序</w:t>
      </w:r>
    </w:p>
    <w:p>
      <w:pPr>
        <w:pStyle w:val="a-BR422077"/>
        <w:spacing w:line="360" w:lineRule="auto"/>
        <w:ind w:firstLine="420" w:firstLineChars="200"/>
        <w:rPr>
          <w:rFonts w:ascii="宋体" w:hAnsi="宋体"/>
          <w:szCs w:val="21"/>
        </w:rPr>
      </w:pPr>
      <w:r>
        <w:rPr>
          <w:rFonts w:ascii="宋体" w:hAnsi="宋体"/>
          <w:szCs w:val="21"/>
        </w:rPr>
        <w:t>1</w:t>
      </w:r>
      <w:r>
        <w:rPr>
          <w:rFonts w:ascii="宋体" w:hAnsi="宋体" w:hint="eastAsia"/>
          <w:szCs w:val="21"/>
        </w:rPr>
        <w:t>、违反有关法律法规和本合同规定进行的投资交易行为</w:t>
      </w:r>
    </w:p>
    <w:p>
      <w:pPr>
        <w:pStyle w:val="a-BR422077"/>
        <w:spacing w:line="360" w:lineRule="auto"/>
        <w:ind w:firstLine="420" w:firstLineChars="200"/>
        <w:rPr>
          <w:rFonts w:ascii="宋体" w:hAnsi="宋体"/>
          <w:szCs w:val="21"/>
        </w:rPr>
      </w:pPr>
      <w:r>
        <w:rPr>
          <w:rFonts w:ascii="宋体" w:hAnsi="宋体" w:hint="eastAsia"/>
          <w:szCs w:val="21"/>
        </w:rPr>
        <w:t>私募基金托管人发现私募基金管理人发出但未执行的投资指令违反法律、行政法规和其他有关规定，或者违反本合同《投资监督事项表》约定的，有权拒绝执行，通知私募基金管理人并有权依据相关</w:t>
      </w:r>
      <w:r>
        <w:rPr>
          <w:rFonts w:ascii="宋体" w:hAnsi="宋体"/>
          <w:szCs w:val="21"/>
        </w:rPr>
        <w:t>法律法规的要求</w:t>
      </w:r>
      <w:r>
        <w:rPr>
          <w:rFonts w:ascii="宋体" w:hAnsi="宋体" w:hint="eastAsia"/>
          <w:szCs w:val="21"/>
        </w:rPr>
        <w:t>报告中国基金业协会。</w:t>
      </w:r>
    </w:p>
    <w:p>
      <w:pPr>
        <w:pStyle w:val="a-BR422077"/>
        <w:spacing w:line="360" w:lineRule="auto"/>
        <w:ind w:firstLine="420" w:firstLineChars="200"/>
        <w:rPr>
          <w:rFonts w:ascii="宋体" w:hAnsi="宋体"/>
          <w:szCs w:val="21"/>
        </w:rPr>
      </w:pPr>
      <w:r>
        <w:rPr>
          <w:rFonts w:ascii="宋体" w:hAnsi="宋体" w:hint="eastAsia"/>
          <w:szCs w:val="21"/>
        </w:rPr>
        <w:t>私募基金托管人发现私募基金管理人依据交易程序已经生效的投资指令违反法律行政法规和其他有关规定，或者违反本合同《投资监督事项表》约定的，事后通知私募基金管理人并有权依据相关</w:t>
      </w:r>
      <w:r>
        <w:rPr>
          <w:rFonts w:ascii="宋体" w:hAnsi="宋体"/>
          <w:szCs w:val="21"/>
        </w:rPr>
        <w:t>法律法规的要求</w:t>
      </w:r>
      <w:r>
        <w:rPr>
          <w:rFonts w:ascii="宋体" w:hAnsi="宋体" w:hint="eastAsia"/>
          <w:szCs w:val="21"/>
        </w:rPr>
        <w:t>报告中国基金业协会。私募基金管理人收到私募基金托管人通知后应及时核对与纠正，并以书面形式就私募基金托管人的疑义进行解释或举证，私募基金托管人有权随时对通知事项进行复查。因执行该指令造成的损失私募基金托管人不承担任何责任。</w:t>
      </w:r>
    </w:p>
    <w:p>
      <w:pPr>
        <w:pStyle w:val="a-BR422077"/>
        <w:spacing w:line="360" w:lineRule="auto"/>
        <w:ind w:firstLine="420" w:firstLineChars="200"/>
        <w:rPr>
          <w:rFonts w:ascii="宋体" w:hAnsi="宋体"/>
          <w:szCs w:val="21"/>
        </w:rPr>
      </w:pPr>
      <w:r>
        <w:rPr>
          <w:rFonts w:ascii="宋体" w:hAnsi="宋体" w:hint="eastAsia"/>
          <w:szCs w:val="21"/>
        </w:rPr>
        <w:t>私募基金管理人应向基金份额持有人和私募基金托管人主动报告越权交易。在本基金存续期内，基金份额持有人和私募基金托管人有权随时对通知事项进行复查，督促私募基金管理人改正。私募基金管理人对基金份额持有人和私募基金托管人通知的越权事项未能及时纠正的，私募基金托管人有权依据相关</w:t>
      </w:r>
      <w:r>
        <w:rPr>
          <w:rFonts w:ascii="宋体" w:hAnsi="宋体"/>
          <w:szCs w:val="21"/>
        </w:rPr>
        <w:t>法律法规的要求</w:t>
      </w:r>
      <w:r>
        <w:rPr>
          <w:rFonts w:ascii="宋体" w:hAnsi="宋体" w:hint="eastAsia"/>
          <w:szCs w:val="21"/>
        </w:rPr>
        <w:t>报告基金业协会。</w:t>
      </w:r>
    </w:p>
    <w:p>
      <w:pPr>
        <w:pStyle w:val="a-BR422077"/>
        <w:spacing w:line="360" w:lineRule="auto"/>
        <w:ind w:firstLine="420" w:firstLineChars="200"/>
        <w:rPr>
          <w:rFonts w:ascii="宋体" w:hAnsi="宋体"/>
          <w:szCs w:val="21"/>
        </w:rPr>
      </w:pPr>
      <w:r>
        <w:rPr>
          <w:rFonts w:ascii="宋体" w:hAnsi="宋体"/>
          <w:szCs w:val="21"/>
        </w:rPr>
        <w:t>2</w:t>
      </w:r>
      <w:r>
        <w:rPr>
          <w:rFonts w:ascii="宋体" w:hAnsi="宋体" w:hint="eastAsia"/>
          <w:szCs w:val="21"/>
        </w:rPr>
        <w:t>、越权交易所发生的损失及相关交易费用由私募基金管理人负担，所发生的收益归本基金财产所有。</w:t>
      </w:r>
    </w:p>
    <w:p>
      <w:pPr>
        <w:pStyle w:val="a-BR422077"/>
        <w:spacing w:line="360" w:lineRule="auto"/>
        <w:ind w:firstLine="420" w:firstLineChars="200"/>
        <w:rPr>
          <w:rFonts w:ascii="宋体" w:hAnsi="宋体"/>
          <w:szCs w:val="21"/>
        </w:rPr>
      </w:pPr>
      <w:r>
        <w:rPr>
          <w:rFonts w:ascii="宋体" w:hAnsi="宋体" w:hint="eastAsia"/>
          <w:szCs w:val="21"/>
        </w:rPr>
        <w:t>（三</w:t>
      </w:r>
      <w:r>
        <w:rPr>
          <w:rFonts w:ascii="宋体" w:hAnsi="宋体"/>
          <w:szCs w:val="21"/>
        </w:rPr>
        <w:t>）</w:t>
      </w:r>
      <w:r>
        <w:rPr>
          <w:rFonts w:ascii="宋体" w:hAnsi="宋体" w:hint="eastAsia"/>
          <w:szCs w:val="21"/>
        </w:rPr>
        <w:t>私募基金托管人</w:t>
      </w:r>
      <w:r>
        <w:rPr>
          <w:rFonts w:ascii="宋体" w:hAnsi="宋体"/>
          <w:szCs w:val="21"/>
        </w:rPr>
        <w:t>对私募基金管理人的投资监督</w:t>
      </w:r>
    </w:p>
    <w:p>
      <w:pPr>
        <w:pStyle w:val="a-BR422077"/>
        <w:spacing w:line="360" w:lineRule="auto"/>
        <w:ind w:firstLine="420" w:firstLineChars="200"/>
        <w:rPr>
          <w:rFonts w:ascii="宋体" w:hAnsi="宋体"/>
          <w:b/>
          <w:bCs/>
          <w:szCs w:val="21"/>
        </w:rPr>
      </w:pPr>
      <w:r>
        <w:rPr>
          <w:rFonts w:ascii="宋体" w:hAnsi="宋体"/>
          <w:szCs w:val="21"/>
        </w:rPr>
        <w:t>1、</w:t>
      </w:r>
      <w:r>
        <w:rPr>
          <w:rFonts w:ascii="宋体" w:hAnsi="宋体" w:hint="eastAsia"/>
          <w:szCs w:val="21"/>
        </w:rPr>
        <w:t>私募基金托管人依据经核对一致的估值数据对私募基金管理人的投资行为行使监督权。私募基金托管人根据《投资监督事项表》的约定，对本基金的直接投资进行监督。</w:t>
      </w:r>
      <w:r>
        <w:rPr>
          <w:rFonts w:ascii="宋体" w:hAnsi="宋体" w:hint="eastAsia"/>
          <w:b/>
          <w:bCs/>
          <w:szCs w:val="21"/>
        </w:rPr>
        <w:t>因私募基金托管人无法及时获取估值所需资料或其他本合同约定的暂停估值情形，导致私募基金托管人无法行使监督权的，私募基金托管人对此导致的一切后果不承担任何责任。</w:t>
      </w:r>
      <w:r>
        <w:rPr>
          <w:rFonts w:hint="eastAsia"/>
          <w:b/>
          <w:bCs/>
          <w:szCs w:val="21"/>
        </w:rPr>
        <w:t>私募基金托管人仅以</w:t>
      </w:r>
      <w:r>
        <w:rPr>
          <w:rFonts w:ascii="宋体" w:hAnsi="宋体" w:hint="eastAsia"/>
          <w:b/>
          <w:bCs/>
          <w:szCs w:val="21"/>
        </w:rPr>
        <w:t>《投资监督事项表》</w:t>
      </w:r>
      <w:r>
        <w:rPr>
          <w:rFonts w:hint="eastAsia"/>
          <w:b/>
          <w:bCs/>
          <w:szCs w:val="21"/>
        </w:rPr>
        <w:t>为限对本基金的直接投资履行投资监督职责，不对本基金资产的最终投向、资产比例</w:t>
      </w:r>
      <w:r>
        <w:rPr>
          <w:rFonts w:ascii="宋体" w:hAnsi="宋体" w:hint="eastAsia"/>
          <w:b/>
          <w:bCs/>
          <w:szCs w:val="21"/>
        </w:rPr>
        <w:t>及其他投资风控指标</w:t>
      </w:r>
      <w:r>
        <w:rPr>
          <w:rFonts w:hint="eastAsia"/>
          <w:b/>
          <w:bCs/>
          <w:szCs w:val="21"/>
        </w:rPr>
        <w:t>是否符合</w:t>
      </w:r>
      <w:r>
        <w:rPr>
          <w:rFonts w:ascii="宋体" w:hAnsi="宋体" w:hint="eastAsia"/>
          <w:b/>
          <w:bCs/>
          <w:szCs w:val="21"/>
        </w:rPr>
        <w:t>《投资监督事项表》的约定进行穿透核查</w:t>
      </w:r>
      <w:r>
        <w:rPr>
          <w:rFonts w:hint="eastAsia"/>
          <w:b/>
          <w:bCs/>
          <w:szCs w:val="21"/>
        </w:rPr>
        <w:t>，对私募基金管理人</w:t>
      </w:r>
      <w:r>
        <w:rPr>
          <w:rFonts w:ascii="宋体" w:hAnsi="宋体" w:hint="eastAsia"/>
          <w:b/>
          <w:bCs/>
          <w:szCs w:val="21"/>
        </w:rPr>
        <w:t>的其他职责和行为不承担监督责任。</w:t>
      </w:r>
    </w:p>
    <w:p>
      <w:pPr>
        <w:pStyle w:val="a-BR422077"/>
        <w:spacing w:line="360" w:lineRule="auto"/>
        <w:ind w:firstLine="420" w:firstLineChars="200"/>
        <w:rPr>
          <w:rFonts w:ascii="宋体" w:hAnsi="宋体"/>
          <w:b/>
          <w:bCs/>
          <w:szCs w:val="21"/>
        </w:rPr>
      </w:pPr>
      <w:r>
        <w:rPr>
          <w:rFonts w:ascii="宋体" w:hAnsi="宋体"/>
          <w:b/>
          <w:bCs/>
          <w:szCs w:val="21"/>
        </w:rPr>
        <w:t>2</w:t>
      </w:r>
      <w:r>
        <w:rPr>
          <w:rFonts w:ascii="宋体" w:hAnsi="宋体" w:hint="eastAsia"/>
          <w:b/>
          <w:bCs/>
          <w:szCs w:val="21"/>
        </w:rPr>
        <w:t>、托管资金账户向证券交易资金账户、期货账户、银行间</w:t>
      </w:r>
      <w:r>
        <w:rPr>
          <w:rFonts w:ascii="宋体" w:hAnsi="宋体"/>
          <w:b/>
          <w:bCs/>
          <w:szCs w:val="21"/>
        </w:rPr>
        <w:t>DVP账户等各类资金账户进行的转账活动，不属于基金的投资活动，私募基金托管人对此不负有监督义务。</w:t>
      </w:r>
    </w:p>
    <w:p>
      <w:pPr>
        <w:pStyle w:val="a-BR422077"/>
        <w:spacing w:line="360" w:lineRule="auto"/>
        <w:ind w:firstLine="315" w:firstLineChars="150"/>
        <w:rPr>
          <w:rFonts w:ascii="宋体" w:hAnsi="宋体"/>
          <w:b/>
          <w:bCs/>
          <w:szCs w:val="21"/>
        </w:rPr>
      </w:pPr>
      <w:r>
        <w:rPr>
          <w:rFonts w:ascii="宋体" w:hAnsi="宋体"/>
          <w:b/>
          <w:bCs/>
          <w:szCs w:val="21"/>
        </w:rPr>
        <w:t>3、</w:t>
      </w:r>
      <w:r>
        <w:rPr>
          <w:rFonts w:ascii="宋体" w:hAnsi="宋体" w:cs="宋体" w:hint="eastAsia"/>
          <w:b/>
          <w:bCs/>
          <w:kern w:val="0"/>
          <w:szCs w:val="21"/>
        </w:rPr>
        <w:t>私</w:t>
      </w:r>
      <w:r>
        <w:rPr>
          <w:rFonts w:ascii="宋体" w:hAnsi="宋体" w:cs="宋体" w:hint="eastAsia"/>
          <w:b/>
          <w:kern w:val="0"/>
          <w:szCs w:val="21"/>
        </w:rPr>
        <w:t>募基金托管人对私募基金管理人依据交易程序已经生效的投资指令（包括但不限于所有通过证券账户、信用账户、衍生品资金账户、期货资金账户进行的投资活动）不负有事前、事中控制义务，对于私募基金管理人依据交易程序已经生效的投资指令违反本合同《投资监督事项表》约定的，私募基金托管人仅负有事后提示义务。</w:t>
      </w:r>
    </w:p>
    <w:p>
      <w:pPr>
        <w:pStyle w:val="a-BR422077"/>
        <w:spacing w:line="360" w:lineRule="auto"/>
        <w:ind w:firstLine="420" w:firstLineChars="200"/>
        <w:rPr>
          <w:rFonts w:ascii="宋体" w:hAnsi="宋体"/>
          <w:szCs w:val="21"/>
        </w:rPr>
      </w:pPr>
      <w:r>
        <w:rPr>
          <w:rFonts w:ascii="宋体" w:hAnsi="宋体"/>
          <w:szCs w:val="21"/>
        </w:rPr>
        <w:t>4、</w:t>
      </w:r>
      <w:r>
        <w:rPr>
          <w:rFonts w:ascii="宋体" w:hAnsi="宋体" w:hint="eastAsia"/>
          <w:szCs w:val="21"/>
        </w:rPr>
        <w:t>私募基金托管人根据本合同《投资监督事项表》约定对基金财产的监督和检查自本基金成立日起开始，</w:t>
      </w:r>
      <w:r>
        <w:rPr>
          <w:rFonts w:ascii="宋体" w:hAnsi="宋体"/>
          <w:szCs w:val="21"/>
        </w:rPr>
        <w:t>至本基金</w:t>
      </w:r>
      <w:r>
        <w:rPr>
          <w:rFonts w:ascii="宋体" w:hAnsi="宋体" w:hint="eastAsia"/>
          <w:szCs w:val="21"/>
        </w:rPr>
        <w:t>终止日结束。</w:t>
      </w:r>
    </w:p>
    <w:p>
      <w:pPr>
        <w:pStyle w:val="a-BR422077"/>
        <w:spacing w:line="360" w:lineRule="auto"/>
        <w:ind w:firstLine="420" w:firstLineChars="200"/>
        <w:rPr>
          <w:rFonts w:ascii="宋体" w:hAnsi="宋体"/>
          <w:szCs w:val="21"/>
        </w:rPr>
      </w:pPr>
      <w:r>
        <w:rPr>
          <w:rFonts w:ascii="宋体" w:hAnsi="宋体"/>
          <w:szCs w:val="21"/>
        </w:rPr>
        <w:t>5、</w:t>
      </w:r>
      <w:r>
        <w:rPr>
          <w:rFonts w:ascii="宋体" w:hAnsi="宋体" w:hint="eastAsia"/>
          <w:szCs w:val="21"/>
        </w:rPr>
        <w:t>本基金</w:t>
      </w:r>
      <w:r>
        <w:rPr>
          <w:rFonts w:ascii="宋体" w:hAnsi="宋体"/>
          <w:szCs w:val="21"/>
        </w:rPr>
        <w:t>进入清算程序</w:t>
      </w:r>
      <w:r>
        <w:rPr>
          <w:rFonts w:ascii="宋体" w:hAnsi="宋体" w:hint="eastAsia"/>
          <w:szCs w:val="21"/>
        </w:rPr>
        <w:t>后，私募基金管理人有权对基金财产所投资证券进行变现，由此造成投资比例等不符合投资政策规定的，不属于越权交易。</w:t>
      </w:r>
    </w:p>
    <w:p>
      <w:pPr>
        <w:pStyle w:val="a-BR422077"/>
        <w:spacing w:line="360" w:lineRule="auto"/>
        <w:ind w:firstLine="420" w:firstLineChars="200"/>
        <w:rPr>
          <w:rFonts w:ascii="宋体" w:hAnsi="宋体"/>
          <w:b/>
          <w:bCs/>
          <w:szCs w:val="21"/>
        </w:rPr>
      </w:pPr>
      <w:r>
        <w:rPr>
          <w:rFonts w:ascii="宋体" w:hAnsi="宋体"/>
          <w:b/>
          <w:bCs/>
          <w:szCs w:val="21"/>
        </w:rPr>
        <w:t>6、</w:t>
      </w:r>
      <w:r>
        <w:rPr>
          <w:rFonts w:ascii="宋体" w:hAnsi="宋体" w:hint="eastAsia"/>
          <w:b/>
          <w:bCs/>
          <w:szCs w:val="21"/>
        </w:rPr>
        <w:t>私募基金托管人投资监督的真实性、准确性和完整性受限于私募基金管理人、证券经纪商、期货经纪商及其他中介机构提供的数据和信息，合规投资的责任在私募基金管理人。私募基金托管人对这些机构的信息的真实性、准确性和完整性不作任何担保、暗示或表示，并对上述机构提供的信息的错误和遗漏所引起的损失不承担任何责任。</w:t>
      </w:r>
    </w:p>
    <w:p>
      <w:pPr>
        <w:pStyle w:val="a-BR422077"/>
        <w:spacing w:line="360" w:lineRule="auto"/>
        <w:ind w:firstLine="420" w:firstLineChars="200"/>
        <w:rPr>
          <w:rFonts w:ascii="宋体" w:hAnsi="宋体"/>
          <w:szCs w:val="21"/>
        </w:rPr>
      </w:pPr>
      <w:r>
        <w:rPr>
          <w:rFonts w:ascii="宋体" w:hAnsi="宋体"/>
          <w:b/>
          <w:bCs/>
          <w:szCs w:val="21"/>
        </w:rPr>
        <w:t>7、</w:t>
      </w:r>
      <w:r>
        <w:rPr>
          <w:rFonts w:ascii="宋体" w:hAnsi="宋体" w:hint="eastAsia"/>
          <w:b/>
          <w:bCs/>
          <w:szCs w:val="21"/>
        </w:rPr>
        <w:t>私募基金托管人无投资责任，对私募基金管理人的任何投资行为（包括但不限于其投资策略及决定）或其投资回报或由于基金产品设计缺陷或越权交易造成的任何损失不承担任何责任。私募基金托管人按照本合同约定履行了投资监督义务的，不对私募基金管理人的行为承担任何补充或连带责任。私募基金托管人不会因为提供投资监督提示而承担任何因私募基金管理人违规投资所产生的有关责任，也没有义务去采取任何手段回应任何与投资监督提示有关的信息和报道。</w:t>
      </w:r>
    </w:p>
    <w:p>
      <w:pPr>
        <w:pStyle w:val="a8-BR506228"/>
        <w:rPr>
          <w:sz w:val="21"/>
          <w:szCs w:val="21"/>
        </w:rPr>
      </w:pPr>
      <w:bookmarkStart w:id="31" w:name="_Toc256000015"/>
      <w:r>
        <w:rPr>
          <w:rFonts w:hint="eastAsia"/>
          <w:sz w:val="21"/>
          <w:szCs w:val="21"/>
        </w:rPr>
        <w:t>十五、私募基金财产的估值和会计核算</w:t>
      </w:r>
      <w:bookmarkEnd w:id="31"/>
    </w:p>
    <w:p>
      <w:pPr>
        <w:pStyle w:val="a-BR506228"/>
        <w:spacing w:line="360" w:lineRule="auto"/>
        <w:ind w:firstLine="420" w:firstLineChars="200"/>
        <w:rPr>
          <w:rFonts w:ascii="宋体" w:hAnsi="宋体"/>
          <w:szCs w:val="21"/>
        </w:rPr>
      </w:pPr>
      <w:r>
        <w:rPr>
          <w:rFonts w:ascii="宋体" w:hAnsi="宋体" w:hint="eastAsia"/>
          <w:szCs w:val="21"/>
        </w:rPr>
        <w:t>（一）基金财产的估值</w:t>
      </w:r>
    </w:p>
    <w:p>
      <w:pPr>
        <w:pStyle w:val="a-BR506228"/>
        <w:spacing w:line="360" w:lineRule="auto"/>
        <w:ind w:firstLine="420" w:firstLineChars="200"/>
        <w:rPr>
          <w:rFonts w:ascii="宋体" w:hAnsi="宋体"/>
          <w:szCs w:val="21"/>
        </w:rPr>
      </w:pPr>
      <w:r>
        <w:rPr>
          <w:rFonts w:ascii="宋体" w:hAnsi="宋体"/>
          <w:szCs w:val="21"/>
        </w:rPr>
        <w:t>1</w:t>
      </w:r>
      <w:r>
        <w:rPr>
          <w:rFonts w:ascii="宋体" w:hAnsi="宋体" w:hint="eastAsia"/>
          <w:szCs w:val="21"/>
        </w:rPr>
        <w:t>、估值时间</w:t>
      </w:r>
    </w:p>
    <w:p>
      <w:pPr>
        <w:pStyle w:val="a-BR506228"/>
        <w:spacing w:line="360" w:lineRule="auto"/>
        <w:ind w:firstLine="420" w:firstLineChars="200"/>
        <w:rPr>
          <w:rFonts w:ascii="宋体" w:hAnsi="宋体"/>
          <w:szCs w:val="21"/>
        </w:rPr>
      </w:pPr>
      <w:r>
        <w:rPr>
          <w:rFonts w:hint="eastAsia"/>
        </w:rPr>
        <w:t>私募基金管理人或其委托的运营服务机构与私募基金托管人对本基金</w:t>
      </w:r>
      <w:r>
        <w:rPr>
          <w:rFonts w:ascii="宋体" w:hAnsi="宋体" w:hint="eastAsia"/>
          <w:szCs w:val="21"/>
        </w:rPr>
        <w:t>每个交易日的估值结果进行核对。</w:t>
      </w:r>
      <w:r>
        <w:rPr>
          <w:rFonts w:ascii="宋体" w:hAnsi="宋体" w:hint="eastAsia"/>
          <w:b/>
          <w:bCs/>
          <w:szCs w:val="21"/>
        </w:rPr>
        <w:t>对于非私募基金托管人原因造成的估值核对时效延误，私募基金托管人不承担责任。</w:t>
      </w:r>
    </w:p>
    <w:p>
      <w:pPr>
        <w:pStyle w:val="a-BR506228"/>
        <w:spacing w:line="360" w:lineRule="auto"/>
        <w:ind w:firstLine="420" w:firstLineChars="200"/>
        <w:rPr>
          <w:rFonts w:ascii="宋体" w:hAnsi="宋体"/>
          <w:szCs w:val="21"/>
        </w:rPr>
      </w:pPr>
      <w:r>
        <w:rPr>
          <w:rFonts w:ascii="宋体" w:hAnsi="宋体" w:hint="eastAsia"/>
          <w:szCs w:val="21"/>
        </w:rPr>
        <w:t>2、估值依据</w:t>
      </w:r>
    </w:p>
    <w:p>
      <w:pPr>
        <w:pStyle w:val="a-BR506228"/>
        <w:spacing w:line="360" w:lineRule="auto"/>
        <w:ind w:firstLine="420" w:firstLineChars="200"/>
        <w:rPr>
          <w:rFonts w:ascii="宋体" w:hAnsi="宋体"/>
          <w:szCs w:val="21"/>
        </w:rPr>
      </w:pPr>
      <w:r>
        <w:rPr>
          <w:rFonts w:ascii="宋体" w:hAnsi="宋体" w:hint="eastAsia"/>
          <w:szCs w:val="21"/>
        </w:rPr>
        <w:t>本基金的估值依据为相关法律法规规定及本合同约定，如无明确规定或约定的，应由私募基金管理人与私募基金托管人协商一致确定。</w:t>
      </w:r>
    </w:p>
    <w:p>
      <w:pPr>
        <w:pStyle w:val="a-BR506228"/>
        <w:spacing w:line="360" w:lineRule="auto"/>
        <w:ind w:left="420"/>
      </w:pPr>
      <w:r>
        <w:rPr>
          <w:rFonts w:ascii="宋体" w:hAnsi="宋体" w:hint="eastAsia"/>
          <w:szCs w:val="21"/>
        </w:rPr>
        <w:t>3、估值材料的交互要求</w:t>
      </w:r>
    </w:p>
    <w:p>
      <w:pPr>
        <w:pStyle w:val="a-BR506228"/>
        <w:spacing w:line="360" w:lineRule="auto"/>
        <w:ind w:firstLine="420"/>
        <w:rPr>
          <w:b/>
        </w:rPr>
      </w:pPr>
      <w:r>
        <w:rPr>
          <w:rFonts w:hint="eastAsia"/>
          <w:b/>
        </w:rPr>
        <w:t>私募基金管理人应当按照本合同约定提供经托管人认可的相关估值材料供私募基金托管人对基金净值进行复核，自行或敦促第三方机构及时、准确、完整地向私募基金托管人提供相关估值材料：</w:t>
      </w:r>
    </w:p>
    <w:p>
      <w:pPr>
        <w:pStyle w:val="a-BR506228"/>
        <w:spacing w:line="360" w:lineRule="auto"/>
        <w:ind w:firstLine="420"/>
      </w:pPr>
      <w:r>
        <w:rPr>
          <w:rFonts w:hint="eastAsia"/>
        </w:rPr>
        <w:t>（</w:t>
      </w:r>
      <w:r>
        <w:t>1</w:t>
      </w:r>
      <w:r>
        <w:rPr>
          <w:rFonts w:hint="eastAsia"/>
        </w:rPr>
        <w:t>）本基金投资于公募基金、资产管理产品或私募基金管理人发行的私募基金的，私募基金管理人应于标的产品合同等相关协议约定的确权时效内或本基金开放日前提供完整、准确及有效的估值材料（包括但不限于前述投资标的管理人、运营服务机构或托管人提供的最新份额净值）作为私募基金托管人确认该笔投资权益的依据。</w:t>
      </w:r>
    </w:p>
    <w:p>
      <w:pPr>
        <w:pStyle w:val="a-BR506228"/>
        <w:spacing w:line="360" w:lineRule="auto"/>
        <w:ind w:firstLine="420"/>
      </w:pPr>
      <w:r>
        <w:rPr>
          <w:rFonts w:hint="eastAsia"/>
        </w:rPr>
        <w:t>（</w:t>
      </w:r>
      <w:r>
        <w:t>2</w:t>
      </w:r>
      <w:r>
        <w:rPr>
          <w:rFonts w:hint="eastAsia"/>
        </w:rPr>
        <w:t>）私募基金管理人应敦促投资标的的管理人、管理人委托的运营服务机构或其他相关方及时、准确、完整地向私募基金托管人提供场外投资标的的份额数量、净值、申赎情况、分红情况以及其他权益变动等估值信息。</w:t>
      </w:r>
    </w:p>
    <w:p>
      <w:pPr>
        <w:pStyle w:val="a-BR506228"/>
        <w:spacing w:line="360" w:lineRule="auto"/>
        <w:ind w:firstLine="420"/>
        <w:rPr>
          <w:rFonts w:ascii="宋体" w:hAnsi="宋体"/>
          <w:szCs w:val="21"/>
        </w:rPr>
      </w:pPr>
      <w:r>
        <w:rPr>
          <w:rFonts w:hint="eastAsia"/>
        </w:rPr>
        <w:t>（3）</w:t>
      </w:r>
      <w:r>
        <w:rPr>
          <w:rFonts w:ascii="宋体" w:hAnsi="宋体" w:hint="eastAsia"/>
          <w:szCs w:val="21"/>
        </w:rPr>
        <w:t>本基金持有场外衍生品（包括但不限于场外收益互换、场外期权、非本金保障型收益凭证、信用衍生品等）合约的，为确保申购、赎回开放日净值复核工作的准确性，以保护全体投资者的利益。私募基金管理人应敦促交易对手方至少按周向私募基金托管人提供该等衍生品的当期合约价值报告。</w:t>
      </w:r>
    </w:p>
    <w:p>
      <w:pPr>
        <w:pStyle w:val="a-BR506228"/>
        <w:spacing w:line="360" w:lineRule="auto"/>
        <w:ind w:firstLine="420"/>
        <w:rPr>
          <w:rFonts w:ascii="宋体" w:hAnsi="宋体"/>
          <w:szCs w:val="21"/>
        </w:rPr>
      </w:pPr>
      <w:r>
        <w:rPr>
          <w:rFonts w:ascii="宋体" w:hAnsi="宋体" w:hint="eastAsia"/>
          <w:szCs w:val="21"/>
        </w:rPr>
        <w:t>如遇基金开放日（包括临时开放日）、分红权益登记日的，私募基金管理人应当及时向私募基金托管人提供该等衍生品交易对手方加盖印章的当期合约价值报告；若无法提供交易对手方加盖印章的当期合约价值报告，则私募基金管理人应敦促交易对手方直接向私募基金托管人发送当期合约价值报告，且私募基金管理人应当对交易对手方另行向其提供的当期合约价值报告进行确认，并在确认无误后加盖其印章发送至私募基金托管人。</w:t>
      </w:r>
    </w:p>
    <w:p>
      <w:pPr>
        <w:pStyle w:val="a-BR506228"/>
        <w:numPr>
          <w:ilvl w:val="12"/>
          <w:numId w:val="0"/>
        </w:numPr>
        <w:spacing w:line="360" w:lineRule="auto"/>
        <w:ind w:firstLine="420"/>
        <w:rPr>
          <w:b/>
        </w:rPr>
      </w:pPr>
      <w:r>
        <w:rPr>
          <w:rFonts w:hint="eastAsia"/>
          <w:b/>
        </w:rPr>
        <w:t>如因私募基金管理人未及时按上述约定向私募基金托管人提供估值材料的，本私募基金开放日份额净值不得作为办理基金份额申购、赎回的依据。如私募基金管理人在前述情形下以开放日份额净值作为办理申购、赎回的依据而造成投资者损失的，由私募基金管理人承担相应责任。</w:t>
      </w:r>
    </w:p>
    <w:p>
      <w:pPr>
        <w:pStyle w:val="a-BR506228"/>
        <w:spacing w:line="360" w:lineRule="auto"/>
        <w:ind w:firstLine="420" w:firstLineChars="200"/>
        <w:rPr>
          <w:b/>
        </w:rPr>
      </w:pPr>
      <w:r>
        <w:rPr>
          <w:rFonts w:hint="eastAsia"/>
          <w:b/>
        </w:rPr>
        <w:t>如因私募基金托管人未及时获得完整、准确及有效的并经托管人认可的估值材料或估值材料记载的信息发生变更致使本基金净值发生波动或无法反映真实资产状况造成投资者损失的，私募基金托管人不承担任何责任。</w:t>
      </w:r>
    </w:p>
    <w:p>
      <w:pPr>
        <w:pStyle w:val="a-BR506228"/>
        <w:spacing w:line="360" w:lineRule="auto"/>
        <w:ind w:firstLine="420" w:firstLineChars="200"/>
        <w:rPr>
          <w:b/>
        </w:rPr>
      </w:pPr>
      <w:r>
        <w:rPr>
          <w:rFonts w:hint="eastAsia"/>
          <w:b/>
        </w:rPr>
        <w:t>经私募基金托管人事先同意，私募基金管理人可以根据实际情况对上述估值材料交互要求进行新增、删减、调整、变更。</w:t>
      </w:r>
    </w:p>
    <w:p>
      <w:pPr>
        <w:pStyle w:val="a-BR506228"/>
        <w:spacing w:line="360" w:lineRule="auto"/>
        <w:ind w:firstLine="420" w:firstLineChars="200"/>
        <w:rPr>
          <w:rFonts w:ascii="宋体" w:hAnsi="宋体"/>
          <w:szCs w:val="21"/>
        </w:rPr>
      </w:pPr>
      <w:r>
        <w:rPr>
          <w:rFonts w:ascii="宋体" w:hAnsi="宋体"/>
          <w:szCs w:val="21"/>
        </w:rPr>
        <w:t>4</w:t>
      </w:r>
      <w:r>
        <w:rPr>
          <w:rFonts w:ascii="宋体" w:hAnsi="宋体" w:hint="eastAsia"/>
          <w:szCs w:val="21"/>
        </w:rPr>
        <w:t>、估值对象</w:t>
      </w:r>
    </w:p>
    <w:p>
      <w:pPr>
        <w:pStyle w:val="a-BR506228"/>
        <w:spacing w:line="360" w:lineRule="auto"/>
        <w:ind w:firstLine="420" w:firstLineChars="200"/>
        <w:rPr>
          <w:rFonts w:ascii="宋体" w:hAnsi="宋体"/>
          <w:szCs w:val="21"/>
        </w:rPr>
      </w:pPr>
      <w:r>
        <w:rPr>
          <w:rFonts w:ascii="宋体" w:hAnsi="宋体" w:hint="eastAsia"/>
          <w:szCs w:val="21"/>
        </w:rPr>
        <w:t>基金拥有的所有资产及负债。</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）基金资产总值</w:t>
      </w:r>
      <w:r>
        <w:rPr>
          <w:rFonts w:ascii="宋体" w:hAnsi="宋体" w:hint="eastAsia"/>
          <w:bCs/>
          <w:szCs w:val="21"/>
        </w:rPr>
        <w:t>精确到小数点后第</w:t>
      </w:r>
      <w:r>
        <w:rPr>
          <w:rFonts w:ascii="宋体" w:hAnsi="宋体"/>
          <w:bCs/>
          <w:szCs w:val="21"/>
        </w:rPr>
        <w:t>2位，小数点后第3位四舍五入。</w:t>
      </w:r>
    </w:p>
    <w:p>
      <w:pPr>
        <w:pStyle w:val="a-BR506228"/>
        <w:spacing w:line="360" w:lineRule="auto"/>
        <w:ind w:firstLine="420" w:firstLineChars="200"/>
        <w:rPr>
          <w:rFonts w:ascii="宋体" w:hAnsi="宋体"/>
          <w:bCs/>
          <w:szCs w:val="21"/>
        </w:rPr>
      </w:pPr>
      <w:r>
        <w:rPr>
          <w:rFonts w:ascii="宋体" w:hAnsi="宋体" w:hint="eastAsia"/>
          <w:szCs w:val="21"/>
        </w:rPr>
        <w:t>（</w:t>
      </w:r>
      <w:r>
        <w:rPr>
          <w:rFonts w:ascii="宋体" w:hAnsi="宋体"/>
          <w:szCs w:val="21"/>
        </w:rPr>
        <w:t>2）基金资产净值</w:t>
      </w:r>
      <w:r>
        <w:rPr>
          <w:rFonts w:ascii="宋体" w:hAnsi="宋体" w:hint="eastAsia"/>
          <w:bCs/>
          <w:szCs w:val="21"/>
        </w:rPr>
        <w:t>精确到小数点后第</w:t>
      </w:r>
      <w:r>
        <w:rPr>
          <w:rFonts w:ascii="宋体" w:hAnsi="宋体"/>
          <w:bCs/>
          <w:szCs w:val="21"/>
        </w:rPr>
        <w:t>2位，小数点后第3位四舍五入。</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3）基金份额净值</w:t>
      </w:r>
      <w:r>
        <w:rPr>
          <w:rFonts w:ascii="宋体" w:hAnsi="宋体" w:hint="eastAsia"/>
          <w:bCs/>
          <w:szCs w:val="21"/>
        </w:rPr>
        <w:t>精确到小数点后第3</w:t>
      </w:r>
      <w:r>
        <w:rPr>
          <w:rFonts w:ascii="宋体" w:hAnsi="宋体"/>
          <w:bCs/>
          <w:szCs w:val="21"/>
        </w:rPr>
        <w:t>位，小数点后</w:t>
      </w:r>
      <w:r>
        <w:rPr>
          <w:rFonts w:ascii="宋体" w:hAnsi="宋体" w:hint="eastAsia"/>
          <w:bCs/>
          <w:szCs w:val="21"/>
        </w:rPr>
        <w:t>第4</w:t>
      </w:r>
      <w:r>
        <w:rPr>
          <w:rFonts w:ascii="宋体" w:hAnsi="宋体"/>
          <w:bCs/>
          <w:szCs w:val="21"/>
        </w:rPr>
        <w:t>位四舍五入。</w:t>
      </w:r>
      <w:r>
        <w:rPr>
          <w:rFonts w:ascii="宋体" w:hAnsi="宋体" w:hint="eastAsia"/>
          <w:bCs/>
          <w:szCs w:val="21"/>
        </w:rPr>
        <w:t>如本合同中涉及基金份额净值的具体约定的，均以此小数位数为准。</w:t>
      </w:r>
    </w:p>
    <w:p>
      <w:pPr>
        <w:pStyle w:val="a-BR506228"/>
        <w:spacing w:line="360" w:lineRule="auto"/>
        <w:ind w:firstLine="420" w:firstLineChars="200"/>
        <w:rPr>
          <w:rFonts w:ascii="宋体" w:hAnsi="宋体"/>
          <w:szCs w:val="21"/>
        </w:rPr>
      </w:pPr>
      <w:r>
        <w:rPr>
          <w:rFonts w:ascii="宋体" w:hAnsi="宋体"/>
          <w:szCs w:val="21"/>
        </w:rPr>
        <w:t>5</w:t>
      </w:r>
      <w:r>
        <w:rPr>
          <w:rFonts w:ascii="宋体" w:hAnsi="宋体" w:hint="eastAsia"/>
          <w:szCs w:val="21"/>
        </w:rPr>
        <w:t>、估值方法</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）证券交易所上市的有价证券的估值</w:t>
      </w:r>
    </w:p>
    <w:p>
      <w:pPr>
        <w:pStyle w:val="a-BR506228"/>
        <w:autoSpaceDE w:val="0"/>
        <w:autoSpaceDN w:val="0"/>
        <w:adjustRightInd w:val="0"/>
        <w:spacing w:line="360" w:lineRule="auto"/>
        <w:ind w:firstLine="426"/>
        <w:rPr>
          <w:rFonts w:ascii="宋体" w:hAnsi="宋体" w:cs="宋体"/>
          <w:kern w:val="0"/>
          <w:sz w:val="28"/>
          <w:szCs w:val="28"/>
        </w:rPr>
      </w:pPr>
      <w:r>
        <w:rPr>
          <w:rFonts w:ascii="宋体" w:hAnsi="宋体"/>
          <w:szCs w:val="21"/>
        </w:rPr>
        <w:t>A</w:t>
      </w:r>
      <w:r>
        <w:rPr>
          <w:rFonts w:ascii="宋体" w:hAnsi="宋体" w:hint="eastAsia"/>
          <w:szCs w:val="21"/>
        </w:rPr>
        <w:t>、</w:t>
      </w:r>
      <w:r>
        <w:rPr>
          <w:rFonts w:ascii="宋体" w:hAnsi="宋体" w:cs="宋体" w:hint="eastAsia"/>
          <w:kern w:val="0"/>
          <w:szCs w:val="21"/>
        </w:rPr>
        <w:t>证券</w:t>
      </w:r>
      <w:r>
        <w:rPr>
          <w:rFonts w:ascii="宋体" w:hAnsi="宋体" w:hint="eastAsia"/>
          <w:szCs w:val="21"/>
        </w:rPr>
        <w:t>交易所上市的有价证券（如股票、交易所上市交易的基金、供股权等），以其估值日在证券交易所挂牌的市价（收盘价）估值；估值日无交易的，以最近交易日的市价（收盘价）估值。</w:t>
      </w:r>
    </w:p>
    <w:p>
      <w:pPr>
        <w:pStyle w:val="a-BR506228"/>
        <w:spacing w:line="360" w:lineRule="auto"/>
        <w:ind w:firstLine="480"/>
        <w:rPr>
          <w:rFonts w:ascii="宋体" w:hAnsi="宋体"/>
          <w:szCs w:val="21"/>
        </w:rPr>
      </w:pPr>
      <w:r>
        <w:rPr>
          <w:rFonts w:ascii="宋体" w:hAnsi="宋体"/>
          <w:szCs w:val="21"/>
        </w:rPr>
        <w:t>B</w:t>
      </w:r>
      <w:r>
        <w:rPr>
          <w:rFonts w:ascii="宋体" w:hAnsi="宋体" w:hint="eastAsia"/>
          <w:szCs w:val="21"/>
        </w:rPr>
        <w:t>、</w:t>
      </w:r>
      <w:r>
        <w:rPr>
          <w:rFonts w:ascii="宋体" w:hAnsi="宋体" w:cs="宋体" w:hint="eastAsia"/>
          <w:kern w:val="0"/>
          <w:szCs w:val="21"/>
        </w:rPr>
        <w:t>证券</w:t>
      </w:r>
      <w:r>
        <w:rPr>
          <w:rFonts w:ascii="宋体" w:hAnsi="宋体" w:hint="eastAsia"/>
          <w:szCs w:val="21"/>
        </w:rPr>
        <w:t>交易所上市交易或挂牌转让的固定收益品种（包括但不限于债券、资产支持证券等投资品种，但可转换债券除外），选取第三方估值机构提供的相应品种当日的估值净价进行估值。如第三方估值机构不发布估值价的，按历史成本估值。</w:t>
      </w:r>
    </w:p>
    <w:p>
      <w:pPr>
        <w:pStyle w:val="a-BR506228"/>
        <w:spacing w:line="360" w:lineRule="auto"/>
        <w:ind w:firstLine="420" w:firstLineChars="200"/>
        <w:rPr>
          <w:rFonts w:ascii="宋体" w:hAnsi="宋体"/>
          <w:szCs w:val="21"/>
        </w:rPr>
      </w:pPr>
      <w:r>
        <w:rPr>
          <w:rFonts w:ascii="宋体" w:hAnsi="宋体"/>
          <w:szCs w:val="21"/>
        </w:rPr>
        <w:t>C</w:t>
      </w:r>
      <w:r>
        <w:rPr>
          <w:rFonts w:ascii="宋体" w:hAnsi="宋体" w:hint="eastAsia"/>
          <w:szCs w:val="21"/>
        </w:rPr>
        <w:t>、</w:t>
      </w:r>
      <w:r>
        <w:rPr>
          <w:rFonts w:ascii="宋体" w:cs="宋体" w:hint="eastAsia"/>
          <w:kern w:val="0"/>
          <w:szCs w:val="21"/>
        </w:rPr>
        <w:t>对在</w:t>
      </w:r>
      <w:r>
        <w:rPr>
          <w:rFonts w:ascii="宋体" w:hAnsi="宋体" w:cs="宋体" w:hint="eastAsia"/>
          <w:kern w:val="0"/>
          <w:szCs w:val="21"/>
        </w:rPr>
        <w:t>证券</w:t>
      </w:r>
      <w:r>
        <w:rPr>
          <w:rFonts w:ascii="宋体" w:cs="宋体" w:hint="eastAsia"/>
          <w:kern w:val="0"/>
          <w:szCs w:val="21"/>
        </w:rPr>
        <w:t>交易所市场上市交易的可转换债券，选取每日收盘价作为估值全价，减去其中所含当日的债券应收利息得到的净价进行估值；</w:t>
      </w:r>
      <w:r>
        <w:rPr>
          <w:rFonts w:ascii="宋体" w:hAnsi="宋体" w:hint="eastAsia"/>
          <w:szCs w:val="21"/>
        </w:rPr>
        <w:t>估值日没有交易的，以最近交易日债券收盘价作为全价，减去其中所含截止最近交易日的债券应收利息得到的净价进行估值。</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）处于未上市流通期间的有价证券应区分如下情况处理：</w:t>
      </w:r>
    </w:p>
    <w:p>
      <w:pPr>
        <w:pStyle w:val="a-BR506228"/>
        <w:spacing w:line="360" w:lineRule="auto"/>
        <w:ind w:firstLine="420" w:firstLineChars="200"/>
        <w:rPr>
          <w:rFonts w:ascii="宋体" w:hAnsi="宋体"/>
          <w:szCs w:val="21"/>
        </w:rPr>
      </w:pPr>
      <w:r>
        <w:rPr>
          <w:rFonts w:ascii="宋体" w:hAnsi="宋体"/>
          <w:szCs w:val="21"/>
        </w:rPr>
        <w:t>A</w:t>
      </w:r>
      <w:r>
        <w:rPr>
          <w:rFonts w:ascii="宋体" w:hAnsi="宋体" w:hint="eastAsia"/>
          <w:szCs w:val="21"/>
        </w:rPr>
        <w:t>、送股、转增股、配股和增发的新股（前述中有明确锁定期或在发行时明确限售期的股票除外），按估值日在证券交易所挂牌的同一股票的市价（收盘价）估值；该日无交易的，以最近一日的市价（收盘价）估值。</w:t>
      </w:r>
    </w:p>
    <w:p>
      <w:pPr>
        <w:pStyle w:val="a-BR506228"/>
        <w:spacing w:line="360" w:lineRule="auto"/>
        <w:ind w:firstLine="480"/>
        <w:rPr>
          <w:rFonts w:ascii="宋体" w:hAnsi="宋体"/>
          <w:szCs w:val="21"/>
        </w:rPr>
      </w:pPr>
      <w:r>
        <w:rPr>
          <w:rFonts w:ascii="宋体" w:hAnsi="宋体"/>
          <w:szCs w:val="21"/>
        </w:rPr>
        <w:t>B</w:t>
      </w:r>
      <w:r>
        <w:rPr>
          <w:rFonts w:ascii="宋体" w:hAnsi="宋体" w:hint="eastAsia"/>
          <w:szCs w:val="21"/>
        </w:rPr>
        <w:t>、首次公开发行未上市的有价证券（如股票、交易所上市交易的基金、可转换债券等），按历史成本估值。</w:t>
      </w:r>
    </w:p>
    <w:p>
      <w:pPr>
        <w:pStyle w:val="a-BR506228"/>
        <w:spacing w:line="360" w:lineRule="auto"/>
        <w:ind w:firstLine="480"/>
        <w:rPr>
          <w:rFonts w:ascii="宋体" w:hAnsi="宋体"/>
          <w:szCs w:val="21"/>
        </w:rPr>
      </w:pPr>
      <w:r>
        <w:rPr>
          <w:rFonts w:ascii="宋体" w:hAnsi="宋体"/>
          <w:szCs w:val="21"/>
        </w:rPr>
        <w:t>C、</w:t>
      </w:r>
      <w:r>
        <w:rPr>
          <w:rFonts w:ascii="宋体" w:hAnsi="宋体" w:hint="eastAsia"/>
          <w:szCs w:val="21"/>
        </w:rPr>
        <w:t>首次公开发行未上市的固定收益品种（包括但不限于债券、资产支持证券等投资品种，但可转换债券除外），选取第三方估值机构提供的相应品种当日的估值净价进行估值。如第三方估值机构不发布估值价的，按历史成本估值。</w:t>
      </w:r>
    </w:p>
    <w:p>
      <w:pPr>
        <w:pStyle w:val="a-BR506228"/>
        <w:spacing w:line="360" w:lineRule="auto"/>
        <w:ind w:firstLine="420" w:firstLineChars="200"/>
        <w:rPr>
          <w:rFonts w:ascii="宋体" w:hAnsi="宋体"/>
          <w:szCs w:val="21"/>
        </w:rPr>
      </w:pPr>
      <w:r>
        <w:rPr>
          <w:rFonts w:ascii="宋体" w:hAnsi="宋体"/>
          <w:szCs w:val="21"/>
        </w:rPr>
        <w:t>D、</w:t>
      </w:r>
      <w:r>
        <w:rPr>
          <w:rFonts w:ascii="宋体" w:hAnsi="宋体" w:hint="eastAsia"/>
          <w:szCs w:val="21"/>
        </w:rPr>
        <w:t>有明确锁定期或在发行时有明确限售期的股票（不包括全国中小企业股份转让系统的股票），包括但不限于非公开发行股票、首次公开发行股票时公司股东公开发售股份、首次公开发行网下配售有限售期的股票、大宗交易买入有限售期的股票，按监管机构或行业协会的有关规定确定公允价值。对于基金业协会规定的流通受限股票估值取值中的“流通受限股票的流动性折扣”，当估值日第三方估值机构未提供该流动性折扣时，则优先采用距估值日最近交易日第三方估值机构提供的流动性折扣进行估值处理。若第三方估值机构从未提供该流通受限股票的流动性折扣，则按估值日该流通受限股票在证券交易所上市交易的同一股票的市价（收盘价）估值；该日无交易的，以最近一日的市价（收盘价）估值。</w:t>
      </w:r>
    </w:p>
    <w:p>
      <w:pPr>
        <w:pStyle w:val="a-BR506228"/>
        <w:spacing w:line="360" w:lineRule="auto"/>
        <w:ind w:firstLine="420" w:firstLineChars="200"/>
        <w:rPr>
          <w:rFonts w:ascii="宋体" w:hAnsi="宋体"/>
          <w:szCs w:val="21"/>
        </w:rPr>
      </w:pPr>
      <w:r>
        <w:rPr>
          <w:rFonts w:ascii="宋体" w:hAnsi="宋体" w:hint="eastAsia"/>
          <w:szCs w:val="21"/>
        </w:rPr>
        <w:t>私募基金管理人应当及时通知私募基金托管人上述股票的锁定/限售情况，如私募基金管理人未及时告知私募基金托管人锁定/限售情况的，则按照无流通受限股票的方法估值。由此造成的后果由私募基金管理人承担，私募基金托管人不承担任何责任。</w:t>
      </w:r>
    </w:p>
    <w:p>
      <w:pPr>
        <w:pStyle w:val="a-BR506228"/>
        <w:spacing w:line="360" w:lineRule="auto"/>
        <w:ind w:firstLine="420" w:firstLineChars="200"/>
        <w:rPr>
          <w:rFonts w:ascii="宋体" w:hAnsi="宋体"/>
          <w:szCs w:val="21"/>
        </w:rPr>
      </w:pPr>
      <w:r>
        <w:rPr>
          <w:rFonts w:ascii="宋体" w:hAnsi="宋体" w:hint="eastAsia"/>
          <w:szCs w:val="21"/>
        </w:rPr>
        <w:t>特别地，流通受限股票估值取值中的“流通受限股票的流动性折扣”优先采用中央国债登记结算有限责任公司（简称“中债”）提供的数据。若管理人需调整为中证指数有限公司（简称“中证”）提供的数据，则应自行采购中证数据并提前2个工作日书面通知托管人。</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对在全国银行间债券市场交易的固定收益品种（包括但不限于债券、资产支持证券、非公开定向债务融资工具、同业存单等投资品种），选取第三方估值机构提供的相应品种当日的估值净价进行估值。如第三方估值机构不发布估值价的，按历史成本估值。</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）同一债券同时在两个或两个以上市场交易的，按债券所处的市场分别估值。</w:t>
      </w:r>
    </w:p>
    <w:p>
      <w:pPr>
        <w:pStyle w:val="a-BR506228"/>
        <w:spacing w:line="360" w:lineRule="auto"/>
        <w:ind w:firstLine="420" w:firstLineChars="200"/>
        <w:rPr>
          <w:rFonts w:ascii="宋体" w:hAnsi="宋体"/>
          <w:szCs w:val="21"/>
        </w:rPr>
      </w:pPr>
      <w:r>
        <w:rPr>
          <w:rFonts w:ascii="宋体" w:hAnsi="宋体" w:hint="eastAsia"/>
          <w:szCs w:val="21"/>
        </w:rPr>
        <w:t>特别地，上述选用第三方估值机构提供的估值价进行估值的固定收益品种，其中：证券交易所固定收益品种优先按照中证指数有限公司（简称“中证”）提供的估值净价估值，银行间固定收益品种优先按照中央国债登记结算有限责任公司（简称“中债”）提供的估值净价估值。若管理人需调整前述对应第三方机构的，则以书面形式通知托管人。</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）期货交易所上市的期货合约以估值日的结算价估值。若估值当日无结算价的，采用最近交易日结算价估值。</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6</w:t>
      </w:r>
      <w:r>
        <w:rPr>
          <w:rFonts w:ascii="宋体" w:hAnsi="宋体" w:hint="eastAsia"/>
          <w:szCs w:val="21"/>
        </w:rPr>
        <w:t>）基金持有的公募证券投资基金估值</w:t>
      </w:r>
    </w:p>
    <w:p>
      <w:pPr>
        <w:pStyle w:val="a-BR506228"/>
        <w:spacing w:line="360" w:lineRule="auto"/>
        <w:ind w:firstLine="420" w:firstLineChars="200"/>
        <w:rPr>
          <w:rFonts w:ascii="宋体" w:hAnsi="宋体"/>
          <w:szCs w:val="21"/>
        </w:rPr>
      </w:pPr>
      <w:r>
        <w:rPr>
          <w:rFonts w:ascii="宋体" w:hAnsi="宋体"/>
          <w:szCs w:val="21"/>
        </w:rPr>
        <w:t>A</w:t>
      </w:r>
      <w:r>
        <w:rPr>
          <w:rFonts w:ascii="宋体" w:hAnsi="宋体" w:hint="eastAsia"/>
          <w:szCs w:val="21"/>
        </w:rPr>
        <w:t>、未在</w:t>
      </w:r>
      <w:r>
        <w:rPr>
          <w:rFonts w:ascii="宋体" w:hAnsi="宋体" w:cs="宋体" w:hint="eastAsia"/>
          <w:kern w:val="0"/>
          <w:szCs w:val="21"/>
        </w:rPr>
        <w:t>证券</w:t>
      </w:r>
      <w:r>
        <w:rPr>
          <w:rFonts w:ascii="宋体" w:hAnsi="宋体" w:hint="eastAsia"/>
          <w:szCs w:val="21"/>
        </w:rPr>
        <w:t>交易所上市交易的基金，按估值日前一交易日的基金份额净值估值；估值日前一交易日基金份额净值无公布的，按此前最近交易日的基金份额净值估值。</w:t>
      </w:r>
    </w:p>
    <w:p>
      <w:pPr>
        <w:pStyle w:val="a-BR506228"/>
        <w:spacing w:line="360" w:lineRule="auto"/>
        <w:ind w:firstLine="420" w:firstLineChars="200"/>
        <w:rPr>
          <w:rFonts w:ascii="宋体" w:hAnsi="宋体"/>
          <w:szCs w:val="21"/>
        </w:rPr>
      </w:pPr>
      <w:r>
        <w:rPr>
          <w:rFonts w:ascii="宋体" w:hAnsi="宋体"/>
          <w:szCs w:val="21"/>
        </w:rPr>
        <w:t>B</w:t>
      </w:r>
      <w:r>
        <w:rPr>
          <w:rFonts w:ascii="宋体" w:hAnsi="宋体" w:hint="eastAsia"/>
          <w:szCs w:val="21"/>
        </w:rPr>
        <w:t>、货币市场基金以成本列示，按基金管理公司公布的前一交易日（含节假日）的每万份收益计提收益。</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）基金持有的场内期权，按估值日的结算价估值；估值日没有交易的，按最近交易日的结算价估值。</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8）</w:t>
      </w:r>
      <w:r>
        <w:rPr>
          <w:rFonts w:ascii="宋体" w:hAnsi="宋体" w:hint="eastAsia"/>
          <w:szCs w:val="21"/>
        </w:rPr>
        <w:t>基金持有的场外期权、场外收益互换以及其他金融衍生工具，依据合约盈亏估值结果或估值报告确认合约损益，无法获得或未及时获得合约盈亏估值结果或估值报告的，按最近一次的合约盈亏估值结果或估值报告进行估值，如从未获得合约盈亏估值结果或估值报告的，按历史成本估值。</w:t>
      </w:r>
    </w:p>
    <w:p>
      <w:pPr>
        <w:pStyle w:val="a-BR506228"/>
        <w:spacing w:line="360" w:lineRule="auto"/>
        <w:ind w:firstLine="420" w:firstLineChars="200"/>
        <w:rPr>
          <w:rFonts w:ascii="宋体" w:hAnsi="宋体"/>
          <w:szCs w:val="21"/>
        </w:rPr>
      </w:pPr>
      <w:r>
        <w:rPr>
          <w:rFonts w:ascii="宋体" w:hAnsi="宋体" w:hint="eastAsia"/>
          <w:szCs w:val="21"/>
        </w:rPr>
        <w:t>（9</w:t>
      </w:r>
      <w:r>
        <w:rPr>
          <w:rFonts w:ascii="宋体" w:hAnsi="宋体"/>
          <w:szCs w:val="21"/>
        </w:rPr>
        <w:t>）</w:t>
      </w:r>
      <w:r>
        <w:rPr>
          <w:rFonts w:ascii="宋体" w:hAnsi="宋体" w:hint="eastAsia"/>
          <w:szCs w:val="21"/>
        </w:rPr>
        <w:t>基金持有的券商收益凭证，如收益凭证投资协议中有明确预期或固定收益率的，按成本列示并每日加计应收利息（或应计收益）进行估值；没有约定的，按照凭证发行方提供的定期价值报告估值，如无法提供的，由私募基金管理人与私募基金托管人根据本金与收益结算条款协商估值方法（其中包含按历史成本估值）。</w:t>
      </w:r>
    </w:p>
    <w:p>
      <w:pPr>
        <w:pStyle w:val="a-BR506228"/>
        <w:spacing w:line="360" w:lineRule="auto"/>
        <w:ind w:firstLine="420" w:firstLineChars="200"/>
        <w:rPr>
          <w:rFonts w:ascii="宋体" w:hAnsi="宋体"/>
          <w:szCs w:val="21"/>
        </w:rPr>
      </w:pPr>
      <w:r>
        <w:rPr>
          <w:rFonts w:ascii="宋体" w:hAnsi="宋体" w:hint="eastAsia"/>
          <w:szCs w:val="21"/>
        </w:rPr>
        <w:t>（10）基金持有的资产管理产品（银行理财产品、信托计划、证券公司及其子公司资产管理计划、保险公司及其子公司资产管理计划、期货公司及其子公司资产管理计划、基金公司及其子公司资产管理计划、私募基金等）</w:t>
      </w:r>
      <w:r>
        <w:rPr>
          <w:rFonts w:ascii="宋体" w:hAnsi="宋体"/>
          <w:szCs w:val="21"/>
        </w:rPr>
        <w:t>，按照以下方法估值：</w:t>
      </w:r>
    </w:p>
    <w:p>
      <w:pPr>
        <w:pStyle w:val="a-BR506228"/>
        <w:spacing w:line="360" w:lineRule="auto"/>
        <w:ind w:firstLine="420" w:firstLineChars="200"/>
        <w:rPr>
          <w:rFonts w:ascii="宋体" w:hAnsi="宋体"/>
          <w:szCs w:val="21"/>
        </w:rPr>
      </w:pPr>
      <w:r>
        <w:rPr>
          <w:rFonts w:ascii="宋体" w:hAnsi="宋体" w:hint="eastAsia"/>
          <w:szCs w:val="21"/>
        </w:rPr>
        <w:t>A、场外投资标的合同或场外投资标的管理人出具的相关文件能够提供固定收益率的投资标的，按成本列示，并每日加计应收利息（或应计收益）进行估值</w:t>
      </w:r>
      <w:r>
        <w:rPr>
          <w:rFonts w:ascii="宋体" w:hAnsi="宋体"/>
          <w:szCs w:val="21"/>
        </w:rPr>
        <w:t>；</w:t>
      </w:r>
    </w:p>
    <w:p>
      <w:pPr>
        <w:pStyle w:val="a-BR506228"/>
        <w:spacing w:line="360" w:lineRule="auto"/>
        <w:ind w:firstLine="420" w:firstLineChars="200"/>
        <w:rPr>
          <w:rFonts w:ascii="宋体" w:hAnsi="宋体"/>
          <w:szCs w:val="21"/>
        </w:rPr>
      </w:pPr>
      <w:r>
        <w:rPr>
          <w:rFonts w:ascii="宋体" w:hAnsi="宋体"/>
          <w:szCs w:val="21"/>
        </w:rPr>
        <w:t>B、按面值及每万份收益计价的</w:t>
      </w:r>
      <w:r>
        <w:rPr>
          <w:rFonts w:ascii="宋体" w:hAnsi="宋体" w:hint="eastAsia"/>
          <w:szCs w:val="21"/>
        </w:rPr>
        <w:t>场外</w:t>
      </w:r>
      <w:r>
        <w:rPr>
          <w:rFonts w:ascii="宋体" w:hAnsi="宋体"/>
          <w:szCs w:val="21"/>
        </w:rPr>
        <w:t>投资标的，以成本列示，</w:t>
      </w:r>
      <w:r>
        <w:rPr>
          <w:rFonts w:ascii="宋体" w:hAnsi="宋体" w:hint="eastAsia"/>
          <w:szCs w:val="21"/>
        </w:rPr>
        <w:t>按场外投资标的管理人、场外投资标的运营服务机构或场外投资标的托管人提供的</w:t>
      </w:r>
      <w:r>
        <w:rPr>
          <w:rFonts w:ascii="宋体" w:hAnsi="宋体"/>
          <w:szCs w:val="21"/>
        </w:rPr>
        <w:t>最新</w:t>
      </w:r>
      <w:r>
        <w:rPr>
          <w:rFonts w:ascii="宋体" w:hAnsi="宋体" w:hint="eastAsia"/>
          <w:szCs w:val="21"/>
        </w:rPr>
        <w:t>（含节假日）</w:t>
      </w:r>
      <w:r>
        <w:rPr>
          <w:rFonts w:ascii="宋体" w:hAnsi="宋体"/>
          <w:szCs w:val="21"/>
        </w:rPr>
        <w:t>每万份收益计提收益</w:t>
      </w:r>
      <w:r>
        <w:rPr>
          <w:rFonts w:ascii="宋体" w:hAnsi="宋体" w:hint="eastAsia"/>
          <w:szCs w:val="21"/>
        </w:rPr>
        <w:t>；</w:t>
      </w:r>
    </w:p>
    <w:p>
      <w:pPr>
        <w:pStyle w:val="a-BR506228"/>
        <w:spacing w:line="360" w:lineRule="auto"/>
        <w:ind w:firstLine="420" w:firstLineChars="200"/>
        <w:rPr>
          <w:rFonts w:ascii="宋体" w:hAnsi="宋体"/>
          <w:szCs w:val="21"/>
        </w:rPr>
      </w:pPr>
      <w:r>
        <w:rPr>
          <w:rFonts w:ascii="宋体" w:hAnsi="宋体"/>
          <w:szCs w:val="21"/>
        </w:rPr>
        <w:t>C、按份额净值计价的</w:t>
      </w:r>
      <w:r>
        <w:rPr>
          <w:rFonts w:ascii="宋体" w:hAnsi="宋体" w:hint="eastAsia"/>
          <w:szCs w:val="21"/>
        </w:rPr>
        <w:t>场外</w:t>
      </w:r>
      <w:r>
        <w:rPr>
          <w:rFonts w:ascii="宋体" w:hAnsi="宋体"/>
          <w:szCs w:val="21"/>
        </w:rPr>
        <w:t>投资标的，按照</w:t>
      </w:r>
      <w:r>
        <w:rPr>
          <w:rFonts w:ascii="宋体" w:hAnsi="宋体" w:hint="eastAsia"/>
          <w:szCs w:val="21"/>
        </w:rPr>
        <w:t>场外投资标的管理人、场外投资标的运营服务机构或场外投资标的托管人提供的</w:t>
      </w:r>
      <w:r>
        <w:rPr>
          <w:rFonts w:ascii="宋体" w:hAnsi="宋体"/>
          <w:szCs w:val="21"/>
        </w:rPr>
        <w:t>最新份额净值估值，如</w:t>
      </w:r>
      <w:r>
        <w:rPr>
          <w:rFonts w:ascii="宋体" w:hAnsi="宋体" w:hint="eastAsia"/>
          <w:szCs w:val="21"/>
        </w:rPr>
        <w:t>前述的场外</w:t>
      </w:r>
      <w:r>
        <w:rPr>
          <w:rFonts w:ascii="宋体" w:hAnsi="宋体"/>
          <w:szCs w:val="21"/>
        </w:rPr>
        <w:t>投资标的</w:t>
      </w:r>
      <w:r>
        <w:rPr>
          <w:rFonts w:ascii="宋体" w:hAnsi="宋体" w:hint="eastAsia"/>
          <w:szCs w:val="21"/>
        </w:rPr>
        <w:t>的</w:t>
      </w:r>
      <w:r>
        <w:rPr>
          <w:rFonts w:ascii="宋体" w:hAnsi="宋体"/>
          <w:szCs w:val="21"/>
        </w:rPr>
        <w:t>管理人</w:t>
      </w:r>
      <w:r>
        <w:rPr>
          <w:rFonts w:ascii="宋体" w:hAnsi="宋体" w:hint="eastAsia"/>
          <w:szCs w:val="21"/>
        </w:rPr>
        <w:t>、运营服务机构</w:t>
      </w:r>
      <w:r>
        <w:rPr>
          <w:rFonts w:ascii="宋体" w:hAnsi="宋体"/>
          <w:szCs w:val="21"/>
        </w:rPr>
        <w:t>或托管人未提供份额净值依据，则按</w:t>
      </w:r>
      <w:r>
        <w:rPr>
          <w:rFonts w:ascii="宋体" w:hAnsi="宋体" w:hint="eastAsia"/>
          <w:szCs w:val="21"/>
        </w:rPr>
        <w:t>历史</w:t>
      </w:r>
      <w:r>
        <w:rPr>
          <w:rFonts w:ascii="宋体" w:hAnsi="宋体"/>
          <w:szCs w:val="21"/>
        </w:rPr>
        <w:t>成本估值</w:t>
      </w:r>
      <w:r>
        <w:rPr>
          <w:rFonts w:ascii="宋体" w:hAnsi="宋体" w:hint="eastAsia"/>
          <w:szCs w:val="21"/>
        </w:rPr>
        <w:t>。</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1</w:t>
      </w:r>
      <w:r>
        <w:rPr>
          <w:rFonts w:ascii="宋体" w:hAnsi="宋体"/>
          <w:szCs w:val="21"/>
        </w:rPr>
        <w:t>）银行存款每日计提应收利息，按本金加应收利息计入资产</w:t>
      </w:r>
      <w:r>
        <w:rPr>
          <w:rFonts w:ascii="宋体" w:hAnsi="宋体" w:hint="eastAsia"/>
          <w:szCs w:val="21"/>
        </w:rPr>
        <w:t>。期货备付金账户默认不计提利息，如需调整为计提利息，管理人应将计息利率通过双方协商一致的方式告知托管人。</w:t>
      </w:r>
    </w:p>
    <w:p>
      <w:pPr>
        <w:pStyle w:val="a-BR506228"/>
        <w:spacing w:line="360" w:lineRule="auto"/>
        <w:ind w:firstLine="420" w:firstLineChars="200"/>
        <w:rPr>
          <w:rFonts w:ascii="宋体" w:hAnsi="宋体"/>
          <w:szCs w:val="21"/>
        </w:rPr>
      </w:pPr>
      <w:r>
        <w:rPr>
          <w:rFonts w:ascii="宋体" w:hAnsi="宋体" w:hint="eastAsia"/>
          <w:szCs w:val="21"/>
        </w:rPr>
        <w:t>（12）上海黄金交易所挂盘的贵金属现货实盘合约，以其估值日在上海黄金交易所挂盘的收盘价估值。若估值当日无收盘价的，以最近交易日的收盘价估值。</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3</w:t>
      </w:r>
      <w:r>
        <w:rPr>
          <w:rFonts w:ascii="宋体" w:hAnsi="宋体"/>
          <w:szCs w:val="21"/>
        </w:rPr>
        <w:t>）上海黄金交易所挂盘的贵金属现货延期交收合约，以其估值日在上海黄金交易所挂盘的结算价估值。若估值当日无结算价的，采用最近交易日结算价估值。</w:t>
      </w:r>
    </w:p>
    <w:p>
      <w:pPr>
        <w:pStyle w:val="a-BR506228"/>
        <w:spacing w:line="360" w:lineRule="auto"/>
        <w:ind w:firstLine="420" w:firstLineChars="200"/>
        <w:rPr>
          <w:rFonts w:ascii="宋体" w:hAnsi="宋体"/>
          <w:szCs w:val="21"/>
        </w:rPr>
      </w:pPr>
      <w:r>
        <w:rPr>
          <w:rFonts w:ascii="宋体" w:hAnsi="宋体" w:hint="eastAsia"/>
          <w:szCs w:val="21"/>
        </w:rPr>
        <w:t>（1</w:t>
      </w:r>
      <w:r>
        <w:rPr>
          <w:rFonts w:ascii="宋体" w:hAnsi="宋体"/>
          <w:szCs w:val="21"/>
        </w:rPr>
        <w:t>4</w:t>
      </w:r>
      <w:r>
        <w:rPr>
          <w:rFonts w:ascii="宋体" w:hAnsi="宋体" w:hint="eastAsia"/>
          <w:szCs w:val="21"/>
        </w:rPr>
        <w:t>）在全国中小企业股份转让系统挂牌交易的股票，以连续竞价方式或做市转让方式交易的股票，以其估值日挂牌的市价（收盘价）估值，估值日无交易的，以最近交易日的市价（收盘价）估值；以集合竞价方式交易的股票按成本估值。特别地，当股票挂牌交易方式由连续竞价方式或者做市转让方式变更为集合竞价方式时，自转让方式变更日起按该股票变更日前最新的挂牌市价（收盘价）进行估值；由集合竞价方式变更为连续竞价方式或者做市转让方式的股票则自转让方式变更日起按最新的挂牌市价（收盘价）估值，变更日无挂牌市价（收盘价）的，按变更日前该股票的最新估值价格进行估值。本基金通过大宗交易等协议转让方式受让股票的，根据该股票的挂牌交易方式所对应的估值方法进行估值。</w:t>
      </w:r>
    </w:p>
    <w:p>
      <w:pPr>
        <w:pStyle w:val="a-BR506228"/>
        <w:spacing w:line="360" w:lineRule="auto"/>
        <w:ind w:firstLine="420" w:firstLineChars="200"/>
        <w:rPr>
          <w:rFonts w:ascii="宋体" w:hAnsi="宋体"/>
          <w:szCs w:val="21"/>
        </w:rPr>
      </w:pPr>
      <w:r>
        <w:rPr>
          <w:rFonts w:ascii="宋体" w:hAnsi="宋体" w:hint="eastAsia"/>
          <w:szCs w:val="21"/>
        </w:rPr>
        <w:t>（1</w:t>
      </w:r>
      <w:r>
        <w:rPr>
          <w:rFonts w:ascii="宋体" w:hAnsi="宋体"/>
          <w:szCs w:val="21"/>
        </w:rPr>
        <w:t>5</w:t>
      </w:r>
      <w:r>
        <w:rPr>
          <w:rFonts w:ascii="宋体" w:hAnsi="宋体" w:hint="eastAsia"/>
          <w:szCs w:val="21"/>
        </w:rPr>
        <w:t>）证券交易所、新三板退市/摘牌的股份，以退市/摘牌前该股票的最新估值价格进行估值。</w:t>
      </w:r>
    </w:p>
    <w:p>
      <w:pPr>
        <w:pStyle w:val="a-BR506228"/>
        <w:spacing w:line="360" w:lineRule="auto"/>
        <w:ind w:firstLine="420" w:firstLineChars="200"/>
        <w:rPr>
          <w:rFonts w:ascii="宋体" w:hAnsi="宋体"/>
          <w:szCs w:val="21"/>
        </w:rPr>
      </w:pPr>
      <w:r>
        <w:rPr>
          <w:rFonts w:ascii="宋体" w:hAnsi="宋体" w:hint="eastAsia"/>
          <w:szCs w:val="21"/>
        </w:rPr>
        <w:t>（1</w:t>
      </w:r>
      <w:r>
        <w:rPr>
          <w:rFonts w:ascii="宋体" w:hAnsi="宋体"/>
          <w:szCs w:val="21"/>
        </w:rPr>
        <w:t>6</w:t>
      </w:r>
      <w:r>
        <w:rPr>
          <w:rFonts w:ascii="宋体" w:hAnsi="宋体" w:hint="eastAsia"/>
          <w:szCs w:val="21"/>
        </w:rPr>
        <w:t>）侧袋机制：</w:t>
      </w:r>
    </w:p>
    <w:p>
      <w:pPr>
        <w:pStyle w:val="a-BR506228"/>
        <w:spacing w:line="360" w:lineRule="auto"/>
        <w:ind w:firstLine="420" w:firstLineChars="200"/>
        <w:rPr>
          <w:rFonts w:ascii="宋体" w:hAnsi="宋体"/>
          <w:szCs w:val="21"/>
        </w:rPr>
      </w:pPr>
      <w:r>
        <w:rPr>
          <w:rFonts w:ascii="宋体" w:hAnsi="宋体" w:hint="eastAsia"/>
          <w:szCs w:val="21"/>
        </w:rPr>
        <w:t>i、定义：侧袋机制是指将特定资产从原私募基金资产中分离至一个专门账户进行独立管理的机制。启用侧袋机制后，原有基金账户为主袋账户，包含特定资产的独立账户为侧袋账户。</w:t>
      </w:r>
    </w:p>
    <w:p>
      <w:pPr>
        <w:pStyle w:val="a-BR506228"/>
        <w:spacing w:line="360" w:lineRule="auto"/>
        <w:ind w:firstLine="420" w:firstLineChars="200"/>
        <w:rPr>
          <w:rFonts w:ascii="宋体" w:hAnsi="宋体"/>
          <w:szCs w:val="21"/>
        </w:rPr>
      </w:pPr>
      <w:r>
        <w:rPr>
          <w:rFonts w:ascii="宋体" w:hAnsi="宋体" w:hint="eastAsia"/>
          <w:szCs w:val="21"/>
        </w:rPr>
        <w:t>上文所述的特定资产是指：（一）无可参考的活跃市场价格且采用估值技术仍导致公允价值存在重大不确定性的资产；（二）按摊余成本计量且计提资产减值准备仍导致资产价值存在重大不确定性的资产；（三）其他资产价值存在重大不确定性的资产。包括但不限于违约债券等无交易、流通受限或交易不活跃的资产。</w:t>
      </w:r>
    </w:p>
    <w:p>
      <w:pPr>
        <w:pStyle w:val="a-BR506228"/>
        <w:spacing w:line="360" w:lineRule="auto"/>
        <w:ind w:firstLine="420" w:firstLineChars="200"/>
      </w:pPr>
      <w:r>
        <w:rPr>
          <w:rFonts w:ascii="宋体" w:hAnsi="宋体" w:hint="eastAsia"/>
          <w:szCs w:val="21"/>
        </w:rPr>
        <w:t>ii、启用情形：</w:t>
      </w:r>
      <w:r>
        <w:t>当私募基金持有前述特定资产时，私募基金管理人认为基金面临的潜在赎回压力较大且潜在赎回申请可能</w:t>
      </w:r>
      <w:r>
        <w:rPr>
          <w:rFonts w:hint="eastAsia"/>
        </w:rPr>
        <w:t>影响份额持有人利益</w:t>
      </w:r>
      <w:r>
        <w:t>时，</w:t>
      </w:r>
      <w:r>
        <w:rPr>
          <w:rFonts w:hint="eastAsia"/>
        </w:rPr>
        <w:t>可以启用侧袋机制。</w:t>
      </w:r>
    </w:p>
    <w:p>
      <w:pPr>
        <w:pStyle w:val="a-BR506228"/>
        <w:spacing w:line="360" w:lineRule="auto"/>
        <w:ind w:firstLine="420" w:firstLineChars="200"/>
      </w:pPr>
      <w:r>
        <w:rPr>
          <w:rFonts w:hint="eastAsia"/>
        </w:rPr>
        <w:t>启用侧袋机制前，私募基金管理人应当取得私募基金托管人同意。私募基金管理人应当负责</w:t>
      </w:r>
      <w:r>
        <w:rPr>
          <w:rFonts w:ascii="Arial" w:hAnsi="Arial" w:cs="Arial" w:hint="eastAsia"/>
          <w:shd w:val="clear" w:color="auto" w:fill="FFFFFF"/>
        </w:rPr>
        <w:t>以保护基金份额持有人利益为原则，</w:t>
      </w:r>
      <w:r>
        <w:rPr>
          <w:rFonts w:hint="eastAsia"/>
        </w:rPr>
        <w:t>制定完整、全面、合理的实施方案，公平对待各类投资者，充分考虑侧袋机制对于基金运作产生的各方面影响，不得当用而未用或者滥用侧袋机制。</w:t>
      </w:r>
    </w:p>
    <w:p>
      <w:pPr>
        <w:pStyle w:val="a-BR506228"/>
        <w:spacing w:line="360" w:lineRule="auto"/>
        <w:ind w:firstLine="420" w:firstLineChars="200"/>
        <w:rPr>
          <w:rFonts w:ascii="宋体" w:hAnsi="宋体"/>
          <w:szCs w:val="21"/>
        </w:rPr>
      </w:pPr>
      <w:r>
        <w:rPr>
          <w:rFonts w:ascii="宋体" w:hAnsi="宋体" w:hint="eastAsia"/>
          <w:szCs w:val="21"/>
        </w:rPr>
        <w:t>iii、具体实施规则以及信息披露：启用侧袋机制的，私募基金管理人应当负责将侧袋机制实施方案及时通知全体基金份额持有人、私募基金托管人，并向全体基金份额持有人说明侧袋机制的影响、揭示相应风险。侧袋机制的具体实施规则，应以私募基金管理人公告为准。</w:t>
      </w:r>
    </w:p>
    <w:p>
      <w:pPr>
        <w:pStyle w:val="a-BR506228"/>
        <w:spacing w:line="360" w:lineRule="auto"/>
        <w:ind w:firstLine="420" w:firstLineChars="200"/>
        <w:rPr>
          <w:rFonts w:ascii="宋体" w:hAnsi="宋体"/>
          <w:szCs w:val="21"/>
        </w:rPr>
      </w:pPr>
      <w:r>
        <w:rPr>
          <w:rFonts w:ascii="宋体" w:hAnsi="宋体" w:hint="eastAsia"/>
          <w:szCs w:val="21"/>
        </w:rPr>
        <w:t>启用侧袋机制时，以启用日私募基金净资产为基数对主袋账户和侧袋账户的资产进行分割，</w:t>
      </w:r>
      <w:r>
        <w:t>主袋账户、侧袋账户实收基金份额与原基金账户实收基金份额保持一致</w:t>
      </w:r>
      <w:r>
        <w:rPr>
          <w:rFonts w:ascii="宋体" w:hAnsi="宋体" w:hint="eastAsia"/>
          <w:szCs w:val="21"/>
        </w:rPr>
        <w:t>。</w:t>
      </w:r>
      <w:r>
        <w:rPr>
          <w:rFonts w:ascii="宋体" w:hAnsi="宋体" w:hint="eastAsia"/>
          <w:b/>
          <w:bCs/>
          <w:szCs w:val="21"/>
        </w:rPr>
        <w:t>侧袋账户的持续估值结果不作为侧袋账户资产最终变现价格的承诺，私募基金管理人应及时向投资者进行说明</w:t>
      </w:r>
      <w:r>
        <w:rPr>
          <w:rFonts w:ascii="宋体" w:hAnsi="宋体" w:hint="eastAsia"/>
          <w:szCs w:val="21"/>
        </w:rPr>
        <w:t>。</w:t>
      </w:r>
    </w:p>
    <w:p>
      <w:pPr>
        <w:pStyle w:val="a-BR506228"/>
        <w:spacing w:line="360" w:lineRule="auto"/>
        <w:ind w:firstLine="420" w:firstLineChars="200"/>
        <w:rPr>
          <w:rFonts w:ascii="宋体" w:hAnsi="宋体"/>
          <w:szCs w:val="21"/>
        </w:rPr>
      </w:pPr>
      <w:r>
        <w:rPr>
          <w:rFonts w:ascii="宋体" w:hAnsi="宋体" w:hint="eastAsia"/>
          <w:szCs w:val="21"/>
        </w:rPr>
        <w:t>私募基金实施侧袋机制期间，私募基金管理人对侧袋账户单独设置账套，实行独立核算。主袋账户和侧袋账户分别计算、披露份额净值。</w:t>
      </w:r>
    </w:p>
    <w:p>
      <w:pPr>
        <w:pStyle w:val="a-BR506228"/>
        <w:spacing w:line="360" w:lineRule="auto"/>
        <w:ind w:firstLine="420" w:firstLineChars="200"/>
        <w:rPr>
          <w:rFonts w:ascii="宋体" w:hAnsi="宋体"/>
          <w:szCs w:val="21"/>
        </w:rPr>
      </w:pPr>
      <w:r>
        <w:rPr>
          <w:rFonts w:ascii="宋体" w:hAnsi="宋体" w:hint="eastAsia"/>
          <w:szCs w:val="21"/>
        </w:rPr>
        <w:t>iv、侧袋账户特定资产的变现及分配：侧袋账户资产恢复流动性后，私募基金管理人应按照私募基金资产利益最大化原则处置变现侧袋账户资产，并及时向侧袋账户基金份额持有人支付已变现部分对应的款项。</w:t>
      </w:r>
    </w:p>
    <w:p>
      <w:pPr>
        <w:pStyle w:val="a-BR506228"/>
        <w:spacing w:line="360" w:lineRule="auto"/>
        <w:ind w:firstLine="420" w:firstLineChars="200"/>
        <w:rPr>
          <w:rFonts w:ascii="宋体" w:hAnsi="宋体"/>
          <w:szCs w:val="21"/>
        </w:rPr>
      </w:pPr>
      <w:r>
        <w:rPr>
          <w:rFonts w:ascii="宋体" w:hAnsi="宋体" w:hint="eastAsia"/>
          <w:szCs w:val="21"/>
        </w:rPr>
        <w:t>v、如因启用、实施侧袋机制相关事宜造成投资者任何损失的，应由私募基金管理人独立承担赔偿责任。</w:t>
      </w:r>
    </w:p>
    <w:p>
      <w:pPr>
        <w:pStyle w:val="a-BR506228"/>
        <w:spacing w:line="360" w:lineRule="auto"/>
        <w:ind w:firstLine="420" w:firstLineChars="200"/>
        <w:rPr>
          <w:rFonts w:ascii="宋体" w:hAnsi="宋体"/>
          <w:szCs w:val="21"/>
        </w:rPr>
      </w:pPr>
      <w:r>
        <w:rPr>
          <w:rFonts w:ascii="宋体" w:hAnsi="宋体"/>
          <w:szCs w:val="21"/>
        </w:rPr>
        <w:t>6、</w:t>
      </w:r>
      <w:r>
        <w:rPr>
          <w:rFonts w:ascii="宋体" w:hAnsi="宋体" w:hint="eastAsia"/>
          <w:szCs w:val="21"/>
        </w:rPr>
        <w:t>如存在上述条款未覆盖的投资品种，或有确凿证据表明按上述方法进行估值不能客观反映其公允价值的，私募基金管理人可根据具体情况与私募基金托管人商定一致，</w:t>
      </w:r>
      <w:r>
        <w:rPr>
          <w:rFonts w:ascii="宋体" w:hAnsi="宋体"/>
          <w:szCs w:val="21"/>
        </w:rPr>
        <w:t>并</w:t>
      </w:r>
      <w:r>
        <w:rPr>
          <w:rFonts w:ascii="宋体" w:hAnsi="宋体" w:hint="eastAsia"/>
          <w:szCs w:val="21"/>
        </w:rPr>
        <w:t>将加盖其公章的估值方法调整说明函递交私募基金托管人后，按最能反映公允价值的价格进行估值，私募管理人应告知全体份额持有人以上事项。</w:t>
      </w:r>
    </w:p>
    <w:p>
      <w:pPr>
        <w:pStyle w:val="a-BR506228"/>
        <w:spacing w:line="360" w:lineRule="auto"/>
        <w:ind w:firstLine="420" w:firstLineChars="200"/>
        <w:rPr>
          <w:rFonts w:ascii="宋体" w:hAnsi="宋体"/>
          <w:szCs w:val="21"/>
        </w:rPr>
      </w:pPr>
      <w:r>
        <w:rPr>
          <w:rFonts w:ascii="宋体" w:hAnsi="宋体"/>
          <w:szCs w:val="21"/>
        </w:rPr>
        <w:t>7、</w:t>
      </w:r>
      <w:r>
        <w:rPr>
          <w:rFonts w:ascii="宋体" w:hAnsi="宋体" w:hint="eastAsia"/>
          <w:szCs w:val="21"/>
        </w:rPr>
        <w:t>上述估值方法，相关法律法规以及监管部门有强制规定的，从其规定。如有新增事项，按国家最新规定估值。如私募基金管理人或私募基金托管人发现基金估值违反本合同订明的估值方法、程序及相关法律法规的规定或者未能充分维护基金份额持有人利益时，应立即通知对方，共同查明原因，双方协商解决。</w:t>
      </w:r>
    </w:p>
    <w:p>
      <w:pPr>
        <w:pStyle w:val="a-BR506228"/>
        <w:spacing w:line="360" w:lineRule="auto"/>
        <w:ind w:firstLine="420" w:firstLineChars="200"/>
        <w:rPr>
          <w:rFonts w:ascii="宋体" w:hAnsi="宋体"/>
          <w:szCs w:val="21"/>
        </w:rPr>
      </w:pPr>
      <w:r>
        <w:rPr>
          <w:rFonts w:ascii="宋体" w:hAnsi="宋体"/>
          <w:szCs w:val="21"/>
        </w:rPr>
        <w:t>8</w:t>
      </w:r>
      <w:r>
        <w:rPr>
          <w:rFonts w:ascii="宋体" w:hAnsi="宋体" w:hint="eastAsia"/>
          <w:szCs w:val="21"/>
        </w:rPr>
        <w:t>、汇率</w:t>
      </w:r>
    </w:p>
    <w:p>
      <w:pPr>
        <w:pStyle w:val="a-BR506228"/>
        <w:spacing w:line="360" w:lineRule="auto"/>
        <w:ind w:firstLine="420" w:firstLineChars="200"/>
        <w:rPr>
          <w:rFonts w:asciiTheme="minorEastAsia" w:hAnsiTheme="minorEastAsia"/>
          <w:bCs/>
          <w:szCs w:val="21"/>
        </w:rPr>
      </w:pPr>
      <w:r>
        <w:rPr>
          <w:rFonts w:ascii="PMingLiU" w:hAnsi="PMingLiU" w:hint="eastAsia"/>
          <w:bCs/>
          <w:szCs w:val="21"/>
        </w:rPr>
        <w:t>基金港股通投资持有外币证券资产的估值涉及到港币对人民币汇率的，可参考估值日当日中国人民银行或其授权机构公布的人民币汇率中间价，或其他可以反映公允价值的汇率进行估值。</w:t>
      </w:r>
    </w:p>
    <w:p>
      <w:pPr>
        <w:pStyle w:val="a-BR506228"/>
        <w:spacing w:line="360" w:lineRule="auto"/>
        <w:ind w:firstLine="420" w:firstLineChars="200"/>
        <w:rPr>
          <w:rFonts w:ascii="宋体" w:hAnsi="宋体"/>
          <w:szCs w:val="21"/>
        </w:rPr>
      </w:pPr>
      <w:r>
        <w:rPr>
          <w:rFonts w:ascii="宋体" w:hAnsi="宋体"/>
          <w:szCs w:val="21"/>
        </w:rPr>
        <w:t>9</w:t>
      </w:r>
      <w:r>
        <w:rPr>
          <w:rFonts w:ascii="宋体" w:hAnsi="宋体" w:hint="eastAsia"/>
          <w:szCs w:val="21"/>
        </w:rPr>
        <w:t>、估值程序</w:t>
      </w:r>
    </w:p>
    <w:p>
      <w:pPr>
        <w:pStyle w:val="a-BR506228"/>
        <w:spacing w:line="360" w:lineRule="auto"/>
        <w:ind w:firstLine="420" w:firstLineChars="200"/>
        <w:rPr>
          <w:rFonts w:ascii="宋体" w:hAnsi="宋体"/>
          <w:szCs w:val="21"/>
        </w:rPr>
      </w:pPr>
      <w:r>
        <w:rPr>
          <w:rFonts w:ascii="宋体" w:hAnsi="宋体" w:hint="eastAsia"/>
          <w:szCs w:val="21"/>
        </w:rPr>
        <w:t>基金日常估值由私募基金管理人进行。私募基金管理人完成估值后，将估值结果以私募基金托管人认可的形式送至私募基金托管人，私募基金托管人对私募基金管理人发送的估值结果予以复核。私募基金管理人应及时核查复核结果，如对复核结果存在异议的，应当及时联系私募基金托管人共同查明原因。</w:t>
      </w:r>
    </w:p>
    <w:p>
      <w:pPr>
        <w:pStyle w:val="a-BR506228"/>
        <w:spacing w:line="360" w:lineRule="auto"/>
        <w:ind w:firstLine="420" w:firstLineChars="200"/>
        <w:rPr>
          <w:rFonts w:ascii="宋体" w:hAnsi="宋体"/>
          <w:szCs w:val="21"/>
        </w:rPr>
      </w:pPr>
      <w:r>
        <w:rPr>
          <w:rFonts w:ascii="宋体" w:hAnsi="宋体" w:hint="eastAsia"/>
          <w:szCs w:val="21"/>
        </w:rPr>
        <w:t>私募基金管理人和私募基金托管人由于各自技术系统设置而产生的净值计算尾差，以私募基金管理人计算结果为准。</w:t>
      </w:r>
    </w:p>
    <w:p>
      <w:pPr>
        <w:pStyle w:val="a-BR506228"/>
        <w:spacing w:line="360" w:lineRule="auto"/>
        <w:ind w:firstLine="420" w:firstLineChars="200"/>
        <w:rPr>
          <w:rFonts w:ascii="宋体" w:hAnsi="宋体"/>
          <w:szCs w:val="21"/>
        </w:rPr>
      </w:pPr>
      <w:r>
        <w:rPr>
          <w:rFonts w:ascii="宋体" w:hAnsi="宋体" w:hint="eastAsia"/>
          <w:szCs w:val="21"/>
        </w:rPr>
        <w:t>在法律法规和中国证监会允许的情况下，私募基金管理人与私募基金托管人可以各自委托第三方机构进行基金资产估值，但不改变私募基金管理人与私募基金托管人对基金资产估值各自承担的责任。</w:t>
      </w:r>
    </w:p>
    <w:p>
      <w:pPr>
        <w:pStyle w:val="a-BR506228"/>
        <w:spacing w:line="360" w:lineRule="auto"/>
        <w:ind w:firstLine="420" w:firstLineChars="200"/>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、估值错误</w:t>
      </w:r>
    </w:p>
    <w:p>
      <w:pPr>
        <w:pStyle w:val="a-BR506228"/>
        <w:spacing w:line="360" w:lineRule="auto"/>
        <w:ind w:firstLine="420" w:firstLineChars="200"/>
        <w:rPr>
          <w:rFonts w:ascii="宋体" w:hAnsi="宋体"/>
          <w:szCs w:val="21"/>
        </w:rPr>
      </w:pPr>
      <w:r>
        <w:rPr>
          <w:rFonts w:ascii="宋体" w:hAnsi="宋体" w:hint="eastAsia"/>
          <w:szCs w:val="21"/>
        </w:rPr>
        <w:t>（1）估值错误的界定</w:t>
      </w:r>
    </w:p>
    <w:p>
      <w:pPr>
        <w:pStyle w:val="a-BR506228"/>
        <w:spacing w:line="360" w:lineRule="auto"/>
        <w:ind w:firstLine="420" w:firstLineChars="200"/>
        <w:rPr>
          <w:rFonts w:ascii="宋体" w:hAnsi="宋体"/>
          <w:szCs w:val="21"/>
        </w:rPr>
      </w:pPr>
      <w:r>
        <w:rPr>
          <w:rFonts w:ascii="宋体" w:hAnsi="宋体" w:hint="eastAsia"/>
          <w:szCs w:val="21"/>
        </w:rPr>
        <w:t>因私募基金管理人或私募基金托管人未严格按照本合同约定的估值方法进行估值或在估值过程中存在操作性错误，导致基金净值出现偏差。当基金资产估值错误偏离达到基金份额净值的0.25% 时，视为估值错误。</w:t>
      </w:r>
    </w:p>
    <w:p>
      <w:pPr>
        <w:pStyle w:val="a-BR506228"/>
        <w:spacing w:line="360" w:lineRule="auto"/>
        <w:ind w:firstLine="420" w:firstLineChars="200"/>
        <w:rPr>
          <w:rFonts w:ascii="宋体" w:hAnsi="宋体"/>
          <w:szCs w:val="21"/>
        </w:rPr>
      </w:pPr>
      <w:r>
        <w:rPr>
          <w:rFonts w:ascii="宋体" w:hAnsi="宋体" w:hint="eastAsia"/>
          <w:szCs w:val="21"/>
        </w:rPr>
        <w:t>本基金运作过程中，由于不可抗力造成基金交易资料灭失或被错误处理或造成其他差错的，因不可抗力出现差错的当事人不对其他当事人承担赔偿责任，但因该差错取得不当得利的当事人仍应负有返还不当得利的义务。</w:t>
      </w:r>
    </w:p>
    <w:p>
      <w:pPr>
        <w:pStyle w:val="a-BR506228"/>
        <w:spacing w:line="360" w:lineRule="auto"/>
        <w:ind w:firstLine="420" w:firstLineChars="200"/>
        <w:rPr>
          <w:rFonts w:ascii="宋体" w:hAnsi="宋体"/>
          <w:szCs w:val="21"/>
        </w:rPr>
      </w:pPr>
      <w:r>
        <w:rPr>
          <w:rFonts w:ascii="宋体" w:hAnsi="宋体" w:hint="eastAsia"/>
          <w:szCs w:val="21"/>
        </w:rPr>
        <w:t>（2）估值错误处理原则</w:t>
      </w:r>
    </w:p>
    <w:p>
      <w:pPr>
        <w:pStyle w:val="a-BR506228"/>
        <w:spacing w:line="360" w:lineRule="auto"/>
        <w:ind w:firstLine="420" w:firstLineChars="200"/>
        <w:rPr>
          <w:rFonts w:ascii="宋体" w:hAnsi="宋体"/>
          <w:szCs w:val="21"/>
        </w:rPr>
      </w:pPr>
      <w:r>
        <w:rPr>
          <w:rFonts w:ascii="宋体" w:hAnsi="宋体" w:hint="eastAsia"/>
          <w:szCs w:val="21"/>
        </w:rPr>
        <w:t>由于私募基金管理人、私募基金托管人、证券/期货经纪机构、证券交易所、份额登记机构、募集机构或基金投资者自身的过错造成估值错误，导致其他当事人遭受损失的，遵循如下估值错误处理原则：</w:t>
      </w:r>
    </w:p>
    <w:p>
      <w:pPr>
        <w:pStyle w:val="a-BR506228"/>
        <w:spacing w:line="360" w:lineRule="auto"/>
        <w:ind w:firstLine="420" w:firstLineChars="200"/>
        <w:rPr>
          <w:rFonts w:ascii="宋体" w:hAnsi="宋体"/>
          <w:szCs w:val="21"/>
        </w:rPr>
      </w:pPr>
      <w:r>
        <w:rPr>
          <w:rFonts w:ascii="宋体" w:hAnsi="宋体" w:hint="eastAsia"/>
          <w:szCs w:val="21"/>
        </w:rPr>
        <w:t>A、如私募基金管理人发现基金资产估值违反本合同订明的估值方法、程序及相关法律法规的规定，导致基金资产估值错误偏离达到基金份额净值的0.25%时，应立即通知私募基金托管人，双方共同查明原因，协商解决；</w:t>
      </w:r>
    </w:p>
    <w:p>
      <w:pPr>
        <w:pStyle w:val="a-BR506228"/>
        <w:spacing w:line="360" w:lineRule="auto"/>
        <w:ind w:firstLine="420" w:firstLineChars="200"/>
        <w:rPr>
          <w:rFonts w:ascii="宋体" w:hAnsi="宋体"/>
          <w:szCs w:val="21"/>
        </w:rPr>
      </w:pPr>
      <w:r>
        <w:rPr>
          <w:rFonts w:ascii="宋体" w:hAnsi="宋体"/>
          <w:szCs w:val="21"/>
        </w:rPr>
        <w:t>B</w:t>
      </w:r>
      <w:r>
        <w:rPr>
          <w:rFonts w:ascii="宋体" w:hAnsi="宋体" w:hint="eastAsia"/>
          <w:szCs w:val="21"/>
        </w:rPr>
        <w:t>、估值错误的责任人应当对由于该估值错误遭受损失的直接当事人的直接损失负责，不对间接损失负责，不对除直接当事人以外的第三方负责；</w:t>
      </w:r>
    </w:p>
    <w:p>
      <w:pPr>
        <w:pStyle w:val="a-BR506228"/>
        <w:spacing w:line="360" w:lineRule="auto"/>
        <w:ind w:firstLine="420" w:firstLineChars="200"/>
        <w:rPr>
          <w:rFonts w:ascii="宋体" w:hAnsi="宋体"/>
          <w:szCs w:val="21"/>
        </w:rPr>
      </w:pPr>
      <w:r>
        <w:rPr>
          <w:rFonts w:ascii="宋体" w:hAnsi="宋体"/>
          <w:szCs w:val="21"/>
        </w:rPr>
        <w:t>C</w:t>
      </w:r>
      <w:r>
        <w:rPr>
          <w:rFonts w:ascii="宋体" w:hAnsi="宋体" w:hint="eastAsia"/>
          <w:szCs w:val="21"/>
        </w:rPr>
        <w:t>、因估值错误而获得不当得利的当事人负有及时返还不当得利的义务；</w:t>
      </w:r>
    </w:p>
    <w:p>
      <w:pPr>
        <w:pStyle w:val="a-BR506228"/>
        <w:spacing w:line="360" w:lineRule="auto"/>
        <w:ind w:firstLine="420" w:firstLineChars="200"/>
        <w:rPr>
          <w:rFonts w:ascii="宋体" w:hAnsi="宋体"/>
          <w:szCs w:val="21"/>
        </w:rPr>
      </w:pPr>
      <w:r>
        <w:rPr>
          <w:rFonts w:ascii="宋体" w:hAnsi="宋体"/>
          <w:szCs w:val="21"/>
        </w:rPr>
        <w:t>D</w:t>
      </w:r>
      <w:r>
        <w:rPr>
          <w:rFonts w:ascii="宋体" w:hAnsi="宋体" w:hint="eastAsia"/>
          <w:szCs w:val="21"/>
        </w:rPr>
        <w:t>、估值错误调整采用尽量恢复至假设未发生估值错误的正确情形的方式；</w:t>
      </w:r>
    </w:p>
    <w:p>
      <w:pPr>
        <w:pStyle w:val="a-BR506228"/>
        <w:spacing w:line="360" w:lineRule="auto"/>
        <w:ind w:firstLine="420" w:firstLineChars="200"/>
        <w:rPr>
          <w:rFonts w:ascii="宋体" w:hAnsi="宋体"/>
          <w:szCs w:val="21"/>
        </w:rPr>
      </w:pPr>
      <w:r>
        <w:rPr>
          <w:rFonts w:ascii="宋体" w:hAnsi="宋体"/>
          <w:szCs w:val="21"/>
        </w:rPr>
        <w:t>E</w:t>
      </w:r>
      <w:r>
        <w:rPr>
          <w:rFonts w:ascii="宋体" w:hAnsi="宋体" w:hint="eastAsia"/>
          <w:szCs w:val="21"/>
        </w:rPr>
        <w:t>、按法律法规规定的其他原则处理估值错误。</w:t>
      </w:r>
    </w:p>
    <w:p>
      <w:pPr>
        <w:pStyle w:val="a-BR506228"/>
        <w:spacing w:line="360" w:lineRule="auto"/>
        <w:ind w:firstLine="420" w:firstLineChars="200"/>
        <w:rPr>
          <w:rFonts w:ascii="宋体" w:hAnsi="宋体"/>
          <w:szCs w:val="21"/>
        </w:rPr>
      </w:pPr>
      <w:r>
        <w:rPr>
          <w:rFonts w:ascii="宋体" w:hAnsi="宋体" w:hint="eastAsia"/>
          <w:szCs w:val="21"/>
        </w:rPr>
        <w:t>（3）估值错误处理程序</w:t>
      </w:r>
    </w:p>
    <w:p>
      <w:pPr>
        <w:pStyle w:val="a-BR506228"/>
        <w:spacing w:line="360" w:lineRule="auto"/>
        <w:ind w:firstLine="420" w:firstLineChars="200"/>
        <w:rPr>
          <w:rFonts w:ascii="宋体" w:hAnsi="宋体"/>
          <w:szCs w:val="21"/>
        </w:rPr>
      </w:pPr>
      <w:r>
        <w:rPr>
          <w:rFonts w:ascii="宋体" w:hAnsi="宋体" w:hint="eastAsia"/>
          <w:szCs w:val="21"/>
        </w:rPr>
        <w:t>估值错误被发现后，私募基金管理人应当及时进行处理，处理的程序如下：</w:t>
      </w:r>
    </w:p>
    <w:p>
      <w:pPr>
        <w:pStyle w:val="a-BR506228"/>
        <w:spacing w:line="360" w:lineRule="auto"/>
        <w:ind w:firstLine="420" w:firstLineChars="200"/>
        <w:rPr>
          <w:rFonts w:ascii="宋体" w:hAnsi="宋体"/>
          <w:szCs w:val="21"/>
        </w:rPr>
      </w:pPr>
      <w:r>
        <w:rPr>
          <w:rFonts w:ascii="宋体" w:hAnsi="宋体" w:hint="eastAsia"/>
          <w:szCs w:val="21"/>
        </w:rPr>
        <w:t>A、基金份额净值计算出现错误时，私募基金管理人应当立即予以纠正，通报私募基金托管人，并采取合理的措施防止损失进一步扩大；</w:t>
      </w:r>
    </w:p>
    <w:p>
      <w:pPr>
        <w:pStyle w:val="a-BR506228"/>
        <w:spacing w:line="360" w:lineRule="auto"/>
        <w:ind w:firstLine="420" w:firstLineChars="200"/>
        <w:rPr>
          <w:rFonts w:ascii="宋体" w:hAnsi="宋体"/>
          <w:szCs w:val="21"/>
        </w:rPr>
      </w:pPr>
      <w:r>
        <w:rPr>
          <w:rFonts w:ascii="宋体" w:hAnsi="宋体" w:hint="eastAsia"/>
          <w:szCs w:val="21"/>
        </w:rPr>
        <w:t>B、私募基金管理人应当查明估值错误发生的原因，对因估值错误造成的损失进行评估；</w:t>
      </w:r>
    </w:p>
    <w:p>
      <w:pPr>
        <w:pStyle w:val="a-BR506228"/>
        <w:spacing w:line="360" w:lineRule="auto"/>
        <w:ind w:firstLine="420" w:firstLineChars="200"/>
        <w:rPr>
          <w:rFonts w:ascii="宋体" w:hAnsi="宋体"/>
          <w:szCs w:val="21"/>
        </w:rPr>
      </w:pPr>
      <w:r>
        <w:rPr>
          <w:rFonts w:ascii="宋体" w:hAnsi="宋体" w:hint="eastAsia"/>
          <w:szCs w:val="21"/>
        </w:rPr>
        <w:t>C、根据估值错误处理原则或当事人协商的方法，对估值错误进行处理；</w:t>
      </w:r>
    </w:p>
    <w:p>
      <w:pPr>
        <w:pStyle w:val="a-BR506228"/>
        <w:spacing w:line="360" w:lineRule="auto"/>
        <w:ind w:firstLine="420" w:firstLineChars="200"/>
        <w:rPr>
          <w:rFonts w:ascii="宋体" w:hAnsi="宋体"/>
          <w:szCs w:val="21"/>
        </w:rPr>
      </w:pPr>
      <w:r>
        <w:rPr>
          <w:rFonts w:ascii="宋体" w:hAnsi="宋体" w:hint="eastAsia"/>
          <w:szCs w:val="21"/>
        </w:rPr>
        <w:t>D、前述内容如法律法规或监管机关另有规定的，从其规定处理。</w:t>
      </w:r>
    </w:p>
    <w:p>
      <w:pPr>
        <w:pStyle w:val="a-BR506228"/>
        <w:spacing w:line="360" w:lineRule="auto"/>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、暂停估值的情形</w:t>
      </w:r>
    </w:p>
    <w:p>
      <w:pPr>
        <w:pStyle w:val="a-BR506228"/>
        <w:spacing w:line="360" w:lineRule="auto"/>
        <w:ind w:firstLine="420" w:firstLineChars="200"/>
        <w:rPr>
          <w:rFonts w:ascii="宋体" w:hAnsi="宋体"/>
          <w:szCs w:val="21"/>
        </w:rPr>
      </w:pPr>
      <w:r>
        <w:rPr>
          <w:rFonts w:ascii="宋体" w:hAnsi="宋体" w:hint="eastAsia"/>
          <w:szCs w:val="21"/>
        </w:rPr>
        <w:t>（1）基金投资所涉及的证券交易场所遇法定节假日或因其他原因暂停营业时；</w:t>
      </w:r>
    </w:p>
    <w:p>
      <w:pPr>
        <w:pStyle w:val="a-BR506228"/>
        <w:spacing w:line="360" w:lineRule="auto"/>
        <w:ind w:firstLine="420" w:firstLineChars="200"/>
        <w:rPr>
          <w:rFonts w:ascii="宋体" w:hAnsi="宋体"/>
          <w:szCs w:val="21"/>
        </w:rPr>
      </w:pPr>
      <w:r>
        <w:rPr>
          <w:rFonts w:ascii="宋体" w:hAnsi="宋体" w:hint="eastAsia"/>
          <w:szCs w:val="21"/>
        </w:rPr>
        <w:t>（2）证券/期货经纪服务机构等外部机构未能提供估值所需资料，导致私募基金管理人（或其委托的运营服务机构）、私募基金托管人无法对基金资产进行正常估值时；</w:t>
      </w:r>
    </w:p>
    <w:p>
      <w:pPr>
        <w:pStyle w:val="a-BR506228"/>
        <w:spacing w:line="360" w:lineRule="auto"/>
        <w:ind w:firstLine="420" w:firstLineChars="200"/>
        <w:rPr>
          <w:rFonts w:ascii="宋体" w:hAnsi="宋体"/>
          <w:szCs w:val="21"/>
        </w:rPr>
      </w:pPr>
      <w:r>
        <w:rPr>
          <w:rFonts w:ascii="宋体" w:hAnsi="宋体" w:hint="eastAsia"/>
          <w:szCs w:val="21"/>
        </w:rPr>
        <w:t>（3）因不可抗力或其他情形致使私募基金管理人、私募基金托管人无法准确评估基金财产价值时；</w:t>
      </w:r>
    </w:p>
    <w:p>
      <w:pPr>
        <w:pStyle w:val="a-BR506228"/>
        <w:spacing w:line="360" w:lineRule="auto"/>
        <w:ind w:firstLine="420" w:firstLineChars="200"/>
        <w:rPr>
          <w:rFonts w:ascii="宋体" w:hAnsi="宋体"/>
          <w:szCs w:val="21"/>
        </w:rPr>
      </w:pPr>
      <w:r>
        <w:rPr>
          <w:rFonts w:ascii="宋体" w:hAnsi="宋体" w:hint="eastAsia"/>
          <w:szCs w:val="21"/>
        </w:rPr>
        <w:t>（4）占基金相当比例的投资品种的估值出现重大转变，而私募基金管理人为保障基金投资者的利益，并与私募基金托管人协商一致后，决定暂停估值的情形；</w:t>
      </w:r>
    </w:p>
    <w:p>
      <w:pPr>
        <w:pStyle w:val="a-BR506228"/>
        <w:spacing w:line="360" w:lineRule="auto"/>
        <w:ind w:firstLine="420" w:firstLineChars="200"/>
        <w:rPr>
          <w:rFonts w:ascii="宋体" w:hAnsi="宋体"/>
          <w:szCs w:val="21"/>
        </w:rPr>
      </w:pPr>
      <w:r>
        <w:rPr>
          <w:rFonts w:ascii="宋体" w:hAnsi="宋体" w:hint="eastAsia"/>
          <w:szCs w:val="21"/>
        </w:rPr>
        <w:t>（5）私募基金管理人或私募基金托管人有合理理由认为根据现有的材料无法准确估值，经双方协商一致，决定暂停估值的情形；</w:t>
      </w:r>
    </w:p>
    <w:p>
      <w:pPr>
        <w:pStyle w:val="a-BR506228"/>
        <w:spacing w:line="360" w:lineRule="auto"/>
        <w:ind w:firstLine="420" w:firstLineChars="200"/>
        <w:rPr>
          <w:rFonts w:ascii="宋体" w:hAnsi="宋体"/>
          <w:szCs w:val="21"/>
        </w:rPr>
      </w:pPr>
      <w:r>
        <w:rPr>
          <w:rFonts w:ascii="宋体" w:hAnsi="宋体" w:hint="eastAsia"/>
          <w:szCs w:val="21"/>
        </w:rPr>
        <w:t>（6）其他需要暂停估值的情形。</w:t>
      </w:r>
    </w:p>
    <w:p>
      <w:pPr>
        <w:pStyle w:val="a-BR506228"/>
        <w:spacing w:line="360" w:lineRule="auto"/>
        <w:ind w:firstLine="420" w:firstLineChars="200"/>
        <w:rPr>
          <w:rFonts w:ascii="宋体" w:hAnsi="宋体"/>
          <w:szCs w:val="21"/>
        </w:rPr>
      </w:pPr>
      <w:r>
        <w:rPr>
          <w:rFonts w:ascii="宋体" w:hAnsi="宋体" w:hint="eastAsia"/>
          <w:szCs w:val="21"/>
        </w:rPr>
        <w:t>如发生上述暂停估值的情形，私募基金托管人暂停对本基金的投资监督、定期报告的财务数据复核，自本基金恢复估值之日起，私募基金托管人恢复对本基金的投资监督。</w:t>
      </w:r>
    </w:p>
    <w:p>
      <w:pPr>
        <w:pStyle w:val="a-BR506228"/>
        <w:spacing w:line="360" w:lineRule="auto"/>
        <w:ind w:firstLine="420" w:firstLineChars="200"/>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、基金份额净值的确认</w:t>
      </w:r>
    </w:p>
    <w:p>
      <w:pPr>
        <w:pStyle w:val="a-BR506228"/>
        <w:spacing w:line="360" w:lineRule="auto"/>
        <w:ind w:firstLine="420" w:firstLineChars="200"/>
        <w:rPr>
          <w:rFonts w:ascii="宋体" w:hAnsi="宋体"/>
          <w:szCs w:val="21"/>
        </w:rPr>
      </w:pPr>
      <w:r>
        <w:rPr>
          <w:rFonts w:ascii="宋体" w:hAnsi="宋体" w:hint="eastAsia"/>
          <w:szCs w:val="21"/>
        </w:rPr>
        <w:t>根据有关法律法规，基金资产净值计算和基金会计核算的义务由私募基金管理人承担。本基金的基金会计责任方由私募基金管理人担任，因此，就与本基金有关的净值计算与会计核算问题，如经相关各方在平等基础上充分讨论后，仍无法达成一致的意见，以私募基金管理人对基金资产净值的计算结果为准，由此造成的损失，私募基金托管人不承担任何责任。</w:t>
      </w:r>
    </w:p>
    <w:p>
      <w:pPr>
        <w:pStyle w:val="a-BR506228"/>
        <w:spacing w:line="360" w:lineRule="auto"/>
        <w:ind w:firstLine="420" w:firstLineChars="200"/>
        <w:rPr>
          <w:rFonts w:ascii="宋体" w:hAnsi="宋体"/>
          <w:szCs w:val="21"/>
        </w:rPr>
      </w:pPr>
      <w:r>
        <w:rPr>
          <w:rFonts w:ascii="宋体" w:hAnsi="宋体" w:hint="eastAsia"/>
          <w:szCs w:val="21"/>
        </w:rPr>
        <w:t>（二）特殊情况的处理</w:t>
      </w:r>
    </w:p>
    <w:p>
      <w:pPr>
        <w:pStyle w:val="a-BR506228"/>
        <w:spacing w:line="360" w:lineRule="auto"/>
        <w:ind w:firstLine="420" w:firstLineChars="200"/>
        <w:rPr>
          <w:rFonts w:ascii="宋体" w:hAnsi="宋体"/>
          <w:szCs w:val="21"/>
        </w:rPr>
      </w:pPr>
      <w:r>
        <w:rPr>
          <w:rFonts w:ascii="宋体" w:hAnsi="宋体" w:hint="eastAsia"/>
          <w:szCs w:val="21"/>
        </w:rPr>
        <w:t>由于不可抗力原因，或由于证券交易所及登记结算公司发送的数据错误，或国家会计政策变更、市场规则变更等，私募基金管理人和私募基金托管人虽然已经采取必要、适当、合理的措施进行检查，但未能发现错误或虽发现错误但因前述原因无法更正的，由此造成的基金资产估值错误，私募基金管理人和私募基金托管人免除赔偿责任。但私募基金管理人和私募基金托管人应当积极采取必要的措施减轻或消除由此造成的影响。</w:t>
      </w:r>
    </w:p>
    <w:p>
      <w:pPr>
        <w:pStyle w:val="a-BR506228"/>
        <w:spacing w:line="360" w:lineRule="auto"/>
        <w:ind w:firstLine="420" w:firstLineChars="200"/>
        <w:rPr>
          <w:rFonts w:ascii="宋体" w:hAnsi="宋体"/>
          <w:szCs w:val="21"/>
        </w:rPr>
      </w:pPr>
      <w:r>
        <w:rPr>
          <w:rFonts w:ascii="宋体" w:hAnsi="宋体" w:hint="eastAsia"/>
          <w:szCs w:val="21"/>
        </w:rPr>
        <w:t>（三）基金财产的会计核算</w:t>
      </w:r>
    </w:p>
    <w:p>
      <w:pPr>
        <w:pStyle w:val="a-BR506228"/>
        <w:spacing w:line="360" w:lineRule="auto"/>
        <w:ind w:firstLine="420" w:firstLineChars="200"/>
        <w:rPr>
          <w:rFonts w:ascii="宋体" w:hAnsi="宋体"/>
          <w:szCs w:val="21"/>
        </w:rPr>
      </w:pPr>
      <w:r>
        <w:rPr>
          <w:rFonts w:ascii="宋体" w:hAnsi="宋体" w:hint="eastAsia"/>
          <w:szCs w:val="21"/>
        </w:rPr>
        <w:t>基金的会计政策比照证券投资基金现行政策执行。</w:t>
      </w:r>
    </w:p>
    <w:p>
      <w:pPr>
        <w:pStyle w:val="a-BR506228"/>
        <w:spacing w:line="360" w:lineRule="auto"/>
        <w:ind w:firstLine="420" w:firstLineChars="200"/>
        <w:rPr>
          <w:rFonts w:ascii="宋体" w:hAnsi="宋体"/>
          <w:szCs w:val="21"/>
        </w:rPr>
      </w:pPr>
      <w:r>
        <w:rPr>
          <w:rFonts w:ascii="宋体" w:hAnsi="宋体"/>
          <w:szCs w:val="21"/>
        </w:rPr>
        <w:t>1</w:t>
      </w:r>
      <w:r>
        <w:rPr>
          <w:rFonts w:ascii="宋体" w:hAnsi="宋体" w:hint="eastAsia"/>
          <w:szCs w:val="21"/>
        </w:rPr>
        <w:t>、会计年度、记账本位币和会计核算制度</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）本基金财产的会计年度为每年</w:t>
      </w:r>
      <w:r>
        <w:rPr>
          <w:rFonts w:ascii="宋体" w:hAnsi="宋体"/>
          <w:szCs w:val="21"/>
        </w:rPr>
        <w:t>1</w:t>
      </w:r>
      <w:r>
        <w:rPr>
          <w:rFonts w:ascii="宋体" w:hAnsi="宋体" w:hint="eastAsia"/>
          <w:szCs w:val="21"/>
        </w:rPr>
        <w:t>月</w:t>
      </w:r>
      <w:r>
        <w:rPr>
          <w:rFonts w:ascii="宋体" w:hAnsi="宋体"/>
          <w:szCs w:val="21"/>
        </w:rPr>
        <w:t>1</w:t>
      </w:r>
      <w:r>
        <w:rPr>
          <w:rFonts w:ascii="宋体" w:hAnsi="宋体" w:hint="eastAsia"/>
          <w:szCs w:val="21"/>
        </w:rPr>
        <w:t>日至</w:t>
      </w:r>
      <w:r>
        <w:rPr>
          <w:rFonts w:ascii="宋体" w:hAnsi="宋体"/>
          <w:szCs w:val="21"/>
        </w:rPr>
        <w:t>12</w:t>
      </w:r>
      <w:r>
        <w:rPr>
          <w:rFonts w:ascii="宋体" w:hAnsi="宋体" w:hint="eastAsia"/>
          <w:szCs w:val="21"/>
        </w:rPr>
        <w:t>月</w:t>
      </w:r>
      <w:r>
        <w:rPr>
          <w:rFonts w:ascii="宋体" w:hAnsi="宋体"/>
          <w:szCs w:val="21"/>
        </w:rPr>
        <w:t>31</w:t>
      </w:r>
      <w:r>
        <w:rPr>
          <w:rFonts w:ascii="宋体" w:hAnsi="宋体" w:hint="eastAsia"/>
          <w:szCs w:val="21"/>
        </w:rPr>
        <w:t>日。</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）记账本位币为人民币，记账单位为元。</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）基金财产的会计核算按《证券投资基金会计核算业务指引》执行。</w:t>
      </w:r>
    </w:p>
    <w:p>
      <w:pPr>
        <w:pStyle w:val="a-BR506228"/>
        <w:spacing w:line="360" w:lineRule="auto"/>
        <w:ind w:firstLine="420" w:firstLineChars="200"/>
        <w:rPr>
          <w:rFonts w:ascii="宋体" w:hAnsi="宋体"/>
          <w:szCs w:val="21"/>
        </w:rPr>
      </w:pPr>
      <w:r>
        <w:rPr>
          <w:rFonts w:ascii="宋体" w:hAnsi="宋体"/>
          <w:szCs w:val="21"/>
        </w:rPr>
        <w:t>2</w:t>
      </w:r>
      <w:r>
        <w:rPr>
          <w:rFonts w:ascii="宋体" w:hAnsi="宋体" w:hint="eastAsia"/>
          <w:szCs w:val="21"/>
        </w:rPr>
        <w:t>、会计核算方法</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）私募基金管理人、私募基金托管人应根据有关法律、行政法规的相关规定及本合同约定，对基金财产独立建账、独立核算。</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）私募基金管理人应保留完整的会计账目、凭证并进行日常的会计核算，编制会计报表。</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）私募基金托管人应定期与私募基金管理人就基金财产的会计核算、报表编制等进行核对。</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）私募基金管理人、私募基金托管人对会计处理方法存在分歧的，应以私募基金管理人的处理方法为准。</w:t>
      </w:r>
    </w:p>
    <w:p>
      <w:pPr>
        <w:pStyle w:val="a-BR506228"/>
        <w:spacing w:line="360" w:lineRule="auto"/>
        <w:ind w:firstLine="420" w:firstLineChars="200"/>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）私募基金管理人、私募基金托管人经对账发现相关各方的账目存在不符的，私募基金管理人和私募基金托管人必须及时查明原因并纠正，保证相关各方平行登录的账册记录完全相符。</w:t>
      </w:r>
    </w:p>
    <w:p>
      <w:pPr>
        <w:pStyle w:val="ad-BR813011"/>
        <w:rPr>
          <w:sz w:val="21"/>
          <w:szCs w:val="21"/>
        </w:rPr>
      </w:pPr>
      <w:bookmarkStart w:id="32" w:name="_Toc256000016"/>
      <w:r>
        <w:rPr>
          <w:rFonts w:hint="eastAsia"/>
          <w:sz w:val="21"/>
          <w:szCs w:val="21"/>
        </w:rPr>
        <w:t>十六、私募基金的费用与税收</w:t>
      </w:r>
      <w:bookmarkEnd w:id="32"/>
    </w:p>
    <w:p>
      <w:pPr>
        <w:pStyle w:val="a-BR813011"/>
        <w:spacing w:line="360" w:lineRule="auto"/>
        <w:ind w:firstLine="420" w:firstLineChars="200"/>
        <w:rPr>
          <w:rFonts w:ascii="宋体" w:hAnsi="宋体"/>
          <w:szCs w:val="21"/>
        </w:rPr>
      </w:pPr>
      <w:r>
        <w:rPr>
          <w:rFonts w:ascii="宋体" w:hAnsi="宋体" w:hint="eastAsia"/>
          <w:szCs w:val="21"/>
        </w:rPr>
        <w:t>（一）与基金运作有关的费用</w:t>
      </w:r>
    </w:p>
    <w:p>
      <w:pPr>
        <w:pStyle w:val="a6-BR813011"/>
        <w:numPr>
          <w:ilvl w:val="0"/>
          <w:numId w:val="9"/>
        </w:numPr>
        <w:spacing w:line="360" w:lineRule="auto"/>
        <w:ind w:firstLineChars="0"/>
        <w:rPr>
          <w:rFonts w:ascii="宋体" w:hAnsi="宋体"/>
          <w:szCs w:val="21"/>
        </w:rPr>
      </w:pPr>
      <w:r>
        <w:rPr>
          <w:rFonts w:ascii="宋体" w:hAnsi="宋体" w:hint="eastAsia"/>
          <w:szCs w:val="21"/>
        </w:rPr>
        <w:t>基金的管理费；</w:t>
      </w:r>
    </w:p>
    <w:p>
      <w:pPr>
        <w:pStyle w:val="a6-BR813011"/>
        <w:numPr>
          <w:ilvl w:val="0"/>
          <w:numId w:val="9"/>
        </w:numPr>
        <w:spacing w:line="360" w:lineRule="auto"/>
        <w:ind w:firstLineChars="0"/>
        <w:rPr>
          <w:rFonts w:ascii="宋体" w:hAnsi="宋体"/>
          <w:szCs w:val="21"/>
        </w:rPr>
      </w:pPr>
      <w:r>
        <w:rPr>
          <w:rFonts w:ascii="宋体" w:hAnsi="宋体" w:hint="eastAsia"/>
          <w:szCs w:val="21"/>
        </w:rPr>
        <w:t>基金的托管费；</w:t>
      </w:r>
    </w:p>
    <w:p>
      <w:pPr>
        <w:pStyle w:val="a6-BR813011"/>
        <w:numPr>
          <w:ilvl w:val="0"/>
          <w:numId w:val="9"/>
        </w:numPr>
        <w:spacing w:line="360" w:lineRule="auto"/>
        <w:ind w:firstLineChars="0"/>
        <w:rPr>
          <w:rFonts w:ascii="宋体" w:hAnsi="宋体"/>
          <w:szCs w:val="21"/>
        </w:rPr>
      </w:pPr>
      <w:r>
        <w:rPr>
          <w:rFonts w:ascii="宋体" w:hAnsi="宋体" w:hint="eastAsia"/>
          <w:szCs w:val="21"/>
        </w:rPr>
        <w:t>基金的运营服务费；</w:t>
      </w:r>
    </w:p>
    <w:p>
      <w:pPr>
        <w:pStyle w:val="a6-BR813011"/>
        <w:numPr>
          <w:ilvl w:val="0"/>
          <w:numId w:val="9"/>
        </w:numPr>
        <w:spacing w:line="360" w:lineRule="auto"/>
        <w:ind w:firstLineChars="0"/>
        <w:rPr>
          <w:rFonts w:ascii="宋体" w:hAnsi="宋体"/>
          <w:szCs w:val="21"/>
        </w:rPr>
      </w:pPr>
      <w:r>
        <w:rPr>
          <w:rFonts w:ascii="宋体" w:hAnsi="宋体" w:hint="eastAsia"/>
          <w:szCs w:val="21"/>
        </w:rPr>
        <w:t>基金的业绩报酬；</w:t>
      </w:r>
    </w:p>
    <w:p>
      <w:pPr>
        <w:pStyle w:val="a6-BR813011"/>
        <w:numPr>
          <w:ilvl w:val="0"/>
          <w:numId w:val="9"/>
        </w:numPr>
        <w:spacing w:line="360" w:lineRule="auto"/>
        <w:ind w:firstLineChars="0"/>
        <w:rPr>
          <w:rFonts w:ascii="宋体" w:hAnsi="宋体"/>
          <w:szCs w:val="21"/>
        </w:rPr>
      </w:pPr>
      <w:r>
        <w:rPr>
          <w:rFonts w:ascii="宋体" w:hAnsi="宋体" w:hint="eastAsia"/>
          <w:szCs w:val="21"/>
        </w:rPr>
        <w:t>银行账户的资金结算汇划费、账户维护费、询证费等各类银行收取的费用；</w:t>
      </w:r>
    </w:p>
    <w:p>
      <w:pPr>
        <w:pStyle w:val="a6-BR813011"/>
        <w:numPr>
          <w:ilvl w:val="0"/>
          <w:numId w:val="9"/>
        </w:numPr>
        <w:spacing w:line="360" w:lineRule="auto"/>
        <w:ind w:firstLineChars="0"/>
        <w:rPr>
          <w:rFonts w:ascii="宋体" w:hAnsi="宋体"/>
          <w:szCs w:val="21"/>
        </w:rPr>
      </w:pPr>
      <w:r>
        <w:rPr>
          <w:rFonts w:ascii="宋体" w:hAnsi="宋体" w:hint="eastAsia"/>
          <w:szCs w:val="21"/>
        </w:rPr>
        <w:t>基金财产开立账户需要支付的费用；</w:t>
      </w:r>
    </w:p>
    <w:p>
      <w:pPr>
        <w:pStyle w:val="a6-BR813011"/>
        <w:numPr>
          <w:ilvl w:val="0"/>
          <w:numId w:val="9"/>
        </w:numPr>
        <w:spacing w:line="360" w:lineRule="auto"/>
        <w:ind w:firstLineChars="0"/>
        <w:rPr>
          <w:rFonts w:ascii="宋体" w:hAnsi="宋体"/>
          <w:szCs w:val="21"/>
        </w:rPr>
      </w:pPr>
      <w:r>
        <w:rPr>
          <w:rFonts w:ascii="宋体" w:hAnsi="宋体" w:hint="eastAsia"/>
          <w:szCs w:val="21"/>
        </w:rPr>
        <w:t>基金财产的证券、期货交易费用；</w:t>
      </w:r>
    </w:p>
    <w:p>
      <w:pPr>
        <w:pStyle w:val="a6-BR813011"/>
        <w:numPr>
          <w:ilvl w:val="0"/>
          <w:numId w:val="9"/>
        </w:numPr>
        <w:spacing w:line="360" w:lineRule="auto"/>
        <w:ind w:firstLineChars="0"/>
        <w:rPr>
          <w:rFonts w:ascii="宋体" w:hAnsi="宋体"/>
          <w:szCs w:val="21"/>
        </w:rPr>
      </w:pPr>
      <w:r>
        <w:rPr>
          <w:rFonts w:ascii="宋体" w:hAnsi="宋体" w:hint="eastAsia"/>
          <w:szCs w:val="21"/>
        </w:rPr>
        <w:t>与基金运作有关的会计师费、律师费；</w:t>
      </w:r>
    </w:p>
    <w:p>
      <w:pPr>
        <w:pStyle w:val="a6-BR813011"/>
        <w:numPr>
          <w:ilvl w:val="0"/>
          <w:numId w:val="9"/>
        </w:numPr>
        <w:spacing w:line="360" w:lineRule="auto"/>
        <w:ind w:left="0" w:firstLine="420"/>
        <w:rPr>
          <w:rFonts w:ascii="宋体" w:hAnsi="宋体"/>
          <w:szCs w:val="21"/>
        </w:rPr>
      </w:pPr>
      <w:r>
        <w:rPr>
          <w:rFonts w:ascii="宋体" w:hAnsi="宋体" w:hint="eastAsia"/>
          <w:szCs w:val="21"/>
        </w:rPr>
        <w:t>与本基金销售、签约有关的费用（包括纸质合同印刷费用（如有）、投资者适当性管理费用（如有）、电子合同服务费用（如有）等）；</w:t>
      </w:r>
    </w:p>
    <w:p>
      <w:pPr>
        <w:pStyle w:val="a6-BR813011"/>
        <w:numPr>
          <w:ilvl w:val="0"/>
          <w:numId w:val="9"/>
        </w:numPr>
        <w:spacing w:line="360" w:lineRule="auto"/>
        <w:ind w:firstLineChars="0"/>
        <w:rPr>
          <w:rFonts w:ascii="宋体" w:hAnsi="宋体"/>
          <w:szCs w:val="21"/>
        </w:rPr>
      </w:pPr>
      <w:r>
        <w:rPr>
          <w:rFonts w:ascii="宋体" w:hAnsi="宋体" w:hint="eastAsia"/>
          <w:szCs w:val="21"/>
        </w:rPr>
        <w:t>本基金投资运作直接相关应税项目或应税行为产生的增值税及附加税费；</w:t>
      </w:r>
    </w:p>
    <w:p>
      <w:pPr>
        <w:pStyle w:val="a6-BR813011"/>
        <w:numPr>
          <w:ilvl w:val="0"/>
          <w:numId w:val="9"/>
        </w:numPr>
        <w:spacing w:line="360" w:lineRule="auto"/>
        <w:ind w:firstLineChars="0"/>
        <w:rPr>
          <w:rFonts w:ascii="宋体" w:hAnsi="宋体"/>
          <w:szCs w:val="21"/>
        </w:rPr>
      </w:pPr>
      <w:r>
        <w:rPr>
          <w:rFonts w:ascii="宋体" w:hAnsi="宋体" w:hint="eastAsia"/>
          <w:szCs w:val="21"/>
        </w:rPr>
        <w:t>代表本基金进行诉讼、仲裁、财产保全等司法程序所产生的相关费用；</w:t>
      </w:r>
    </w:p>
    <w:p>
      <w:pPr>
        <w:pStyle w:val="a6-BR813011"/>
        <w:numPr>
          <w:ilvl w:val="0"/>
          <w:numId w:val="9"/>
        </w:numPr>
        <w:spacing w:line="360" w:lineRule="auto"/>
        <w:ind w:firstLineChars="0"/>
        <w:rPr>
          <w:rFonts w:ascii="宋体" w:hAnsi="宋体"/>
          <w:szCs w:val="21"/>
        </w:rPr>
      </w:pPr>
      <w:r>
        <w:rPr>
          <w:rFonts w:ascii="宋体" w:hAnsi="宋体" w:hint="eastAsia"/>
          <w:szCs w:val="21"/>
        </w:rPr>
        <w:t>按照法律、行政法规的规定及本合同的约定可以在基金财产中列支的其他费用。</w:t>
      </w:r>
    </w:p>
    <w:p>
      <w:pPr>
        <w:pStyle w:val="a-BR813011"/>
        <w:spacing w:line="360" w:lineRule="auto"/>
        <w:ind w:firstLine="420" w:firstLineChars="200"/>
        <w:rPr>
          <w:rFonts w:ascii="宋体" w:hAnsi="宋体"/>
          <w:b/>
          <w:kern w:val="0"/>
          <w:szCs w:val="21"/>
        </w:rPr>
      </w:pPr>
      <w:r>
        <w:rPr>
          <w:rFonts w:ascii="宋体" w:hAnsi="宋体" w:hint="eastAsia"/>
          <w:szCs w:val="21"/>
        </w:rPr>
        <w:t>（二）基金费用计提方法、计提标准和支付方式</w:t>
      </w:r>
    </w:p>
    <w:p>
      <w:pPr>
        <w:pStyle w:val="a6-BR813011"/>
        <w:numPr>
          <w:ilvl w:val="0"/>
          <w:numId w:val="10"/>
        </w:numPr>
        <w:tabs>
          <w:tab w:val="left" w:pos="1260"/>
        </w:tabs>
        <w:spacing w:line="360" w:lineRule="auto"/>
        <w:ind w:left="0" w:firstLine="420"/>
        <w:rPr>
          <w:rFonts w:ascii="宋体" w:hAnsi="宋体"/>
          <w:szCs w:val="21"/>
        </w:rPr>
      </w:pPr>
      <w:r>
        <w:rPr>
          <w:rFonts w:ascii="宋体" w:hAnsi="宋体" w:hint="eastAsia"/>
          <w:szCs w:val="21"/>
        </w:rPr>
        <w:t>基金的管理费</w:t>
      </w:r>
    </w:p>
    <w:p>
      <w:pPr>
        <w:pStyle w:val="a-BR162256"/>
        <w:spacing w:line="360" w:lineRule="auto"/>
        <w:ind w:firstLine="420" w:firstLineChars="200"/>
        <w:rPr>
          <w:rFonts w:ascii="宋体" w:hAnsi="宋体"/>
          <w:szCs w:val="21"/>
        </w:rPr>
      </w:pPr>
      <w:r>
        <w:rPr>
          <w:rFonts w:ascii="宋体" w:hAnsi="宋体" w:hint="eastAsia"/>
          <w:szCs w:val="21"/>
        </w:rPr>
        <w:t>本基金不收取管理费。</w:t>
      </w:r>
    </w:p>
    <w:p>
      <w:pPr>
        <w:pStyle w:val="a6-BR813011"/>
        <w:numPr>
          <w:ilvl w:val="0"/>
          <w:numId w:val="10"/>
        </w:numPr>
        <w:tabs>
          <w:tab w:val="left" w:pos="1260"/>
        </w:tabs>
        <w:spacing w:line="360" w:lineRule="auto"/>
        <w:ind w:left="0" w:firstLine="420"/>
        <w:rPr>
          <w:rFonts w:ascii="宋体" w:hAnsi="宋体"/>
          <w:szCs w:val="21"/>
        </w:rPr>
      </w:pPr>
      <w:r>
        <w:rPr>
          <w:rFonts w:ascii="宋体" w:hAnsi="宋体" w:hint="eastAsia"/>
          <w:szCs w:val="21"/>
        </w:rPr>
        <w:t>基金的托管费</w:t>
      </w:r>
    </w:p>
    <w:p>
      <w:pPr>
        <w:pStyle w:val="a-BR224788"/>
        <w:tabs>
          <w:tab w:val="left" w:pos="1260"/>
        </w:tabs>
        <w:spacing w:line="360" w:lineRule="auto"/>
        <w:ind w:firstLine="420" w:firstLineChars="200"/>
        <w:rPr>
          <w:rFonts w:ascii="宋体" w:hAnsi="宋体"/>
          <w:szCs w:val="21"/>
        </w:rPr>
      </w:pPr>
      <w:r>
        <w:rPr>
          <w:rFonts w:ascii="宋体" w:hAnsi="宋体" w:hint="eastAsia"/>
          <w:szCs w:val="21"/>
        </w:rPr>
        <w:t>本基金的托管费率为年费率0.025</w:t>
      </w:r>
      <w:r>
        <w:rPr>
          <w:rFonts w:ascii="宋体" w:hAnsi="宋体"/>
          <w:szCs w:val="21"/>
        </w:rPr>
        <w:t>%</w:t>
      </w:r>
      <w:r>
        <w:rPr>
          <w:rFonts w:ascii="宋体" w:hAnsi="宋体" w:hint="eastAsia"/>
          <w:szCs w:val="21"/>
        </w:rPr>
        <w:t>。在通常情况下，基金托管费按前一自然日基金资产净值的年费率计提。计算方法如下：</w:t>
      </w:r>
    </w:p>
    <w:p>
      <w:pPr>
        <w:pStyle w:val="a-BR224788"/>
        <w:spacing w:line="360" w:lineRule="auto"/>
        <w:ind w:left="780" w:firstLine="420" w:firstLineChars="200"/>
        <w:rPr>
          <w:rFonts w:ascii="宋体" w:hAnsi="宋体"/>
          <w:szCs w:val="21"/>
        </w:rPr>
      </w:pPr>
      <w:r>
        <w:rPr>
          <w:rFonts w:ascii="宋体" w:hAnsi="宋体"/>
          <w:szCs w:val="21"/>
        </w:rPr>
        <w:t>H=E</w:t>
      </w:r>
      <w:r>
        <w:rPr>
          <w:rFonts w:ascii="宋体" w:hAnsi="宋体" w:hint="eastAsia"/>
          <w:szCs w:val="21"/>
        </w:rPr>
        <w:t>×年托管费率÷当年天数</w:t>
      </w:r>
    </w:p>
    <w:p>
      <w:pPr>
        <w:pStyle w:val="a-BR224788"/>
        <w:spacing w:line="360" w:lineRule="auto"/>
        <w:ind w:left="780" w:firstLine="420" w:firstLineChars="200"/>
        <w:rPr>
          <w:rFonts w:ascii="宋体" w:hAnsi="宋体"/>
          <w:szCs w:val="21"/>
        </w:rPr>
      </w:pPr>
      <w:r>
        <w:rPr>
          <w:rFonts w:ascii="宋体" w:hAnsi="宋体"/>
          <w:szCs w:val="21"/>
        </w:rPr>
        <w:t>H</w:t>
      </w:r>
      <w:r>
        <w:rPr>
          <w:rFonts w:ascii="宋体" w:hAnsi="宋体" w:hint="eastAsia"/>
          <w:szCs w:val="21"/>
        </w:rPr>
        <w:t>为每日应计提的基金托管费</w:t>
      </w:r>
    </w:p>
    <w:p>
      <w:pPr>
        <w:pStyle w:val="a-BR224788"/>
        <w:spacing w:line="360" w:lineRule="auto"/>
        <w:ind w:left="780" w:firstLine="420" w:firstLineChars="200"/>
        <w:rPr>
          <w:rFonts w:ascii="宋体" w:hAnsi="宋体"/>
          <w:szCs w:val="21"/>
        </w:rPr>
      </w:pPr>
      <w:r>
        <w:rPr>
          <w:rFonts w:ascii="宋体" w:hAnsi="宋体"/>
          <w:szCs w:val="21"/>
        </w:rPr>
        <w:t>E</w:t>
      </w:r>
      <w:r>
        <w:rPr>
          <w:rFonts w:ascii="宋体" w:hAnsi="宋体" w:hint="eastAsia"/>
          <w:szCs w:val="21"/>
        </w:rPr>
        <w:t>为前一自然日基金资产净值</w:t>
      </w:r>
    </w:p>
    <w:p>
      <w:pPr>
        <w:pStyle w:val="a-BR224788"/>
        <w:spacing w:line="360" w:lineRule="auto"/>
        <w:ind w:firstLine="420" w:firstLineChars="200"/>
        <w:rPr>
          <w:rFonts w:ascii="宋体" w:hAnsi="宋体"/>
          <w:szCs w:val="21"/>
        </w:rPr>
      </w:pPr>
      <w:r>
        <w:rPr>
          <w:rFonts w:ascii="宋体" w:hAnsi="宋体" w:hint="eastAsia"/>
          <w:kern w:val="0"/>
          <w:szCs w:val="21"/>
        </w:rPr>
        <w:t>本基金的托管费自基金成立日起，</w:t>
      </w:r>
      <w:r>
        <w:rPr>
          <w:rFonts w:ascii="宋体" w:hAnsi="宋体" w:hint="eastAsia"/>
          <w:szCs w:val="21"/>
        </w:rPr>
        <w:t>每日计提，按自然月度支付</w:t>
      </w:r>
      <w:r>
        <w:rPr>
          <w:rFonts w:ascii="宋体" w:hAnsi="宋体" w:hint="eastAsia"/>
          <w:kern w:val="0"/>
          <w:szCs w:val="21"/>
        </w:rPr>
        <w:t>。</w:t>
      </w:r>
      <w:r>
        <w:rPr>
          <w:rFonts w:ascii="宋体" w:hAnsi="宋体" w:hint="eastAsia"/>
          <w:szCs w:val="21"/>
        </w:rPr>
        <w:t>自下一自然月度开始，由私募基金托管人根据与私募基金管理人核对一致的基金资产估值数据，从基金财产中一次性支付至私募基金托管人收费账户，私募基金管理人无需再出具划款指令。私募基金管理人在与私募基金托管人协商一致后，可将付费模式变更为私募基金托管人根据私募基金管理人提交的划款指令进行付费。费用扣划后，私募基金管理人应进行核对，如发现数据不符，及时联系私募基金托管人协商解决。</w:t>
      </w:r>
    </w:p>
    <w:p>
      <w:pPr>
        <w:pStyle w:val="a6-BR813011"/>
        <w:numPr>
          <w:ilvl w:val="0"/>
          <w:numId w:val="10"/>
        </w:numPr>
        <w:tabs>
          <w:tab w:val="left" w:pos="1260"/>
        </w:tabs>
        <w:spacing w:line="360" w:lineRule="auto"/>
        <w:ind w:left="0" w:firstLine="420"/>
        <w:rPr>
          <w:rFonts w:ascii="宋体" w:hAnsi="宋体"/>
          <w:szCs w:val="21"/>
        </w:rPr>
      </w:pPr>
      <w:r>
        <w:rPr>
          <w:rFonts w:ascii="宋体" w:hAnsi="宋体" w:hint="eastAsia"/>
          <w:szCs w:val="21"/>
        </w:rPr>
        <w:t>基金的运营服务费</w:t>
      </w:r>
    </w:p>
    <w:p>
      <w:pPr>
        <w:pStyle w:val="a-BR701688"/>
        <w:tabs>
          <w:tab w:val="left" w:pos="1260"/>
        </w:tabs>
        <w:spacing w:line="360" w:lineRule="auto"/>
        <w:ind w:firstLine="420" w:firstLineChars="200"/>
        <w:rPr>
          <w:rFonts w:ascii="宋体" w:hAnsi="宋体"/>
          <w:kern w:val="0"/>
          <w:szCs w:val="21"/>
        </w:rPr>
      </w:pPr>
      <w:r>
        <w:rPr>
          <w:rFonts w:ascii="宋体" w:hAnsi="宋体" w:hint="eastAsia"/>
          <w:kern w:val="0"/>
          <w:szCs w:val="21"/>
        </w:rPr>
        <w:t>本基金的运营服务费率为年费率</w:t>
      </w:r>
      <w:r>
        <w:rPr>
          <w:rFonts w:ascii="宋体" w:hAnsi="宋体" w:hint="eastAsia"/>
          <w:szCs w:val="21"/>
        </w:rPr>
        <w:t>0.025</w:t>
      </w:r>
      <w:r>
        <w:rPr>
          <w:rFonts w:ascii="宋体" w:hAnsi="宋体"/>
          <w:kern w:val="0"/>
          <w:szCs w:val="21"/>
        </w:rPr>
        <w:t>%</w:t>
      </w:r>
      <w:r>
        <w:rPr>
          <w:rFonts w:ascii="宋体" w:hAnsi="宋体" w:hint="eastAsia"/>
          <w:kern w:val="0"/>
          <w:szCs w:val="21"/>
        </w:rPr>
        <w:t>。在通常情况下，基金运营服务费按</w:t>
      </w:r>
      <w:r>
        <w:rPr>
          <w:rFonts w:ascii="宋体" w:hAnsi="宋体" w:hint="eastAsia"/>
          <w:szCs w:val="21"/>
        </w:rPr>
        <w:t>前一自然日基金资产净值</w:t>
      </w:r>
      <w:r>
        <w:rPr>
          <w:rFonts w:ascii="宋体" w:hAnsi="宋体" w:hint="eastAsia"/>
          <w:kern w:val="0"/>
          <w:szCs w:val="21"/>
        </w:rPr>
        <w:t>的年费率计提。计算方法如下：</w:t>
      </w:r>
    </w:p>
    <w:p>
      <w:pPr>
        <w:pStyle w:val="a-BR701688"/>
        <w:spacing w:line="360" w:lineRule="auto"/>
        <w:ind w:left="780" w:firstLine="420" w:firstLineChars="200"/>
        <w:rPr>
          <w:rFonts w:ascii="宋体" w:hAnsi="宋体"/>
          <w:szCs w:val="21"/>
        </w:rPr>
      </w:pPr>
      <w:r>
        <w:rPr>
          <w:rFonts w:ascii="宋体" w:hAnsi="宋体"/>
          <w:szCs w:val="21"/>
        </w:rPr>
        <w:t>H=E</w:t>
      </w:r>
      <w:r>
        <w:rPr>
          <w:rFonts w:ascii="宋体" w:hAnsi="宋体" w:hint="eastAsia"/>
          <w:szCs w:val="21"/>
        </w:rPr>
        <w:t>×年运营服务费率÷当年天数</w:t>
      </w:r>
    </w:p>
    <w:p>
      <w:pPr>
        <w:pStyle w:val="a-BR701688"/>
        <w:spacing w:line="360" w:lineRule="auto"/>
        <w:ind w:left="780" w:firstLine="420" w:firstLineChars="200"/>
        <w:rPr>
          <w:rFonts w:ascii="宋体" w:hAnsi="宋体"/>
          <w:szCs w:val="21"/>
        </w:rPr>
      </w:pPr>
      <w:r>
        <w:rPr>
          <w:rFonts w:ascii="宋体" w:hAnsi="宋体"/>
          <w:szCs w:val="21"/>
        </w:rPr>
        <w:t>H</w:t>
      </w:r>
      <w:r>
        <w:rPr>
          <w:rFonts w:ascii="宋体" w:hAnsi="宋体" w:hint="eastAsia"/>
          <w:szCs w:val="21"/>
        </w:rPr>
        <w:t>为每日应计提的基金运营服务费</w:t>
      </w:r>
    </w:p>
    <w:p>
      <w:pPr>
        <w:pStyle w:val="a-BR701688"/>
        <w:spacing w:line="360" w:lineRule="auto"/>
        <w:ind w:left="780" w:firstLine="420" w:firstLineChars="200"/>
        <w:rPr>
          <w:rFonts w:ascii="宋体" w:hAnsi="宋体"/>
          <w:szCs w:val="21"/>
        </w:rPr>
      </w:pPr>
      <w:r>
        <w:rPr>
          <w:rFonts w:ascii="宋体" w:hAnsi="宋体"/>
          <w:szCs w:val="21"/>
        </w:rPr>
        <w:t>E</w:t>
      </w:r>
      <w:r>
        <w:rPr>
          <w:rFonts w:ascii="宋体" w:hAnsi="宋体" w:hint="eastAsia"/>
          <w:szCs w:val="21"/>
        </w:rPr>
        <w:t>为前一自然日基金资产净值</w:t>
      </w:r>
    </w:p>
    <w:p>
      <w:pPr>
        <w:pStyle w:val="a-BR701688"/>
        <w:spacing w:line="360" w:lineRule="auto"/>
        <w:ind w:firstLine="420" w:firstLineChars="200"/>
        <w:rPr>
          <w:rFonts w:ascii="宋体" w:hAnsi="宋体"/>
          <w:kern w:val="0"/>
          <w:szCs w:val="21"/>
        </w:rPr>
      </w:pPr>
      <w:r>
        <w:rPr>
          <w:rFonts w:ascii="宋体" w:hAnsi="宋体" w:hint="eastAsia"/>
          <w:kern w:val="0"/>
          <w:szCs w:val="21"/>
        </w:rPr>
        <w:t>本基金的运营服务费自基金成立日起，</w:t>
      </w:r>
      <w:r>
        <w:rPr>
          <w:rFonts w:ascii="宋体" w:hAnsi="宋体" w:hint="eastAsia"/>
          <w:szCs w:val="21"/>
        </w:rPr>
        <w:t>每日计提，按自然月度支付</w:t>
      </w:r>
      <w:r>
        <w:rPr>
          <w:rFonts w:ascii="宋体" w:hAnsi="宋体" w:hint="eastAsia"/>
          <w:kern w:val="0"/>
          <w:szCs w:val="21"/>
        </w:rPr>
        <w:t>。</w:t>
      </w:r>
      <w:r>
        <w:rPr>
          <w:rFonts w:ascii="宋体" w:hAnsi="宋体" w:hint="eastAsia"/>
          <w:szCs w:val="21"/>
        </w:rPr>
        <w:t>自下一自然月度开始，由私募基金托管人根据与私募基金管理人核对一致的基金资产估值数据，从基金财产中一次性支付至基金运营服务机构收费账户，私募基金管理人无需再出具划款指令。私募基金管理人在与私募基金托管人协商一致后，可将付费模式变更为私募基金托管人根据私募基金管理人提交的划款指令进行付费。费用扣划后，私募基金管理人应进行核对，如发现数据不符，及时联系私募基金托管人协商解决。</w:t>
      </w:r>
    </w:p>
    <w:p>
      <w:pPr>
        <w:pStyle w:val="a6-BR813011"/>
        <w:numPr>
          <w:ilvl w:val="0"/>
          <w:numId w:val="10"/>
        </w:numPr>
        <w:tabs>
          <w:tab w:val="left" w:pos="1260"/>
        </w:tabs>
        <w:spacing w:line="360" w:lineRule="auto"/>
        <w:ind w:left="0" w:firstLine="420"/>
        <w:rPr>
          <w:rFonts w:ascii="宋体" w:hAnsi="宋体"/>
          <w:szCs w:val="21"/>
        </w:rPr>
      </w:pPr>
      <w:r>
        <w:rPr>
          <w:rFonts w:ascii="宋体" w:hAnsi="宋体" w:hint="eastAsia"/>
          <w:szCs w:val="21"/>
        </w:rPr>
        <w:t>基金的业绩报酬</w:t>
      </w:r>
    </w:p>
    <w:p>
      <w:pPr>
        <w:pStyle w:val="a-BR813011"/>
        <w:spacing w:line="360" w:lineRule="auto"/>
        <w:ind w:firstLine="420" w:firstLineChars="200"/>
        <w:rPr>
          <w:bCs/>
        </w:rPr>
      </w:pPr>
      <w:r>
        <w:rPr>
          <w:rFonts w:hint="eastAsia"/>
          <w:bCs/>
        </w:rPr>
        <w:t>本基金不计提业绩报酬。</w:t>
      </w:r>
    </w:p>
    <w:p>
      <w:pPr>
        <w:pStyle w:val="a6-BR813011"/>
        <w:numPr>
          <w:ilvl w:val="0"/>
          <w:numId w:val="10"/>
        </w:numPr>
        <w:tabs>
          <w:tab w:val="left" w:pos="1260"/>
        </w:tabs>
        <w:autoSpaceDE w:val="0"/>
        <w:autoSpaceDN w:val="0"/>
        <w:adjustRightInd w:val="0"/>
        <w:spacing w:line="360" w:lineRule="auto"/>
        <w:ind w:left="0" w:firstLine="420"/>
        <w:rPr>
          <w:rFonts w:ascii="宋体" w:hAnsi="宋体"/>
          <w:szCs w:val="21"/>
        </w:rPr>
      </w:pPr>
      <w:r>
        <w:rPr>
          <w:rFonts w:ascii="宋体" w:hAnsi="宋体"/>
          <w:szCs w:val="21"/>
        </w:rPr>
        <w:t>上述（一）款</w:t>
      </w:r>
      <w:r>
        <w:rPr>
          <w:rFonts w:ascii="宋体" w:hAnsi="宋体"/>
        </w:rPr>
        <w:t>中5到12项</w:t>
      </w:r>
      <w:r>
        <w:rPr>
          <w:rFonts w:ascii="宋体" w:hAnsi="宋体"/>
          <w:szCs w:val="21"/>
        </w:rPr>
        <w:t>费用，由私募基金托管人在费用发生时，列入当期费用</w:t>
      </w:r>
      <w:r>
        <w:rPr>
          <w:rFonts w:ascii="宋体" w:hAnsi="宋体" w:hint="eastAsia"/>
          <w:szCs w:val="21"/>
        </w:rPr>
        <w:t>，由基金资产承担</w:t>
      </w:r>
      <w:r>
        <w:rPr>
          <w:rFonts w:ascii="宋体" w:hAnsi="宋体"/>
          <w:szCs w:val="21"/>
        </w:rPr>
        <w:t>。其中（一）款中基金财产的证券、期货交易费用以实际发生额为准入账。</w:t>
      </w:r>
    </w:p>
    <w:p>
      <w:pPr>
        <w:pStyle w:val="a-BR813011"/>
        <w:tabs>
          <w:tab w:val="left" w:pos="1260"/>
        </w:tabs>
        <w:autoSpaceDE w:val="0"/>
        <w:autoSpaceDN w:val="0"/>
        <w:adjustRightInd w:val="0"/>
        <w:spacing w:line="360" w:lineRule="auto"/>
        <w:ind w:firstLine="420" w:firstLineChars="200"/>
        <w:rPr>
          <w:rFonts w:ascii="宋体" w:hAnsi="宋体"/>
          <w:szCs w:val="21"/>
        </w:rPr>
      </w:pPr>
      <w:r>
        <w:rPr>
          <w:rFonts w:hint="eastAsia"/>
        </w:rPr>
        <w:t>特别地，如私募基金启用侧袋机制，在侧袋机制启用期间，侧袋账户</w:t>
      </w:r>
      <w:r>
        <w:rPr>
          <w:rFonts w:ascii="宋体" w:hAnsi="宋体" w:hint="eastAsia"/>
          <w:szCs w:val="21"/>
        </w:rPr>
        <w:t>不计提业绩报酬（如有）或浮动投资顾问费（如有），主袋账户可按照私募基金合同约定的方式计提业绩报酬（如有）或浮动投资顾问费（如有）。</w:t>
      </w:r>
    </w:p>
    <w:p>
      <w:pPr>
        <w:pStyle w:val="a-BR813011"/>
        <w:tabs>
          <w:tab w:val="left" w:pos="1260"/>
        </w:tabs>
        <w:autoSpaceDE w:val="0"/>
        <w:autoSpaceDN w:val="0"/>
        <w:adjustRightInd w:val="0"/>
        <w:spacing w:line="360" w:lineRule="auto"/>
        <w:ind w:firstLine="420"/>
        <w:rPr>
          <w:rFonts w:ascii="宋体" w:hAnsi="宋体"/>
          <w:szCs w:val="21"/>
        </w:rPr>
      </w:pPr>
      <w:r>
        <w:rPr>
          <w:rFonts w:ascii="宋体" w:hAnsi="宋体"/>
          <w:szCs w:val="21"/>
        </w:rPr>
        <w:t>律师费</w:t>
      </w:r>
      <w:r>
        <w:rPr>
          <w:rFonts w:ascii="宋体" w:hAnsi="宋体" w:hint="eastAsia"/>
          <w:szCs w:val="21"/>
        </w:rPr>
        <w:t>、会计费、仲裁费、诉讼费、财产保全费以及其他合理费用，也可由私募基金管理人先行垫付后，再从基金资产中进行划付，但私募基金管理人应当向私募基金托管人提供符合其要求的合同、发票、收款凭证等证明文件。</w:t>
      </w:r>
    </w:p>
    <w:p>
      <w:pPr>
        <w:pStyle w:val="a-BR813011"/>
        <w:tabs>
          <w:tab w:val="left" w:pos="1260"/>
        </w:tabs>
        <w:spacing w:line="360" w:lineRule="auto"/>
        <w:ind w:firstLine="420" w:firstLineChars="200"/>
        <w:rPr>
          <w:rFonts w:ascii="宋体" w:hAnsi="宋体"/>
          <w:szCs w:val="21"/>
        </w:rPr>
      </w:pPr>
      <w:r>
        <w:rPr>
          <w:rFonts w:ascii="宋体" w:hAnsi="宋体" w:hint="eastAsia"/>
          <w:szCs w:val="21"/>
        </w:rPr>
        <w:t>（三）不列入基金业务费用的项目</w:t>
      </w:r>
    </w:p>
    <w:p>
      <w:pPr>
        <w:pStyle w:val="a-BR813011"/>
        <w:tabs>
          <w:tab w:val="left" w:pos="1260"/>
        </w:tabs>
        <w:spacing w:line="360" w:lineRule="auto"/>
        <w:ind w:firstLine="420" w:firstLineChars="200"/>
        <w:rPr>
          <w:rFonts w:ascii="宋体" w:hAnsi="宋体"/>
          <w:szCs w:val="21"/>
        </w:rPr>
      </w:pPr>
      <w:r>
        <w:rPr>
          <w:rFonts w:ascii="宋体" w:hAnsi="宋体" w:hint="eastAsia"/>
          <w:szCs w:val="21"/>
        </w:rPr>
        <w:t>私募基金管理人和私募基金托管人因未履行或未完全履行义务导致的费用支出或基金财产的损失、处理与本基金财产运作无关的事项发生的费用、以及应当由私募基金管理人和私募基金托管人承担的费用等不列入基金财产的费用。</w:t>
      </w:r>
    </w:p>
    <w:p>
      <w:pPr>
        <w:pStyle w:val="a-BR813011"/>
        <w:tabs>
          <w:tab w:val="left" w:pos="1260"/>
        </w:tabs>
        <w:spacing w:line="360" w:lineRule="auto"/>
        <w:ind w:firstLine="420" w:firstLineChars="200"/>
        <w:rPr>
          <w:rFonts w:ascii="宋体" w:hAnsi="宋体"/>
          <w:szCs w:val="21"/>
        </w:rPr>
      </w:pPr>
      <w:r>
        <w:rPr>
          <w:rFonts w:ascii="宋体" w:hAnsi="宋体" w:hint="eastAsia"/>
          <w:szCs w:val="21"/>
        </w:rPr>
        <w:t>（四）费用调整</w:t>
      </w:r>
    </w:p>
    <w:p>
      <w:pPr>
        <w:pStyle w:val="a-BR813011"/>
        <w:autoSpaceDE w:val="0"/>
        <w:autoSpaceDN w:val="0"/>
        <w:adjustRightInd w:val="0"/>
        <w:spacing w:line="360" w:lineRule="auto"/>
        <w:ind w:firstLine="420" w:firstLineChars="200"/>
        <w:jc w:val="left"/>
        <w:rPr>
          <w:rFonts w:ascii="宋体" w:hAnsi="宋体"/>
          <w:kern w:val="0"/>
          <w:szCs w:val="21"/>
        </w:rPr>
      </w:pPr>
      <w:r>
        <w:rPr>
          <w:rFonts w:ascii="宋体" w:hAnsi="宋体" w:hint="eastAsia"/>
          <w:kern w:val="0"/>
          <w:szCs w:val="21"/>
        </w:rPr>
        <w:t>本基金各项费用调低、免除，经私募基金管理人和私募基金托管人协商一致即可；若各项费用需调高，则应按照本合同约定的方式变更合同条款。</w:t>
      </w:r>
    </w:p>
    <w:p>
      <w:pPr>
        <w:pStyle w:val="a-BR813011"/>
        <w:tabs>
          <w:tab w:val="left" w:pos="1260"/>
        </w:tabs>
        <w:spacing w:line="360" w:lineRule="auto"/>
        <w:ind w:firstLine="420" w:firstLineChars="200"/>
        <w:rPr>
          <w:rFonts w:ascii="宋体" w:hAnsi="宋体"/>
          <w:szCs w:val="21"/>
        </w:rPr>
      </w:pPr>
      <w:r>
        <w:rPr>
          <w:rFonts w:ascii="宋体" w:hAnsi="宋体" w:hint="eastAsia"/>
          <w:szCs w:val="21"/>
        </w:rPr>
        <w:t>（五）基金的税收</w:t>
      </w:r>
    </w:p>
    <w:p>
      <w:pPr>
        <w:pStyle w:val="a-BR813011"/>
        <w:autoSpaceDE w:val="0"/>
        <w:autoSpaceDN w:val="0"/>
        <w:adjustRightInd w:val="0"/>
        <w:spacing w:line="360" w:lineRule="auto"/>
        <w:ind w:firstLine="420" w:firstLineChars="200"/>
        <w:jc w:val="left"/>
        <w:rPr>
          <w:rFonts w:ascii="宋体" w:hAnsi="宋体"/>
          <w:kern w:val="0"/>
          <w:szCs w:val="21"/>
        </w:rPr>
      </w:pPr>
      <w:r>
        <w:rPr>
          <w:rFonts w:ascii="宋体" w:hAnsi="宋体" w:hint="eastAsia"/>
          <w:kern w:val="0"/>
          <w:szCs w:val="21"/>
        </w:rPr>
        <w:t>根据国家税收法律、法规相关要求，本私募基金运营过程中如发生增值税应税行为，源于本私募基金增值税应税行为而形成的增值税及其附加税费等相关税负由本基金资产承担。相关税款由私募基金管理人计算后向私募基金托管人出具划款指令，并由私募基金管理人依据税务部门要求完成相关税款申报缴纳。</w:t>
      </w:r>
    </w:p>
    <w:p>
      <w:pPr>
        <w:pStyle w:val="a-BR813011"/>
        <w:autoSpaceDE w:val="0"/>
        <w:autoSpaceDN w:val="0"/>
        <w:adjustRightInd w:val="0"/>
        <w:spacing w:line="360" w:lineRule="auto"/>
        <w:ind w:firstLine="420" w:firstLineChars="200"/>
        <w:jc w:val="left"/>
        <w:rPr>
          <w:rFonts w:ascii="宋体" w:hAnsi="宋体"/>
          <w:kern w:val="0"/>
          <w:szCs w:val="21"/>
        </w:rPr>
      </w:pPr>
      <w:r>
        <w:rPr>
          <w:rFonts w:ascii="宋体" w:hAnsi="宋体" w:hint="eastAsia"/>
          <w:kern w:val="0"/>
          <w:szCs w:val="21"/>
        </w:rPr>
        <w:t>本基金清算后，如基金</w:t>
      </w:r>
      <w:r>
        <w:rPr>
          <w:rFonts w:ascii="宋体" w:hAnsi="宋体"/>
          <w:kern w:val="0"/>
          <w:szCs w:val="21"/>
        </w:rPr>
        <w:t>财产不足以偿付</w:t>
      </w:r>
      <w:r>
        <w:rPr>
          <w:rFonts w:ascii="宋体" w:hAnsi="宋体" w:hint="eastAsia"/>
          <w:kern w:val="0"/>
          <w:szCs w:val="21"/>
        </w:rPr>
        <w:t>上述</w:t>
      </w:r>
      <w:r>
        <w:rPr>
          <w:rFonts w:ascii="宋体" w:hAnsi="宋体"/>
          <w:kern w:val="0"/>
          <w:szCs w:val="21"/>
        </w:rPr>
        <w:t>税款，或者</w:t>
      </w:r>
      <w:r>
        <w:rPr>
          <w:rFonts w:ascii="宋体" w:hAnsi="宋体" w:hint="eastAsia"/>
          <w:kern w:val="0"/>
          <w:szCs w:val="21"/>
        </w:rPr>
        <w:t>私募基金管理人被税务机关要求补缴由本私募基金增值税应税行为而形成的应由本私募基金资产承担的增值税及其附加税费等相关税负的，私募基金管理人有权向私募基金投资者就补缴金额进行追索。</w:t>
      </w:r>
    </w:p>
    <w:p>
      <w:pPr>
        <w:pStyle w:val="a-BR813011"/>
        <w:autoSpaceDE w:val="0"/>
        <w:autoSpaceDN w:val="0"/>
        <w:adjustRightInd w:val="0"/>
        <w:spacing w:line="360" w:lineRule="auto"/>
        <w:ind w:firstLine="420" w:firstLineChars="200"/>
        <w:jc w:val="left"/>
        <w:rPr>
          <w:rFonts w:ascii="宋体" w:hAnsi="宋体"/>
          <w:kern w:val="0"/>
          <w:szCs w:val="21"/>
        </w:rPr>
      </w:pPr>
      <w:r>
        <w:rPr>
          <w:rFonts w:ascii="宋体" w:hAnsi="宋体" w:hint="eastAsia"/>
          <w:kern w:val="0"/>
          <w:szCs w:val="21"/>
        </w:rPr>
        <w:t>本基金运作过程中涉及除增值税及其附加税费以外税项的各纳税主体、扣缴主体，其纳税义务、扣缴义务按国家税收法律、法规执行。</w:t>
      </w:r>
    </w:p>
    <w:p>
      <w:pPr>
        <w:pStyle w:val="a-BR813011"/>
        <w:autoSpaceDE w:val="0"/>
        <w:autoSpaceDN w:val="0"/>
        <w:adjustRightInd w:val="0"/>
        <w:spacing w:line="360" w:lineRule="auto"/>
        <w:ind w:firstLine="420" w:firstLineChars="200"/>
        <w:jc w:val="left"/>
        <w:rPr>
          <w:rFonts w:ascii="宋体" w:hAnsi="宋体"/>
          <w:kern w:val="0"/>
          <w:szCs w:val="21"/>
        </w:rPr>
      </w:pPr>
      <w:r>
        <w:rPr>
          <w:rFonts w:ascii="宋体" w:hAnsi="宋体" w:hint="eastAsia"/>
          <w:kern w:val="0"/>
          <w:szCs w:val="21"/>
        </w:rPr>
        <w:t>如将来本私募基金所适用的税收征管法律法规及具体执行方式由于国家相关税收政策、私募基金管理人主管税务机关指导意见、中国证监会相关规定、行业指引、自律规则及有关政策调整而发生变化，则私募基金管理人经与私募基金托管人协商一致并由私募基金管理人提前告知基金份额持有人后可直接对本私募基金合同中涉及的相关内容进行修改和调整，修改后的私募基金合同对全体基金份额持有人有效。</w:t>
      </w:r>
    </w:p>
    <w:p>
      <w:pPr>
        <w:pStyle w:val="a7-BR884476"/>
        <w:rPr>
          <w:sz w:val="21"/>
          <w:szCs w:val="21"/>
          <w:lang w:val="en-US"/>
        </w:rPr>
      </w:pPr>
      <w:bookmarkStart w:id="33" w:name="_Toc256000017"/>
      <w:r>
        <w:rPr>
          <w:rFonts w:hint="eastAsia"/>
          <w:sz w:val="21"/>
          <w:szCs w:val="21"/>
        </w:rPr>
        <w:t>十七、私募基金的收益分配</w:t>
      </w:r>
      <w:bookmarkEnd w:id="33"/>
    </w:p>
    <w:p>
      <w:pPr>
        <w:pStyle w:val="a-BR884476"/>
        <w:tabs>
          <w:tab w:val="left" w:pos="1260"/>
        </w:tabs>
        <w:spacing w:line="360" w:lineRule="auto"/>
        <w:ind w:firstLine="420" w:firstLineChars="200"/>
        <w:rPr>
          <w:rFonts w:ascii="宋体" w:hAnsi="宋体"/>
          <w:szCs w:val="21"/>
        </w:rPr>
      </w:pPr>
      <w:r>
        <w:rPr>
          <w:rFonts w:ascii="宋体" w:hAnsi="宋体" w:hint="eastAsia"/>
          <w:szCs w:val="21"/>
        </w:rPr>
        <w:t>（一）基金收益分配原则和方式</w:t>
      </w:r>
    </w:p>
    <w:p>
      <w:pPr>
        <w:pStyle w:val="a-BR884476"/>
        <w:spacing w:line="360" w:lineRule="auto"/>
        <w:ind w:firstLine="420" w:firstLineChars="200"/>
        <w:rPr>
          <w:rFonts w:ascii="宋体" w:hAnsi="宋体"/>
          <w:szCs w:val="21"/>
        </w:rPr>
      </w:pPr>
      <w:r>
        <w:rPr>
          <w:rFonts w:ascii="宋体" w:hAnsi="宋体"/>
          <w:szCs w:val="21"/>
        </w:rPr>
        <w:t>1、</w:t>
      </w:r>
      <w:r>
        <w:rPr>
          <w:rFonts w:ascii="宋体" w:hAnsi="宋体" w:hint="eastAsia"/>
          <w:szCs w:val="21"/>
        </w:rPr>
        <w:t>基金收益分配的基准为基金的累计未支付利润。基金的累计未支付利润是指基金的利息收入、投资收益、公允价值变动及其他收入等基金运作产生的各项收入扣除管理费、托管费、运营服务费等基金运作产生的各项费用后的余额。</w:t>
      </w:r>
    </w:p>
    <w:p>
      <w:pPr>
        <w:pStyle w:val="a-BR884476"/>
        <w:spacing w:line="360" w:lineRule="auto"/>
        <w:ind w:firstLine="420" w:firstLineChars="200"/>
        <w:rPr>
          <w:rFonts w:ascii="宋体" w:hAnsi="宋体"/>
          <w:szCs w:val="21"/>
        </w:rPr>
      </w:pPr>
      <w:r>
        <w:rPr>
          <w:rFonts w:ascii="宋体" w:hAnsi="宋体"/>
          <w:szCs w:val="21"/>
        </w:rPr>
        <w:t>2、</w:t>
      </w:r>
      <w:r>
        <w:rPr>
          <w:rFonts w:ascii="宋体" w:hAnsi="宋体" w:hint="eastAsia"/>
          <w:szCs w:val="21"/>
        </w:rPr>
        <w:t>本基金的收益分配方式为现金方式或红利再投资方式。</w:t>
      </w:r>
    </w:p>
    <w:p>
      <w:pPr>
        <w:pStyle w:val="a-BR884476"/>
        <w:spacing w:line="360" w:lineRule="auto"/>
        <w:ind w:firstLine="420" w:firstLineChars="200"/>
        <w:rPr>
          <w:rFonts w:ascii="宋体" w:hAnsi="宋体"/>
          <w:szCs w:val="21"/>
        </w:rPr>
      </w:pPr>
      <w:r>
        <w:rPr>
          <w:rFonts w:ascii="宋体" w:hAnsi="宋体"/>
          <w:szCs w:val="21"/>
        </w:rPr>
        <w:t>本基金默认采用现金方式</w:t>
      </w:r>
      <w:r>
        <w:rPr>
          <w:rFonts w:ascii="宋体" w:hAnsi="宋体" w:hint="eastAsia"/>
          <w:szCs w:val="21"/>
        </w:rPr>
        <w:t>，收益分配时的具体方式以管理人出具的收益分配方案为准。</w:t>
      </w:r>
    </w:p>
    <w:p>
      <w:pPr>
        <w:pStyle w:val="a-BR884476"/>
        <w:spacing w:line="360" w:lineRule="auto"/>
        <w:ind w:firstLine="420" w:firstLineChars="200"/>
        <w:rPr>
          <w:rFonts w:ascii="宋体" w:hAnsi="宋体"/>
          <w:szCs w:val="21"/>
        </w:rPr>
      </w:pPr>
      <w:r>
        <w:rPr>
          <w:rFonts w:ascii="宋体" w:hAnsi="宋体"/>
          <w:szCs w:val="21"/>
        </w:rPr>
        <w:t>3、同等基金份额享有同等分配权；</w:t>
      </w:r>
    </w:p>
    <w:p>
      <w:pPr>
        <w:pStyle w:val="a-BR884476"/>
        <w:spacing w:line="360" w:lineRule="auto"/>
        <w:ind w:firstLine="420" w:firstLineChars="200"/>
        <w:rPr>
          <w:rFonts w:ascii="宋体" w:hAnsi="宋体"/>
          <w:szCs w:val="21"/>
        </w:rPr>
      </w:pPr>
      <w:r>
        <w:rPr>
          <w:rFonts w:ascii="宋体" w:hAnsi="宋体"/>
          <w:szCs w:val="21"/>
        </w:rPr>
        <w:t>4、本基金存续期内收益分配比例</w:t>
      </w:r>
      <w:r>
        <w:rPr>
          <w:rFonts w:ascii="宋体" w:hAnsi="宋体" w:hint="eastAsia"/>
          <w:szCs w:val="21"/>
        </w:rPr>
        <w:t>、分配次数、分配时间</w:t>
      </w:r>
      <w:r>
        <w:rPr>
          <w:rFonts w:ascii="宋体" w:hAnsi="宋体"/>
          <w:szCs w:val="21"/>
        </w:rPr>
        <w:t>和分配金额由</w:t>
      </w:r>
      <w:r>
        <w:rPr>
          <w:rFonts w:ascii="宋体" w:hAnsi="宋体" w:hint="eastAsia"/>
          <w:szCs w:val="21"/>
        </w:rPr>
        <w:t>私募基金</w:t>
      </w:r>
      <w:r>
        <w:rPr>
          <w:rFonts w:ascii="宋体" w:hAnsi="宋体"/>
          <w:szCs w:val="21"/>
        </w:rPr>
        <w:t>管理人确定。</w:t>
      </w:r>
    </w:p>
    <w:p>
      <w:pPr>
        <w:pStyle w:val="a-BR884476"/>
        <w:tabs>
          <w:tab w:val="left" w:pos="1260"/>
        </w:tabs>
        <w:spacing w:line="360" w:lineRule="auto"/>
        <w:ind w:firstLine="420" w:firstLineChars="200"/>
        <w:rPr>
          <w:rFonts w:ascii="宋体" w:hAnsi="宋体"/>
          <w:szCs w:val="21"/>
        </w:rPr>
      </w:pPr>
      <w:r>
        <w:rPr>
          <w:rFonts w:ascii="宋体" w:hAnsi="宋体" w:hint="eastAsia"/>
          <w:szCs w:val="21"/>
        </w:rPr>
        <w:t>（二）基金收益分配方案的确定与通知</w:t>
      </w:r>
    </w:p>
    <w:p>
      <w:pPr>
        <w:pStyle w:val="a-BR884476"/>
        <w:tabs>
          <w:tab w:val="left" w:pos="1260"/>
        </w:tabs>
        <w:spacing w:line="360" w:lineRule="auto"/>
        <w:ind w:firstLine="420" w:firstLineChars="200"/>
        <w:rPr>
          <w:rFonts w:ascii="宋体" w:hAnsi="宋体"/>
          <w:szCs w:val="21"/>
        </w:rPr>
      </w:pPr>
      <w:r>
        <w:rPr>
          <w:rFonts w:ascii="宋体" w:hAnsi="宋体" w:hint="eastAsia"/>
          <w:szCs w:val="21"/>
        </w:rPr>
        <w:t>基金收益分配方案由私募基金管理人根据本合同制定，包括基金收益分配的范围、分配对象、分配原则、分配时间、分配数额及比例、分配方式等内容。</w:t>
      </w:r>
    </w:p>
    <w:p>
      <w:pPr>
        <w:pStyle w:val="a-BR884476"/>
        <w:tabs>
          <w:tab w:val="left" w:pos="1260"/>
        </w:tabs>
        <w:spacing w:line="360" w:lineRule="auto"/>
        <w:ind w:firstLine="420" w:firstLineChars="200"/>
        <w:rPr>
          <w:rFonts w:ascii="宋体" w:hAnsi="宋体"/>
          <w:szCs w:val="21"/>
        </w:rPr>
      </w:pPr>
      <w:r>
        <w:rPr>
          <w:rFonts w:ascii="宋体" w:hAnsi="宋体" w:hint="eastAsia"/>
          <w:szCs w:val="21"/>
        </w:rPr>
        <w:t>私募基金管理人应当于分红权益登记日前，将基金收益分配方案交由私募基金托管人复核。复核通过后，私募基金管理人应及时通知基金份额持有人收益分配方案。</w:t>
      </w:r>
    </w:p>
    <w:p>
      <w:pPr>
        <w:pStyle w:val="a-BR884476"/>
        <w:tabs>
          <w:tab w:val="left" w:pos="1260"/>
        </w:tabs>
        <w:spacing w:line="360" w:lineRule="auto"/>
        <w:ind w:firstLine="420" w:firstLineChars="200"/>
        <w:rPr>
          <w:rFonts w:ascii="宋体" w:hAnsi="宋体"/>
          <w:szCs w:val="21"/>
        </w:rPr>
      </w:pPr>
      <w:r>
        <w:rPr>
          <w:rFonts w:ascii="宋体" w:hAnsi="宋体" w:hint="eastAsia"/>
          <w:szCs w:val="21"/>
        </w:rPr>
        <w:t>（三）基金收益分配的执行</w:t>
      </w:r>
    </w:p>
    <w:p>
      <w:pPr>
        <w:pStyle w:val="a-BR884476"/>
        <w:tabs>
          <w:tab w:val="left" w:pos="1260"/>
        </w:tabs>
        <w:spacing w:line="360" w:lineRule="auto"/>
        <w:ind w:firstLine="420" w:firstLineChars="200"/>
        <w:rPr>
          <w:rFonts w:ascii="宋体" w:hAnsi="宋体"/>
          <w:szCs w:val="21"/>
        </w:rPr>
      </w:pPr>
      <w:r>
        <w:rPr>
          <w:rFonts w:ascii="宋体" w:hAnsi="宋体" w:hint="eastAsia"/>
          <w:szCs w:val="21"/>
        </w:rPr>
        <w:t>私募基金托管人根据私募基金管理人的收益分配方案和提供的红利金额的数据，在红利发放日将相应款项划拨至募集账户。</w:t>
      </w:r>
    </w:p>
    <w:p>
      <w:pPr>
        <w:pStyle w:val="a8-BR181514"/>
        <w:rPr>
          <w:sz w:val="21"/>
          <w:szCs w:val="21"/>
        </w:rPr>
      </w:pPr>
      <w:bookmarkStart w:id="34" w:name="_Toc256000018"/>
      <w:r>
        <w:rPr>
          <w:rFonts w:hint="eastAsia"/>
          <w:sz w:val="21"/>
          <w:szCs w:val="21"/>
        </w:rPr>
        <w:t>十八、信息披露与报告</w:t>
      </w:r>
      <w:bookmarkEnd w:id="34"/>
    </w:p>
    <w:p>
      <w:pPr>
        <w:pStyle w:val="a-BR181514"/>
        <w:spacing w:line="360" w:lineRule="auto"/>
        <w:ind w:firstLine="420" w:firstLineChars="200"/>
        <w:rPr>
          <w:rFonts w:ascii="宋体" w:hAnsi="宋体"/>
          <w:szCs w:val="21"/>
        </w:rPr>
      </w:pPr>
      <w:r>
        <w:rPr>
          <w:rFonts w:ascii="宋体" w:hAnsi="宋体" w:hint="eastAsia"/>
          <w:szCs w:val="21"/>
        </w:rPr>
        <w:t>（一）私募基金管理人应根据法律法规规定以信件、传真、电子邮件、官方网站或第三方服务机构登录查询等方式向基金投资者进行信息披露，并应按照法律法规规定通过中国基金业协会指定的私募基金信息披露备份平台报送信息。</w:t>
      </w:r>
    </w:p>
    <w:p>
      <w:pPr>
        <w:pStyle w:val="a-BR181514"/>
        <w:spacing w:line="360" w:lineRule="auto"/>
        <w:ind w:firstLine="420" w:firstLineChars="200"/>
        <w:rPr>
          <w:rFonts w:ascii="宋体" w:hAnsi="宋体"/>
          <w:szCs w:val="21"/>
        </w:rPr>
      </w:pPr>
      <w:r>
        <w:rPr>
          <w:rFonts w:ascii="宋体" w:hAnsi="宋体" w:hint="eastAsia"/>
          <w:szCs w:val="21"/>
        </w:rPr>
        <w:t>（二）私</w:t>
      </w:r>
      <w:r>
        <w:rPr>
          <w:rFonts w:hint="eastAsia"/>
        </w:rPr>
        <w:t>募基金管理人应当按照《私募投资基金信息披露管理办法》、《私募投资基金信息披露内容与格式指引</w:t>
      </w:r>
      <w:r>
        <w:t>1</w:t>
      </w:r>
      <w:r>
        <w:rPr>
          <w:rFonts w:hint="eastAsia"/>
        </w:rPr>
        <w:t>号（适用于私募证券投资基金）》及《私募股权基金信息披露内容与格式指引</w:t>
      </w:r>
      <w:r>
        <w:t>2</w:t>
      </w:r>
      <w:r>
        <w:rPr>
          <w:rFonts w:hint="eastAsia"/>
        </w:rPr>
        <w:t>号—适用于私募股权（含创业）投资基金》等中国基金业协会等金融</w:t>
      </w:r>
      <w:r>
        <w:t>监管部门</w:t>
      </w:r>
      <w:r>
        <w:rPr>
          <w:rFonts w:hint="eastAsia"/>
        </w:rPr>
        <w:t>颁布的相关规定及其修订及基金合同约定如实履行信息披露义务，向投资者披露经私募基金托管人复核的定期报告。证券投资</w:t>
      </w:r>
      <w:r>
        <w:t>基金的定期报告</w:t>
      </w:r>
      <w:r>
        <w:rPr>
          <w:rFonts w:hint="eastAsia"/>
        </w:rPr>
        <w:t>包括</w:t>
      </w:r>
      <w:r>
        <w:t>：</w:t>
      </w:r>
      <w:r>
        <w:rPr>
          <w:rFonts w:hint="eastAsia"/>
        </w:rPr>
        <w:t>月度报告（适用管理</w:t>
      </w:r>
      <w:r>
        <w:t>规模金额</w:t>
      </w:r>
      <w:r>
        <w:rPr>
          <w:rFonts w:hint="eastAsia"/>
        </w:rPr>
        <w:t>达到</w:t>
      </w:r>
      <w:r>
        <w:t>5000万元以上的证券投资基金</w:t>
      </w:r>
      <w:r>
        <w:rPr>
          <w:rFonts w:hint="eastAsia"/>
        </w:rPr>
        <w:t>）、季度报告、</w:t>
      </w:r>
      <w:r>
        <w:t>年度报告。</w:t>
      </w:r>
      <w:r>
        <w:rPr>
          <w:rFonts w:hint="eastAsia"/>
        </w:rPr>
        <w:t>股</w:t>
      </w:r>
      <w:r>
        <w:rPr>
          <w:rFonts w:ascii="宋体" w:hAnsi="宋体" w:hint="eastAsia"/>
          <w:szCs w:val="21"/>
        </w:rPr>
        <w:t>权（含</w:t>
      </w:r>
      <w:r>
        <w:rPr>
          <w:rFonts w:ascii="宋体" w:hAnsi="宋体"/>
          <w:szCs w:val="21"/>
        </w:rPr>
        <w:t>创业</w:t>
      </w:r>
      <w:r>
        <w:rPr>
          <w:rFonts w:ascii="宋体" w:hAnsi="宋体" w:hint="eastAsia"/>
          <w:szCs w:val="21"/>
        </w:rPr>
        <w:t>）投资</w:t>
      </w:r>
      <w:r>
        <w:rPr>
          <w:rFonts w:ascii="宋体" w:hAnsi="宋体"/>
          <w:szCs w:val="21"/>
        </w:rPr>
        <w:t>基金的定期报告包括：</w:t>
      </w:r>
      <w:r>
        <w:rPr>
          <w:rFonts w:ascii="宋体" w:hAnsi="宋体" w:hint="eastAsia"/>
          <w:szCs w:val="21"/>
        </w:rPr>
        <w:t>季度</w:t>
      </w:r>
      <w:r>
        <w:rPr>
          <w:rFonts w:ascii="宋体" w:hAnsi="宋体"/>
          <w:szCs w:val="21"/>
        </w:rPr>
        <w:t>报告</w:t>
      </w:r>
      <w:r>
        <w:rPr>
          <w:rFonts w:ascii="宋体" w:hAnsi="宋体" w:hint="eastAsia"/>
          <w:szCs w:val="21"/>
        </w:rPr>
        <w:t>（如需）、半年度</w:t>
      </w:r>
      <w:r>
        <w:rPr>
          <w:rFonts w:ascii="宋体" w:hAnsi="宋体"/>
          <w:szCs w:val="21"/>
        </w:rPr>
        <w:t>报告、</w:t>
      </w:r>
      <w:r>
        <w:rPr>
          <w:rFonts w:ascii="宋体" w:hAnsi="宋体" w:hint="eastAsia"/>
          <w:szCs w:val="21"/>
        </w:rPr>
        <w:t>年度报告</w:t>
      </w:r>
      <w:r>
        <w:rPr>
          <w:rFonts w:ascii="宋体" w:hAnsi="宋体"/>
          <w:szCs w:val="21"/>
        </w:rPr>
        <w:t>。其他</w:t>
      </w:r>
      <w:r>
        <w:rPr>
          <w:rFonts w:ascii="宋体" w:hAnsi="宋体" w:hint="eastAsia"/>
          <w:szCs w:val="21"/>
        </w:rPr>
        <w:t>投资</w:t>
      </w:r>
      <w:r>
        <w:rPr>
          <w:rFonts w:ascii="宋体" w:hAnsi="宋体"/>
          <w:szCs w:val="21"/>
        </w:rPr>
        <w:t>基金的定期报告</w:t>
      </w:r>
      <w:r>
        <w:rPr>
          <w:rFonts w:ascii="宋体" w:hAnsi="宋体" w:hint="eastAsia"/>
          <w:szCs w:val="21"/>
        </w:rPr>
        <w:t>按照金融</w:t>
      </w:r>
      <w:r>
        <w:rPr>
          <w:rFonts w:ascii="宋体" w:hAnsi="宋体"/>
          <w:szCs w:val="21"/>
        </w:rPr>
        <w:t>监管部门的相关规定</w:t>
      </w:r>
      <w:r>
        <w:rPr>
          <w:rFonts w:ascii="宋体" w:hAnsi="宋体" w:hint="eastAsia"/>
          <w:szCs w:val="21"/>
        </w:rPr>
        <w:t>执行</w:t>
      </w:r>
      <w:r>
        <w:rPr>
          <w:rFonts w:ascii="宋体" w:hAnsi="宋体"/>
          <w:szCs w:val="21"/>
        </w:rPr>
        <w:t>。</w:t>
      </w:r>
    </w:p>
    <w:p>
      <w:pPr>
        <w:pStyle w:val="a-BR181514"/>
        <w:spacing w:line="360" w:lineRule="auto"/>
        <w:ind w:firstLine="420" w:firstLineChars="200"/>
        <w:rPr>
          <w:rFonts w:ascii="宋体" w:hAnsi="宋体"/>
          <w:szCs w:val="21"/>
        </w:rPr>
      </w:pPr>
      <w:r>
        <w:rPr>
          <w:rFonts w:ascii="宋体" w:hAnsi="宋体" w:hint="eastAsia"/>
          <w:szCs w:val="21"/>
        </w:rPr>
        <w:t>定期报告内容按照</w:t>
      </w:r>
      <w:r>
        <w:rPr>
          <w:rFonts w:ascii="宋体" w:hAnsi="宋体"/>
          <w:szCs w:val="21"/>
        </w:rPr>
        <w:t>金融监管部门的格式指引等规定</w:t>
      </w:r>
      <w:r>
        <w:rPr>
          <w:rFonts w:ascii="宋体" w:hAnsi="宋体" w:hint="eastAsia"/>
          <w:szCs w:val="21"/>
        </w:rPr>
        <w:t>披露</w:t>
      </w:r>
      <w:r>
        <w:rPr>
          <w:rFonts w:ascii="宋体" w:hAnsi="宋体"/>
          <w:szCs w:val="21"/>
        </w:rPr>
        <w:t>，</w:t>
      </w:r>
      <w:r>
        <w:rPr>
          <w:rFonts w:ascii="宋体" w:hAnsi="宋体" w:hint="eastAsia"/>
          <w:szCs w:val="21"/>
        </w:rPr>
        <w:t>包括但不限于基金基本情况、主要财务指标、基金运作情况、投资收益分配和损失承担情况等。</w:t>
      </w:r>
    </w:p>
    <w:p>
      <w:pPr>
        <w:pStyle w:val="a-BR181514"/>
        <w:spacing w:line="360" w:lineRule="auto"/>
        <w:ind w:firstLine="420" w:firstLineChars="200"/>
        <w:rPr>
          <w:rFonts w:ascii="宋体" w:hAnsi="宋体"/>
          <w:szCs w:val="21"/>
        </w:rPr>
      </w:pPr>
      <w:r>
        <w:rPr>
          <w:rFonts w:ascii="宋体" w:hAnsi="宋体" w:hint="eastAsia"/>
          <w:szCs w:val="21"/>
        </w:rPr>
        <w:t>私募基金管理人应当至少每季度以定期报告或其他形式向基金份额持有人披露产品净值和其他重要信息。</w:t>
      </w:r>
    </w:p>
    <w:p>
      <w:pPr>
        <w:pStyle w:val="a-BR181514"/>
        <w:spacing w:line="360" w:lineRule="auto"/>
        <w:ind w:firstLine="420"/>
        <w:rPr>
          <w:rFonts w:ascii="宋体" w:hAnsi="宋体"/>
          <w:szCs w:val="21"/>
        </w:rPr>
      </w:pPr>
      <w:r>
        <w:rPr>
          <w:rFonts w:ascii="宋体" w:hAnsi="宋体" w:hint="eastAsia"/>
          <w:szCs w:val="21"/>
        </w:rPr>
        <w:t>（三）定期报告的编制及复核流程</w:t>
      </w:r>
    </w:p>
    <w:p>
      <w:pPr>
        <w:pStyle w:val="a-BR181514"/>
        <w:spacing w:line="360" w:lineRule="auto"/>
        <w:ind w:firstLine="420" w:firstLineChars="200"/>
        <w:rPr>
          <w:rFonts w:ascii="宋体" w:hAnsi="宋体"/>
          <w:szCs w:val="21"/>
        </w:rPr>
      </w:pPr>
      <w:r>
        <w:rPr>
          <w:rFonts w:ascii="宋体" w:hAnsi="宋体" w:hint="eastAsia"/>
          <w:szCs w:val="21"/>
        </w:rPr>
        <w:t>本基金的定期报告由私募基金管理人负责编制，私募基金管理人可以委托运营服务机构办理定期报告的编制。私募基金管理人或其委托的运营服务机构完成定期报告编制后，由私募基金托管人对定期报告中的财务数据进行复核。如私募基金管理人或其委托的运营服务机构未能及时提供估值结果或未及时将定期报告提供至私募基金托管人进行复核的，由此造成的任何后果，私募基金托管人不承担任何责任。</w:t>
      </w:r>
    </w:p>
    <w:p>
      <w:pPr>
        <w:pStyle w:val="a-BR181514"/>
        <w:spacing w:line="360" w:lineRule="auto"/>
        <w:ind w:firstLine="420" w:firstLineChars="200"/>
        <w:rPr>
          <w:rFonts w:ascii="宋体" w:hAnsi="宋体"/>
          <w:szCs w:val="21"/>
        </w:rPr>
      </w:pPr>
      <w:r>
        <w:rPr>
          <w:rFonts w:ascii="宋体" w:hAnsi="宋体" w:hint="eastAsia"/>
          <w:szCs w:val="21"/>
        </w:rPr>
        <w:t>（四）本基金运行期间若发生重大事项的，私募基金管理人应当按照中国基金业协会等金融</w:t>
      </w:r>
      <w:r>
        <w:rPr>
          <w:rFonts w:ascii="宋体" w:hAnsi="宋体"/>
          <w:szCs w:val="21"/>
        </w:rPr>
        <w:t>监管部门的</w:t>
      </w:r>
      <w:r>
        <w:rPr>
          <w:rFonts w:ascii="宋体" w:hAnsi="宋体" w:hint="eastAsia"/>
          <w:szCs w:val="21"/>
        </w:rPr>
        <w:t>相关规定在五个工作日内向投资者披露。重大事项包括但不限于以下内容：</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1）基金名称、注册地址、组织形式发生变更；</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2）投资范围/标的和投资策略发生重大变化；</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3）变更</w:t>
      </w:r>
      <w:r>
        <w:rPr>
          <w:rFonts w:ascii="宋体" w:hAnsi="宋体" w:hint="eastAsia"/>
          <w:szCs w:val="21"/>
        </w:rPr>
        <w:t>私募基金</w:t>
      </w:r>
      <w:r>
        <w:rPr>
          <w:rFonts w:ascii="宋体" w:hAnsi="宋体"/>
          <w:szCs w:val="21"/>
        </w:rPr>
        <w:t>管理人或</w:t>
      </w:r>
      <w:r>
        <w:rPr>
          <w:rFonts w:ascii="宋体" w:hAnsi="宋体" w:hint="eastAsia"/>
          <w:szCs w:val="21"/>
        </w:rPr>
        <w:t>私募基金</w:t>
      </w:r>
      <w:r>
        <w:rPr>
          <w:rFonts w:ascii="宋体" w:hAnsi="宋体"/>
          <w:szCs w:val="21"/>
        </w:rPr>
        <w:t>托管人；</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私募基金</w:t>
      </w:r>
      <w:r>
        <w:rPr>
          <w:rFonts w:ascii="宋体" w:hAnsi="宋体"/>
          <w:szCs w:val="21"/>
        </w:rPr>
        <w:t>管理人的法定代表人</w:t>
      </w:r>
      <w:r>
        <w:rPr>
          <w:rFonts w:ascii="宋体" w:hAnsi="宋体" w:hint="eastAsia"/>
          <w:szCs w:val="21"/>
        </w:rPr>
        <w:t>/</w:t>
      </w:r>
      <w:r>
        <w:rPr>
          <w:rFonts w:ascii="宋体" w:hAnsi="宋体"/>
          <w:szCs w:val="21"/>
        </w:rPr>
        <w:t>执行事务合伙人（委派代表）、实际控制人发生变更；</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5）触及基金止损线或预警线（如有）；</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6）管理费率、托管费率发生变化；</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7）基金收益分配事项发生变更；</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8）基金触发巨额赎回的</w:t>
      </w:r>
      <w:r>
        <w:rPr>
          <w:rFonts w:ascii="宋体" w:hAnsi="宋体" w:hint="eastAsia"/>
          <w:szCs w:val="21"/>
        </w:rPr>
        <w:t>（如适用）；</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9）基金存续期变更或展期；</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10）基金发生清盘或清算；</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11）发生重大关联交易事项；</w:t>
      </w:r>
    </w:p>
    <w:p>
      <w:pPr>
        <w:pStyle w:val="a-BR181514"/>
        <w:spacing w:line="360" w:lineRule="auto"/>
        <w:ind w:firstLine="420" w:firstLineChars="200"/>
        <w:rPr>
          <w:rFonts w:ascii="宋体" w:hAnsi="宋体"/>
          <w:szCs w:val="21"/>
        </w:rPr>
      </w:pPr>
      <w:r>
        <w:rPr>
          <w:rFonts w:hint="eastAsia"/>
        </w:rPr>
        <w:t>（</w:t>
      </w:r>
      <w:r>
        <w:t>12</w:t>
      </w:r>
      <w:r>
        <w:rPr>
          <w:rFonts w:hint="eastAsia"/>
        </w:rPr>
        <w:t>）投资金</w:t>
      </w:r>
      <w:r>
        <w:rPr>
          <w:rFonts w:hint="eastAsia"/>
          <w:szCs w:val="21"/>
        </w:rPr>
        <w:t>额占基金净资产50%及以上的项目不能正常退出的；</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13）</w:t>
      </w:r>
      <w:r>
        <w:rPr>
          <w:rFonts w:ascii="宋体" w:hAnsi="宋体" w:hint="eastAsia"/>
          <w:szCs w:val="21"/>
        </w:rPr>
        <w:t>私募</w:t>
      </w:r>
      <w:r>
        <w:rPr>
          <w:rFonts w:ascii="宋体" w:hAnsi="宋体"/>
          <w:szCs w:val="21"/>
        </w:rPr>
        <w:t>基金管理人、实际控制人、高管人员涉嫌重大违法违规行为或正在接受监管部门或自律管理部门调查；</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14）涉及私募基金管理业务、基金财产、基金托管业务的重大诉讼、仲裁；</w:t>
      </w:r>
    </w:p>
    <w:p>
      <w:pPr>
        <w:pStyle w:val="a-BR181514"/>
        <w:spacing w:line="360" w:lineRule="auto"/>
        <w:ind w:firstLine="420" w:firstLineChars="200"/>
        <w:rPr>
          <w:rFonts w:ascii="宋体" w:hAnsi="宋体"/>
          <w:szCs w:val="21"/>
        </w:rPr>
      </w:pPr>
      <w:r>
        <w:rPr>
          <w:rFonts w:ascii="宋体" w:hAnsi="宋体" w:hint="eastAsia"/>
          <w:szCs w:val="21"/>
        </w:rPr>
        <w:t>（</w:t>
      </w:r>
      <w:r>
        <w:rPr>
          <w:rFonts w:ascii="宋体" w:hAnsi="宋体"/>
          <w:szCs w:val="21"/>
        </w:rPr>
        <w:t>15）</w:t>
      </w:r>
      <w:r>
        <w:rPr>
          <w:rFonts w:ascii="宋体" w:hAnsi="宋体" w:hint="eastAsia"/>
          <w:szCs w:val="21"/>
        </w:rPr>
        <w:t>对基金持续运行、投资者利益、资产净值产生重大影响的其他事件</w:t>
      </w:r>
      <w:r>
        <w:rPr>
          <w:rFonts w:ascii="宋体" w:hAnsi="宋体"/>
          <w:szCs w:val="21"/>
        </w:rPr>
        <w:t>。</w:t>
      </w:r>
    </w:p>
    <w:p>
      <w:pPr>
        <w:pStyle w:val="a-BR181514"/>
        <w:spacing w:line="360" w:lineRule="auto"/>
        <w:ind w:firstLine="420" w:firstLineChars="200"/>
        <w:rPr>
          <w:rFonts w:ascii="宋体" w:hAnsi="宋体"/>
          <w:szCs w:val="21"/>
        </w:rPr>
      </w:pPr>
      <w:r>
        <w:rPr>
          <w:rFonts w:ascii="宋体" w:hAnsi="宋体" w:hint="eastAsia"/>
          <w:szCs w:val="21"/>
        </w:rPr>
        <w:t>（五）私募基金管理人应按照金融监管部门的规定向全体基金份额持有人报告经私募基金托管人复核的基金份额净值。</w:t>
      </w:r>
    </w:p>
    <w:p>
      <w:pPr>
        <w:pStyle w:val="a-BR181514"/>
        <w:spacing w:line="360" w:lineRule="auto"/>
        <w:ind w:firstLine="420" w:firstLineChars="200"/>
        <w:rPr>
          <w:rFonts w:ascii="宋体" w:hAnsi="宋体"/>
          <w:szCs w:val="21"/>
        </w:rPr>
      </w:pPr>
      <w:r>
        <w:rPr>
          <w:rFonts w:ascii="宋体" w:hAnsi="宋体" w:hint="eastAsia"/>
          <w:szCs w:val="21"/>
        </w:rPr>
        <w:t>（六）如私募基金管理人未按照法律法规、金融</w:t>
      </w:r>
      <w:r>
        <w:rPr>
          <w:rFonts w:ascii="宋体" w:hAnsi="宋体"/>
          <w:szCs w:val="21"/>
        </w:rPr>
        <w:t>监管部门</w:t>
      </w:r>
      <w:r>
        <w:rPr>
          <w:rFonts w:ascii="宋体" w:hAnsi="宋体" w:hint="eastAsia"/>
          <w:szCs w:val="21"/>
        </w:rPr>
        <w:t>相关规定及本基金合同约定履行信息披露义务的，私募基金托管人不承担任何责任。</w:t>
      </w:r>
    </w:p>
    <w:p>
      <w:pPr>
        <w:pStyle w:val="a-BR181514"/>
        <w:spacing w:line="360" w:lineRule="auto"/>
        <w:ind w:firstLine="420" w:firstLineChars="200"/>
        <w:rPr>
          <w:rFonts w:ascii="宋体" w:hAnsi="宋体"/>
          <w:szCs w:val="21"/>
        </w:rPr>
      </w:pPr>
      <w:r>
        <w:rPr>
          <w:rFonts w:ascii="宋体" w:hAnsi="宋体" w:hint="eastAsia"/>
          <w:szCs w:val="21"/>
        </w:rPr>
        <w:t>（七）</w:t>
      </w:r>
      <w:r>
        <w:rPr>
          <w:rFonts w:ascii="宋体" w:hAnsi="宋体"/>
          <w:szCs w:val="21"/>
        </w:rPr>
        <w:t>全体份额持有人同意私募基金管理人或其他信息披露义务人应当按照中国基金业协会的规定对基金信息披露信息进行备份。</w:t>
      </w:r>
    </w:p>
    <w:p>
      <w:pPr>
        <w:pStyle w:val="a-BR181514"/>
        <w:spacing w:line="360" w:lineRule="auto"/>
        <w:ind w:firstLine="420" w:firstLineChars="200"/>
        <w:rPr>
          <w:rFonts w:ascii="宋体" w:hAnsi="宋体"/>
          <w:szCs w:val="21"/>
        </w:rPr>
      </w:pPr>
      <w:r>
        <w:rPr>
          <w:rFonts w:ascii="宋体" w:hAnsi="宋体" w:hint="eastAsia"/>
          <w:szCs w:val="21"/>
        </w:rPr>
        <w:t>（八）除按照《基金法》、《私募办法》、《私募投资基金信息披露管理办法》中关于基金信息披露的有关规定及本合同进行披露以外，私募基金管理人和私募基金托管人对披露前的基金信息、从对方获得的业务信息应予保密，不得向任何第三方泄露。法律、法规另有规定的以及审计需要的除外。</w:t>
      </w:r>
    </w:p>
    <w:p>
      <w:pPr>
        <w:pStyle w:val="a-BR181514"/>
        <w:spacing w:line="360" w:lineRule="auto"/>
        <w:ind w:firstLine="420" w:firstLineChars="200"/>
        <w:rPr>
          <w:rFonts w:ascii="宋体" w:hAnsi="宋体"/>
          <w:szCs w:val="21"/>
        </w:rPr>
      </w:pPr>
      <w:r>
        <w:rPr>
          <w:rFonts w:ascii="宋体" w:hAnsi="宋体" w:hint="eastAsia"/>
          <w:szCs w:val="21"/>
        </w:rPr>
        <w:t>（九）私募基金管理人应当妥善保管私募基金信息披露的相关文件资料，保存期限自基金清算终止之日起不得少于</w:t>
      </w:r>
      <w:r>
        <w:rPr>
          <w:rFonts w:ascii="宋体" w:hAnsi="宋体"/>
          <w:szCs w:val="21"/>
        </w:rPr>
        <w:t>10年。</w:t>
      </w:r>
    </w:p>
    <w:p>
      <w:pPr>
        <w:pStyle w:val="a-BR181514"/>
        <w:spacing w:line="360" w:lineRule="auto"/>
        <w:ind w:firstLine="420" w:firstLineChars="200"/>
        <w:rPr>
          <w:rFonts w:ascii="宋体" w:hAnsi="宋体"/>
          <w:szCs w:val="21"/>
        </w:rPr>
      </w:pPr>
      <w:r>
        <w:rPr>
          <w:rFonts w:ascii="宋体" w:hAnsi="宋体" w:hint="eastAsia"/>
          <w:szCs w:val="21"/>
        </w:rPr>
        <w:t>（十）如果中国基金业协会等金融</w:t>
      </w:r>
      <w:r>
        <w:rPr>
          <w:rFonts w:ascii="宋体" w:hAnsi="宋体"/>
          <w:szCs w:val="21"/>
        </w:rPr>
        <w:t>监管部门</w:t>
      </w:r>
      <w:r>
        <w:rPr>
          <w:rFonts w:ascii="宋体" w:hAnsi="宋体" w:hint="eastAsia"/>
          <w:szCs w:val="21"/>
        </w:rPr>
        <w:t>对私募投资基金信息披露规定进行修订</w:t>
      </w:r>
      <w:r>
        <w:rPr>
          <w:rFonts w:ascii="宋体" w:hAnsi="宋体"/>
          <w:szCs w:val="21"/>
        </w:rPr>
        <w:t>或/和更新，则本基金的信息披露</w:t>
      </w:r>
      <w:r>
        <w:rPr>
          <w:rFonts w:ascii="宋体" w:hAnsi="宋体" w:hint="eastAsia"/>
          <w:szCs w:val="21"/>
        </w:rPr>
        <w:t>事项约定以金融监管部门修订</w:t>
      </w:r>
      <w:r>
        <w:rPr>
          <w:rFonts w:ascii="宋体" w:hAnsi="宋体"/>
          <w:szCs w:val="21"/>
        </w:rPr>
        <w:t>或/和更新后的规定为准。</w:t>
      </w:r>
    </w:p>
    <w:p>
      <w:pPr>
        <w:pStyle w:val="a-BR181514"/>
        <w:spacing w:line="360" w:lineRule="auto"/>
        <w:ind w:firstLine="420" w:firstLineChars="200"/>
        <w:rPr>
          <w:rFonts w:ascii="宋体" w:hAnsi="宋体"/>
          <w:szCs w:val="21"/>
        </w:rPr>
      </w:pPr>
      <w:r>
        <w:rPr>
          <w:rFonts w:ascii="宋体" w:hAnsi="宋体" w:hint="eastAsia"/>
          <w:szCs w:val="21"/>
        </w:rPr>
        <w:t>（十一）私募基金管理人通过运营服务机构提供的“国泰君安投资者服务平台”（</w:t>
      </w:r>
      <w:r>
        <w:rPr>
          <w:rFonts w:ascii="宋体" w:hAnsi="宋体"/>
          <w:szCs w:val="21"/>
        </w:rPr>
        <w:t>http://pb.gtja.com/equerying/</w:t>
      </w:r>
      <w:r>
        <w:rPr>
          <w:rFonts w:ascii="宋体" w:hAnsi="宋体" w:hint="eastAsia"/>
          <w:szCs w:val="21"/>
        </w:rPr>
        <w:t>，具体网址可能依据实际需求变更，但私募基金管理人应于网址变更后通知基金投资者）向其投资者披露信息的，基金份额持有人可根据私募基金管理人授权，登录该用户服务平台查询基金份额（如有）、交易确认流水（如有）、产品公告（如有）、份额净值（如有）、定期报告（如有）等信息。</w:t>
      </w:r>
    </w:p>
    <w:p>
      <w:pPr>
        <w:pStyle w:val="a-BR181514"/>
        <w:spacing w:line="360" w:lineRule="auto"/>
        <w:ind w:firstLine="420" w:firstLineChars="200"/>
        <w:rPr>
          <w:rFonts w:ascii="宋体" w:hAnsi="宋体"/>
          <w:szCs w:val="21"/>
        </w:rPr>
      </w:pPr>
      <w:r>
        <w:rPr>
          <w:rFonts w:ascii="宋体" w:hAnsi="宋体" w:hint="eastAsia"/>
          <w:szCs w:val="21"/>
        </w:rPr>
        <w:t>运营服务机构仅向私募基金管理人提供本基金信息发布的途径或方式，本基金的信息</w:t>
      </w:r>
      <w:r>
        <w:rPr>
          <w:rFonts w:ascii="宋体" w:hAnsi="宋体"/>
          <w:szCs w:val="21"/>
        </w:rPr>
        <w:t>披露</w:t>
      </w:r>
      <w:r>
        <w:rPr>
          <w:rFonts w:ascii="宋体" w:hAnsi="宋体" w:hint="eastAsia"/>
          <w:szCs w:val="21"/>
        </w:rPr>
        <w:t>义务人为私募基金管理人，基金份额持有人通过上述用户服务平台查询的本基金信息均取决于私募基金管理人的披露情况，因信息披露不真实、不准确、不完整或不及时等原因造成的争议或损失由私募基金管理人负责解决并承担相应的法律责任。</w:t>
      </w:r>
    </w:p>
    <w:p>
      <w:pPr>
        <w:pStyle w:val="a9-BR821136"/>
        <w:rPr>
          <w:sz w:val="21"/>
          <w:szCs w:val="21"/>
        </w:rPr>
      </w:pPr>
      <w:bookmarkStart w:id="35" w:name="_Toc256000019"/>
      <w:r>
        <w:rPr>
          <w:rFonts w:hint="eastAsia"/>
          <w:sz w:val="21"/>
          <w:szCs w:val="21"/>
        </w:rPr>
        <w:t>十九、风险揭示</w:t>
      </w:r>
      <w:bookmarkEnd w:id="35"/>
    </w:p>
    <w:p>
      <w:pPr>
        <w:pStyle w:val="a-BR821136"/>
        <w:spacing w:line="360" w:lineRule="auto"/>
        <w:ind w:firstLine="420" w:firstLineChars="200"/>
        <w:rPr>
          <w:rFonts w:ascii="宋体" w:hAnsi="宋体"/>
          <w:b/>
          <w:szCs w:val="21"/>
        </w:rPr>
      </w:pPr>
      <w:r>
        <w:rPr>
          <w:rFonts w:ascii="宋体" w:hAnsi="宋体" w:hint="eastAsia"/>
          <w:b/>
          <w:szCs w:val="21"/>
        </w:rPr>
        <w:t>重要提示：</w:t>
      </w:r>
    </w:p>
    <w:p>
      <w:pPr>
        <w:pStyle w:val="a-BR821136"/>
        <w:spacing w:line="360" w:lineRule="auto"/>
        <w:ind w:firstLine="420" w:firstLineChars="200"/>
        <w:rPr>
          <w:rFonts w:ascii="宋体" w:hAnsi="宋体"/>
          <w:b/>
          <w:szCs w:val="21"/>
        </w:rPr>
      </w:pPr>
      <w:r>
        <w:rPr>
          <w:rFonts w:ascii="宋体" w:hAnsi="宋体" w:hint="eastAsia"/>
          <w:b/>
          <w:szCs w:val="21"/>
        </w:rPr>
        <w:t>1、本风险揭示章节仅简要列示了私募基金的常见风险，仅供投资者参考，不应作为投资者投资决策的直接依据。对基金风险的进一步揭示（如有）以及与本私募基金个性化安排有关的特殊风险（如有）详见募集机构在基金销售过程中出具的风险揭示书。</w:t>
      </w:r>
    </w:p>
    <w:p>
      <w:pPr>
        <w:pStyle w:val="a-BR821136"/>
        <w:spacing w:line="360" w:lineRule="auto"/>
        <w:ind w:firstLine="420" w:firstLineChars="200"/>
        <w:rPr>
          <w:rFonts w:ascii="宋体" w:hAnsi="宋体"/>
          <w:b/>
          <w:szCs w:val="21"/>
        </w:rPr>
      </w:pPr>
      <w:r>
        <w:rPr>
          <w:rFonts w:ascii="宋体" w:hAnsi="宋体" w:hint="eastAsia"/>
          <w:b/>
          <w:szCs w:val="21"/>
        </w:rPr>
        <w:t>2、本风险揭示章节的部分内容可能因本基金相关情况的变更而不再适用。</w:t>
      </w:r>
    </w:p>
    <w:p>
      <w:pPr>
        <w:pStyle w:val="a-BR821136"/>
        <w:spacing w:line="360" w:lineRule="auto"/>
        <w:ind w:firstLine="420" w:firstLineChars="200"/>
        <w:rPr>
          <w:rFonts w:ascii="宋体" w:hAnsi="宋体"/>
          <w:b/>
          <w:szCs w:val="21"/>
        </w:rPr>
      </w:pPr>
      <w:r>
        <w:rPr>
          <w:rFonts w:ascii="宋体" w:hAnsi="宋体" w:hint="eastAsia"/>
          <w:b/>
          <w:szCs w:val="21"/>
        </w:rPr>
        <w:t>3、本风险揭示章节仅为摘要性质，部分与本基金运作有关的风险散见于合同其他章节约定。投资者仍然应当仔细阅读整本合同、了解相应风险。</w:t>
      </w:r>
    </w:p>
    <w:p>
      <w:pPr>
        <w:pStyle w:val="a-BR821136"/>
        <w:spacing w:line="360" w:lineRule="auto"/>
        <w:ind w:firstLine="420" w:firstLineChars="200"/>
        <w:rPr>
          <w:rFonts w:ascii="宋体" w:hAnsi="宋体"/>
          <w:b/>
          <w:szCs w:val="21"/>
        </w:rPr>
      </w:pPr>
      <w:r>
        <w:rPr>
          <w:rFonts w:ascii="宋体" w:hAnsi="宋体" w:hint="eastAsia"/>
          <w:b/>
          <w:szCs w:val="21"/>
        </w:rPr>
        <w:t>4、</w:t>
      </w:r>
      <w:r>
        <w:rPr>
          <w:rFonts w:ascii="宋体" w:hAnsi="宋体"/>
          <w:b/>
          <w:szCs w:val="21"/>
        </w:rPr>
        <w:t>基金投资者签署本</w:t>
      </w:r>
      <w:r>
        <w:rPr>
          <w:rFonts w:ascii="宋体" w:hAnsi="宋体" w:hint="eastAsia"/>
          <w:b/>
          <w:szCs w:val="21"/>
        </w:rPr>
        <w:t>合同，</w:t>
      </w:r>
      <w:r>
        <w:rPr>
          <w:rFonts w:ascii="宋体" w:hAnsi="宋体"/>
          <w:b/>
          <w:szCs w:val="21"/>
        </w:rPr>
        <w:t>即认可知悉并逐项确认了本</w:t>
      </w:r>
      <w:r>
        <w:rPr>
          <w:rFonts w:ascii="宋体" w:hAnsi="宋体" w:hint="eastAsia"/>
          <w:b/>
          <w:szCs w:val="21"/>
        </w:rPr>
        <w:t>风险揭示章节所列明的各项风险，能够在充分了解本基金产品、投资活动的性质及风险的基础上作出自主决定，并承受由此产生的收益和风险。</w:t>
      </w:r>
    </w:p>
    <w:p>
      <w:pPr>
        <w:pStyle w:val="a-BR821136"/>
        <w:spacing w:line="360" w:lineRule="auto"/>
        <w:ind w:firstLine="420" w:firstLineChars="200"/>
        <w:rPr>
          <w:rFonts w:ascii="宋体" w:hAnsi="宋体"/>
          <w:szCs w:val="21"/>
        </w:rPr>
      </w:pPr>
      <w:r>
        <w:rPr>
          <w:rFonts w:ascii="宋体" w:hAnsi="宋体" w:hint="eastAsia"/>
          <w:szCs w:val="21"/>
        </w:rPr>
        <w:t>私募基金投资可能面临下列各项风险，包括但不限于：</w:t>
      </w:r>
    </w:p>
    <w:p>
      <w:pPr>
        <w:pStyle w:val="a-BR821136"/>
        <w:spacing w:line="360" w:lineRule="auto"/>
        <w:ind w:firstLine="420" w:firstLineChars="200"/>
        <w:rPr>
          <w:rFonts w:ascii="宋体" w:hAnsi="宋体"/>
          <w:szCs w:val="21"/>
        </w:rPr>
      </w:pPr>
      <w:r>
        <w:rPr>
          <w:rFonts w:ascii="宋体" w:hAnsi="宋体" w:hint="eastAsia"/>
          <w:szCs w:val="21"/>
        </w:rPr>
        <w:t>（一）私募基金的特殊风险</w:t>
      </w:r>
    </w:p>
    <w:p>
      <w:pPr>
        <w:pStyle w:val="a4-BR821136"/>
        <w:numPr>
          <w:ilvl w:val="1"/>
          <w:numId w:val="11"/>
        </w:numPr>
        <w:spacing w:line="360" w:lineRule="auto"/>
        <w:ind w:firstLineChars="0"/>
        <w:contextualSpacing/>
        <w:rPr>
          <w:rFonts w:ascii="宋体" w:hAnsi="宋体"/>
          <w:szCs w:val="21"/>
        </w:rPr>
      </w:pPr>
      <w:r>
        <w:rPr>
          <w:rFonts w:ascii="宋体" w:hAnsi="宋体"/>
          <w:szCs w:val="21"/>
        </w:rPr>
        <w:t>私募基金委托募集所涉风险</w:t>
      </w:r>
      <w:r>
        <w:rPr>
          <w:rFonts w:ascii="宋体" w:hAnsi="宋体" w:hint="eastAsia"/>
          <w:szCs w:val="21"/>
        </w:rPr>
        <w:t>（如有）</w:t>
      </w:r>
    </w:p>
    <w:p>
      <w:pPr>
        <w:pStyle w:val="a-BR821136"/>
        <w:spacing w:line="360" w:lineRule="auto"/>
        <w:ind w:firstLine="420" w:firstLineChars="200"/>
        <w:contextualSpacing/>
        <w:rPr>
          <w:rFonts w:ascii="宋体" w:hAnsi="宋体"/>
          <w:szCs w:val="21"/>
        </w:rPr>
      </w:pPr>
      <w:r>
        <w:rPr>
          <w:rFonts w:ascii="宋体" w:hAnsi="宋体" w:hint="eastAsia"/>
          <w:szCs w:val="21"/>
        </w:rPr>
        <w:t>私募基金管理人可以委托在中国证监会注册取得基金销售业务资格并已成为中国基金业协会会员的机构（以下简称代理销售机构）募集本基金，届时因代理销售机构不符合金融监管部门规定的资质要求、或不具备提供相关服务的条件和技能、或因管理不善、操作失误等，可能给基金投资者带来一定的风险，具体包括但不限于：代理销售机构可能存在违法违规地公开宣传基金产品、虚假宣传基金产品、以保本保收益引诱投资者购买基金产品；未能综合理性人能够理解的客观标准和投资者能够理解的主观标准以真实、准确、完整地介绍基金产品的相关投资运作安排等相关情况；向投资者宣传推介的本基金风险的等级高于其风险认识及承受能力；未能建立金融产品（或者服务）的风险评估及相应管理制度、对投资者的风险认知、风险偏好和风险承受能力未能进行测试或未能进行准确测试、未能向投资者告知产品（或者服务）的收益和主要风险因素等。</w:t>
      </w:r>
    </w:p>
    <w:p>
      <w:pPr>
        <w:pStyle w:val="a4-BR821136"/>
        <w:numPr>
          <w:ilvl w:val="1"/>
          <w:numId w:val="11"/>
        </w:numPr>
        <w:spacing w:line="360" w:lineRule="auto"/>
        <w:ind w:firstLineChars="0"/>
        <w:contextualSpacing/>
        <w:rPr>
          <w:rFonts w:ascii="宋体" w:hAnsi="宋体"/>
          <w:szCs w:val="21"/>
        </w:rPr>
      </w:pPr>
      <w:r>
        <w:rPr>
          <w:rFonts w:ascii="宋体" w:hAnsi="宋体"/>
          <w:szCs w:val="21"/>
        </w:rPr>
        <w:t>私募基金外包事项所涉风险</w:t>
      </w:r>
      <w:r>
        <w:rPr>
          <w:rFonts w:ascii="宋体" w:hAnsi="宋体" w:hint="eastAsia"/>
          <w:szCs w:val="21"/>
        </w:rPr>
        <w:t>（如有）</w:t>
      </w:r>
    </w:p>
    <w:p>
      <w:pPr>
        <w:pStyle w:val="a-BR821136"/>
        <w:spacing w:line="360" w:lineRule="auto"/>
        <w:ind w:firstLine="420" w:firstLineChars="200"/>
        <w:contextualSpacing/>
        <w:rPr>
          <w:rFonts w:ascii="宋体" w:hAnsi="宋体"/>
          <w:szCs w:val="21"/>
        </w:rPr>
      </w:pPr>
      <w:r>
        <w:rPr>
          <w:rFonts w:ascii="宋体" w:hAnsi="宋体" w:hint="eastAsia"/>
          <w:szCs w:val="21"/>
        </w:rPr>
        <w:t>私募基金管理人将应属本机构负责的事项以服务外包等方式交由其他机构办理，因服务外包机构不符合金融监管部门规定的资质要求、或不具备提供相关服务的条件和技能、或因管理不善、操作失误等，可能给基金投资者带来一定的风险。</w:t>
      </w:r>
    </w:p>
    <w:p>
      <w:pPr>
        <w:pStyle w:val="a4-BR821136"/>
        <w:numPr>
          <w:ilvl w:val="1"/>
          <w:numId w:val="11"/>
        </w:numPr>
        <w:spacing w:line="360" w:lineRule="auto"/>
        <w:ind w:firstLineChars="0"/>
        <w:contextualSpacing/>
        <w:rPr>
          <w:rFonts w:ascii="宋体" w:hAnsi="宋体"/>
          <w:szCs w:val="21"/>
        </w:rPr>
      </w:pPr>
      <w:r>
        <w:rPr>
          <w:rFonts w:ascii="宋体" w:hAnsi="宋体"/>
          <w:szCs w:val="21"/>
        </w:rPr>
        <w:t>私募基金未在中国基金业协会履行登记备案手续所涉风险</w:t>
      </w:r>
    </w:p>
    <w:p>
      <w:pPr>
        <w:pStyle w:val="a-BR821136"/>
        <w:spacing w:line="360" w:lineRule="auto"/>
        <w:ind w:firstLine="420" w:firstLineChars="200"/>
        <w:contextualSpacing/>
        <w:rPr>
          <w:rFonts w:ascii="宋体" w:hAnsi="宋体"/>
          <w:szCs w:val="21"/>
        </w:rPr>
      </w:pPr>
      <w:r>
        <w:rPr>
          <w:rFonts w:ascii="宋体" w:hAnsi="宋体" w:hint="eastAsia"/>
          <w:szCs w:val="21"/>
        </w:rPr>
        <w:t>私募基金管理人在基金成立后，须向中国基金业协会办理基金备案手续。如因私募基金管理人未履行备案手续或者私募基金不符合备案要求等原因致使基金备案失败，将可能导致基金财产损失的风险。</w:t>
      </w:r>
    </w:p>
    <w:p>
      <w:pPr>
        <w:pStyle w:val="a4-BR821136"/>
        <w:numPr>
          <w:ilvl w:val="1"/>
          <w:numId w:val="11"/>
        </w:numPr>
        <w:spacing w:line="360" w:lineRule="auto"/>
        <w:ind w:firstLineChars="0"/>
        <w:contextualSpacing/>
        <w:rPr>
          <w:rFonts w:ascii="宋体" w:hAnsi="宋体"/>
          <w:szCs w:val="21"/>
        </w:rPr>
      </w:pPr>
      <w:r>
        <w:rPr>
          <w:rFonts w:ascii="宋体" w:hAnsi="宋体"/>
          <w:szCs w:val="21"/>
        </w:rPr>
        <w:t>基金合同与中国基金业协会合同指引不一致所涉风险</w:t>
      </w:r>
    </w:p>
    <w:p>
      <w:pPr>
        <w:pStyle w:val="a-BR821136"/>
        <w:spacing w:line="360" w:lineRule="auto"/>
        <w:ind w:firstLine="420" w:firstLineChars="200"/>
        <w:contextualSpacing/>
        <w:rPr>
          <w:rFonts w:ascii="宋体" w:hAnsi="宋体"/>
        </w:rPr>
      </w:pPr>
      <w:r>
        <w:rPr>
          <w:rFonts w:ascii="宋体" w:hAnsi="宋体" w:hint="eastAsia"/>
        </w:rPr>
        <w:t>本基金合同是基于中国基金业协会发布的《私募投资基金合同指引</w:t>
      </w:r>
      <w:r>
        <w:rPr>
          <w:rFonts w:ascii="宋体" w:hAnsi="宋体"/>
        </w:rPr>
        <w:t>1号》（契约型私募基金合同内容与格式指引）而制定的，私募管理人对合同指引相关内容做出了合理的调整以及增加了其他内容，导致基金合同与中国基金业协会合同指引不一致的风险。投资人应当认真阅读本合同，理解本合同的全部条款，独立做出是否签署本合同的决定。</w:t>
      </w:r>
    </w:p>
    <w:p>
      <w:pPr>
        <w:pStyle w:val="a4-BR821136"/>
        <w:numPr>
          <w:ilvl w:val="1"/>
          <w:numId w:val="11"/>
        </w:numPr>
        <w:spacing w:line="360" w:lineRule="auto"/>
        <w:ind w:firstLineChars="0"/>
        <w:rPr>
          <w:rFonts w:ascii="宋体" w:hAnsi="宋体"/>
          <w:szCs w:val="21"/>
        </w:rPr>
      </w:pPr>
      <w:r>
        <w:rPr>
          <w:rFonts w:ascii="宋体" w:hAnsi="宋体" w:hint="eastAsia"/>
          <w:szCs w:val="21"/>
        </w:rPr>
        <w:t>关联交易风险</w:t>
      </w:r>
    </w:p>
    <w:p>
      <w:pPr>
        <w:pStyle w:val="a-BR821136"/>
        <w:spacing w:line="360" w:lineRule="auto"/>
        <w:ind w:firstLine="420" w:firstLineChars="200"/>
      </w:pPr>
      <w:r>
        <w:rPr>
          <w:rFonts w:hint="eastAsia"/>
          <w:szCs w:val="21"/>
        </w:rPr>
        <w:t>关联交易是指本基金与私募基金管理人、投资者、私募基金管理人管理的其他私募投资基金、同一实际控制人控制下的其他管理人管理的私募投资基金或者与上述主体有其他重大利害关系的关联方发生的交易行为。</w:t>
      </w:r>
    </w:p>
    <w:p>
      <w:pPr>
        <w:pStyle w:val="a-BR821136"/>
        <w:spacing w:line="360" w:lineRule="auto"/>
        <w:ind w:firstLine="420" w:firstLineChars="200"/>
        <w:contextualSpacing/>
      </w:pPr>
      <w:r>
        <w:rPr>
          <w:rFonts w:hint="eastAsia"/>
          <w:szCs w:val="21"/>
        </w:rPr>
        <w:t>若本基金关联交易决策过程中发生未妥善处理利益冲突的，可能出现基金资产受损的风险。</w:t>
      </w:r>
    </w:p>
    <w:p>
      <w:pPr>
        <w:pStyle w:val="a-BR821136"/>
        <w:spacing w:line="360" w:lineRule="auto"/>
        <w:ind w:firstLine="420" w:firstLineChars="200"/>
        <w:contextualSpacing/>
        <w:rPr>
          <w:rFonts w:ascii="宋体" w:hAnsi="宋体"/>
        </w:rPr>
      </w:pPr>
      <w:r>
        <w:rPr>
          <w:rFonts w:hint="eastAsia"/>
          <w:b/>
          <w:bCs/>
        </w:rPr>
        <w:t>具体的关联交易安排应当以《风险揭示书》以及募集机构不时出具的风险揭示文件的内容为准。</w:t>
      </w:r>
    </w:p>
    <w:p>
      <w:pPr>
        <w:pStyle w:val="a4-BR821136"/>
        <w:numPr>
          <w:ilvl w:val="1"/>
          <w:numId w:val="11"/>
        </w:numPr>
        <w:spacing w:line="360" w:lineRule="auto"/>
        <w:ind w:firstLineChars="0"/>
        <w:contextualSpacing/>
        <w:rPr>
          <w:rFonts w:ascii="宋体" w:hAnsi="宋体"/>
          <w:szCs w:val="21"/>
        </w:rPr>
      </w:pPr>
      <w:r>
        <w:rPr>
          <w:rFonts w:ascii="宋体" w:hAnsi="宋体" w:hint="eastAsia"/>
          <w:szCs w:val="21"/>
        </w:rPr>
        <w:t>本基金争议解决方式的相应风险</w:t>
      </w:r>
    </w:p>
    <w:p>
      <w:pPr>
        <w:pStyle w:val="a-BR821136"/>
        <w:spacing w:line="360" w:lineRule="auto"/>
        <w:ind w:firstLine="420" w:firstLineChars="200"/>
        <w:contextualSpacing/>
        <w:rPr>
          <w:rFonts w:ascii="宋体" w:hAnsi="宋体"/>
          <w:szCs w:val="21"/>
        </w:rPr>
      </w:pPr>
      <w:r>
        <w:rPr>
          <w:rFonts w:ascii="宋体" w:hAnsi="宋体" w:hint="eastAsia"/>
          <w:szCs w:val="21"/>
        </w:rPr>
        <w:t>本合同项下约定的争议解决方式为向仲裁委提交仲裁。仲裁由具有一定专业水平和能力的专家担任仲裁员对当事人之间的纠纷进行裁决，具有一裁终局、程序以及结果保密、机制相对灵活、仲裁费用较高等特点。</w:t>
      </w:r>
    </w:p>
    <w:p>
      <w:pPr>
        <w:pStyle w:val="a4-BR821136"/>
        <w:numPr>
          <w:ilvl w:val="1"/>
          <w:numId w:val="11"/>
        </w:numPr>
        <w:spacing w:line="360" w:lineRule="auto"/>
        <w:ind w:firstLineChars="0"/>
        <w:contextualSpacing/>
        <w:rPr>
          <w:rFonts w:ascii="宋体" w:hAnsi="宋体"/>
          <w:szCs w:val="21"/>
        </w:rPr>
      </w:pPr>
      <w:r>
        <w:rPr>
          <w:rFonts w:ascii="宋体" w:hAnsi="宋体" w:hint="eastAsia"/>
          <w:szCs w:val="21"/>
        </w:rPr>
        <w:t>本基金的运作维持机制以及相应失效风险</w:t>
      </w:r>
    </w:p>
    <w:p>
      <w:pPr>
        <w:pStyle w:val="a-BR821136"/>
        <w:spacing w:line="360" w:lineRule="auto"/>
        <w:ind w:firstLine="420" w:firstLineChars="200"/>
        <w:contextualSpacing/>
        <w:rPr>
          <w:rFonts w:ascii="宋体" w:hAnsi="宋体"/>
          <w:szCs w:val="21"/>
        </w:rPr>
      </w:pPr>
      <w:r>
        <w:rPr>
          <w:rFonts w:ascii="宋体" w:hAnsi="宋体" w:hint="eastAsia"/>
          <w:szCs w:val="21"/>
        </w:rPr>
        <w:t>如发生私募基金管理人客观上丧失继续管理本基金能力的情况时，私募基金托管人仍然应当按照合同约定履行保管托管资金账户中基金资产的义务。基金份额持有人有权根据本合同约定召集份额持有人大会、决定与基金终止有关的事宜、确定基金份额持有人代表，并由基金份额持有人代表与私募基金托管人协商后续处置方案，包括但不限于组建清算小组、由清算小组与相关方（如本基金的经纪商、下层资管产品管理人及/或托管人、标的公司、债务方等）协商后续处置等。</w:t>
      </w:r>
    </w:p>
    <w:p>
      <w:pPr>
        <w:pStyle w:val="a-BR821136"/>
        <w:spacing w:line="360" w:lineRule="auto"/>
        <w:ind w:firstLine="420" w:firstLineChars="200"/>
        <w:contextualSpacing/>
      </w:pPr>
      <w:r>
        <w:rPr>
          <w:rFonts w:ascii="宋体" w:hAnsi="宋体" w:hint="eastAsia"/>
          <w:szCs w:val="21"/>
        </w:rPr>
        <w:t>由于相关投资协议、合同、经纪服务协议等均由私募基金管理人代表本基金签署，基金份额持有人代表、本私募基金托管人可能被相对方认为不具有适格法律地位代表私募基金主张相应权利，本基金的运作维持机制无法达到预期效果甚至完全失效，导致无法及时处理、清算基金资产的风险。</w:t>
      </w:r>
    </w:p>
    <w:p>
      <w:pPr>
        <w:pStyle w:val="a4-BR821136"/>
        <w:numPr>
          <w:ilvl w:val="1"/>
          <w:numId w:val="11"/>
        </w:numPr>
        <w:spacing w:line="360" w:lineRule="auto"/>
        <w:ind w:firstLineChars="0"/>
        <w:contextualSpacing/>
      </w:pPr>
      <w:r>
        <w:rPr>
          <w:rFonts w:hint="eastAsia"/>
        </w:rPr>
        <w:t>私募基金管理人自有风控措施失效的风险</w:t>
      </w:r>
    </w:p>
    <w:p>
      <w:pPr>
        <w:pStyle w:val="a-BR821136"/>
        <w:numPr>
          <w:ilvl w:val="12"/>
          <w:numId w:val="0"/>
        </w:numPr>
        <w:spacing w:line="360" w:lineRule="auto"/>
        <w:ind w:firstLine="420"/>
        <w:contextualSpacing/>
      </w:pPr>
      <w:r>
        <w:rPr>
          <w:rFonts w:hint="eastAsia"/>
        </w:rPr>
        <w:t>本基金合同中可能约定私募基金管理人自有风控措施条款，该等条款由私募基金管理人自行执行，而私募基金托管人不负有任何监督义务。因此该等自有风控措施可能存在私募基金管理人执行不力，从而无法达到预期效果的风险。</w:t>
      </w:r>
    </w:p>
    <w:p>
      <w:pPr>
        <w:pStyle w:val="a4-BR821136"/>
        <w:numPr>
          <w:ilvl w:val="1"/>
          <w:numId w:val="11"/>
        </w:numPr>
        <w:spacing w:line="360" w:lineRule="auto"/>
        <w:ind w:firstLineChars="0"/>
        <w:contextualSpacing/>
      </w:pPr>
      <w:r>
        <w:rPr>
          <w:rFonts w:hint="eastAsia"/>
        </w:rPr>
        <w:t>侧袋机制的风险</w:t>
      </w:r>
    </w:p>
    <w:p>
      <w:pPr>
        <w:pStyle w:val="a-BR821136"/>
        <w:numPr>
          <w:ilvl w:val="12"/>
          <w:numId w:val="0"/>
        </w:numPr>
        <w:spacing w:line="360" w:lineRule="auto"/>
        <w:ind w:firstLine="420"/>
        <w:contextualSpacing/>
      </w:pPr>
      <w:r>
        <w:rPr>
          <w:rFonts w:hint="eastAsia"/>
        </w:rPr>
        <w:t>在特定情况下，私募基金管理人可能启动侧袋机制，对投资者以及本基金造成以下影响：</w:t>
      </w:r>
    </w:p>
    <w:p>
      <w:pPr>
        <w:pStyle w:val="a-BR821136"/>
        <w:numPr>
          <w:ilvl w:val="0"/>
          <w:numId w:val="12"/>
        </w:numPr>
        <w:spacing w:line="360" w:lineRule="auto"/>
        <w:ind w:firstLine="420"/>
        <w:contextualSpacing/>
      </w:pPr>
      <w:r>
        <w:rPr>
          <w:rFonts w:hint="eastAsia"/>
        </w:rPr>
        <w:t>投资者将无法赎回侧袋基金份额，仅可获得主袋基金份额对应的基金资产；</w:t>
      </w:r>
    </w:p>
    <w:p>
      <w:pPr>
        <w:pStyle w:val="a-BR821136"/>
        <w:numPr>
          <w:ilvl w:val="0"/>
          <w:numId w:val="12"/>
        </w:numPr>
        <w:spacing w:line="360" w:lineRule="auto"/>
        <w:ind w:firstLine="420"/>
        <w:contextualSpacing/>
      </w:pPr>
      <w:r>
        <w:rPr>
          <w:rFonts w:hint="eastAsia"/>
        </w:rPr>
        <w:t>本基金的预警、止损机制、部分投资限制可能存在失效的风险；</w:t>
      </w:r>
    </w:p>
    <w:p>
      <w:pPr>
        <w:pStyle w:val="a-BR821136"/>
        <w:numPr>
          <w:ilvl w:val="0"/>
          <w:numId w:val="12"/>
        </w:numPr>
        <w:spacing w:line="360" w:lineRule="auto"/>
        <w:ind w:firstLine="420"/>
        <w:contextualSpacing/>
      </w:pPr>
      <w:r>
        <w:rPr>
          <w:rFonts w:hint="eastAsia"/>
        </w:rPr>
        <w:t>侧袋账户资产净值可能无法准确地反映其真实价值；</w:t>
      </w:r>
    </w:p>
    <w:p>
      <w:pPr>
        <w:pStyle w:val="a-BR821136"/>
        <w:numPr>
          <w:ilvl w:val="0"/>
          <w:numId w:val="12"/>
        </w:numPr>
        <w:spacing w:line="360" w:lineRule="auto"/>
        <w:ind w:firstLine="420"/>
        <w:contextualSpacing/>
      </w:pPr>
      <w:r>
        <w:rPr>
          <w:rFonts w:hint="eastAsia"/>
        </w:rPr>
        <w:t>因侧袋机制引起的其他影响。</w:t>
      </w:r>
    </w:p>
    <w:p>
      <w:pPr>
        <w:pStyle w:val="a-BR821136"/>
        <w:spacing w:line="360" w:lineRule="auto"/>
        <w:ind w:firstLine="420" w:firstLineChars="200"/>
        <w:rPr>
          <w:rFonts w:ascii="宋体" w:hAnsi="宋体"/>
          <w:szCs w:val="21"/>
        </w:rPr>
      </w:pPr>
      <w:r>
        <w:rPr>
          <w:rFonts w:ascii="宋体" w:hAnsi="宋体" w:hint="eastAsia"/>
          <w:szCs w:val="21"/>
        </w:rPr>
        <w:t>（二）私募基金的一般风险</w:t>
      </w:r>
    </w:p>
    <w:p>
      <w:pPr>
        <w:pStyle w:val="a-BR821136"/>
        <w:spacing w:line="360" w:lineRule="auto"/>
        <w:ind w:firstLine="420" w:firstLineChars="200"/>
        <w:rPr>
          <w:rFonts w:ascii="宋体" w:hAnsi="宋体"/>
          <w:szCs w:val="21"/>
        </w:rPr>
      </w:pPr>
      <w:r>
        <w:rPr>
          <w:rFonts w:ascii="宋体" w:hAnsi="宋体"/>
          <w:szCs w:val="21"/>
        </w:rPr>
        <w:t>1、资金损失风险</w:t>
      </w:r>
    </w:p>
    <w:p>
      <w:pPr>
        <w:pStyle w:val="a-BR821136"/>
        <w:spacing w:line="360" w:lineRule="auto"/>
        <w:ind w:firstLine="420" w:firstLineChars="200"/>
        <w:rPr>
          <w:rFonts w:ascii="宋体" w:hAnsi="宋体"/>
          <w:szCs w:val="21"/>
        </w:rPr>
      </w:pPr>
      <w:r>
        <w:rPr>
          <w:rFonts w:ascii="宋体" w:hAnsi="宋体" w:hint="eastAsia"/>
          <w:szCs w:val="21"/>
        </w:rPr>
        <w:t>私募基金管理人依照恪尽职守、诚实信用、谨慎勤勉的原则管理和运用基金财产，但不保证基金财产中的认购</w:t>
      </w:r>
      <w:r>
        <w:rPr>
          <w:rFonts w:ascii="宋体" w:hAnsi="宋体"/>
          <w:szCs w:val="21"/>
        </w:rPr>
        <w:t>/申购的</w:t>
      </w:r>
      <w:r>
        <w:rPr>
          <w:rFonts w:ascii="宋体" w:hAnsi="宋体" w:hint="eastAsia"/>
          <w:szCs w:val="21"/>
        </w:rPr>
        <w:t>资金本金不受损失，也不保证一定盈利及最低收益。</w:t>
      </w:r>
    </w:p>
    <w:p>
      <w:pPr>
        <w:pStyle w:val="a-BR821136"/>
        <w:spacing w:line="360" w:lineRule="auto"/>
        <w:ind w:firstLine="420" w:firstLineChars="200"/>
        <w:rPr>
          <w:rFonts w:ascii="宋体" w:hAnsi="宋体"/>
          <w:szCs w:val="21"/>
        </w:rPr>
      </w:pPr>
      <w:r>
        <w:rPr>
          <w:rFonts w:ascii="宋体" w:hAnsi="宋体"/>
          <w:szCs w:val="21"/>
        </w:rPr>
        <w:t>2、基金运营风险</w:t>
      </w:r>
    </w:p>
    <w:p>
      <w:pPr>
        <w:pStyle w:val="a-BR821136"/>
        <w:spacing w:line="360" w:lineRule="auto"/>
        <w:ind w:firstLine="420" w:firstLineChars="200"/>
        <w:rPr>
          <w:rFonts w:ascii="宋体" w:hAnsi="宋体"/>
          <w:szCs w:val="21"/>
        </w:rPr>
      </w:pPr>
      <w:r>
        <w:rPr>
          <w:rFonts w:ascii="宋体" w:hAnsi="宋体" w:hint="eastAsia"/>
          <w:szCs w:val="21"/>
        </w:rPr>
        <w:t>私募基金管理人依据基金合同约定管理和运用基金财产所产生的风险，由基金财产及投资者承担。投资者应充分知晓投资运营的相关风险，其风险应由投资者自担。</w:t>
      </w:r>
    </w:p>
    <w:p>
      <w:pPr>
        <w:pStyle w:val="a-BR821136"/>
        <w:spacing w:line="360" w:lineRule="auto"/>
        <w:ind w:firstLine="420" w:firstLineChars="200"/>
        <w:rPr>
          <w:rFonts w:ascii="宋体" w:hAnsi="宋体"/>
          <w:szCs w:val="21"/>
        </w:rPr>
      </w:pPr>
      <w:r>
        <w:rPr>
          <w:rFonts w:ascii="宋体" w:hAnsi="宋体" w:hint="eastAsia"/>
          <w:szCs w:val="21"/>
        </w:rPr>
        <w:t>在基金财产管理运作过程中，私募基金管理人的业务资质、管理能力、相关知识和经验以及操作能力对基金财产收益水平有着较大程度的影响，私募基金管理人的管理和操作失误可能导致基金财产受到损失。</w:t>
      </w:r>
    </w:p>
    <w:p>
      <w:pPr>
        <w:pStyle w:val="a-BR821136"/>
        <w:spacing w:line="360" w:lineRule="auto"/>
        <w:ind w:firstLine="420" w:firstLineChars="200"/>
        <w:rPr>
          <w:rFonts w:ascii="宋体" w:hAnsi="宋体"/>
          <w:szCs w:val="21"/>
        </w:rPr>
      </w:pPr>
      <w:r>
        <w:rPr>
          <w:rFonts w:ascii="宋体" w:hAnsi="宋体" w:hint="eastAsia"/>
          <w:szCs w:val="21"/>
        </w:rPr>
        <w:t>担任私募基金管理人或私募基金托管人的机构，因停业、解散、撤销、破产，或者被中国证监会、中国基金业协会撤销相关业务许可、责令停业整顿等原因不能履行职责，可能给基金投资者带来一定的风险。</w:t>
      </w:r>
    </w:p>
    <w:p>
      <w:pPr>
        <w:pStyle w:val="a-BR821136"/>
        <w:spacing w:line="360" w:lineRule="auto"/>
        <w:ind w:firstLine="420" w:firstLineChars="200"/>
        <w:rPr>
          <w:rFonts w:ascii="宋体" w:hAnsi="宋体"/>
          <w:szCs w:val="21"/>
        </w:rPr>
      </w:pPr>
      <w:r>
        <w:rPr>
          <w:rFonts w:ascii="宋体" w:hAnsi="宋体"/>
          <w:szCs w:val="21"/>
        </w:rPr>
        <w:t>3、流动性风险</w:t>
      </w:r>
    </w:p>
    <w:p>
      <w:pPr>
        <w:pStyle w:val="a-BR821136"/>
        <w:spacing w:line="360" w:lineRule="auto"/>
        <w:ind w:firstLine="420" w:firstLineChars="200"/>
        <w:rPr>
          <w:rFonts w:ascii="宋体" w:hAnsi="宋体"/>
          <w:szCs w:val="21"/>
        </w:rPr>
      </w:pPr>
      <w:r>
        <w:rPr>
          <w:rFonts w:ascii="宋体" w:hAnsi="宋体" w:hint="eastAsia"/>
          <w:szCs w:val="21"/>
        </w:rPr>
        <w:t>在本基金存续期内，投资者可能面临投资标的不能及时变现带来的流动性风险。本基金的流动性受到投资标的特性、市场行情、投资群体等诸多因素的影响。投资标的出现流动性风险的情况下，可能引起资产变现成本增加、变现价格降低乃至私募基金管理人无法及时支付全部或部分赎回款项、私募基金管理人在本基金到期后无法将基金资产立即变现等后果。</w:t>
      </w:r>
    </w:p>
    <w:p>
      <w:pPr>
        <w:pStyle w:val="a-BR821136"/>
        <w:spacing w:line="360" w:lineRule="auto"/>
        <w:ind w:firstLine="420" w:firstLineChars="200"/>
        <w:rPr>
          <w:rFonts w:ascii="宋体" w:hAnsi="宋体"/>
          <w:szCs w:val="21"/>
        </w:rPr>
      </w:pPr>
      <w:r>
        <w:rPr>
          <w:rFonts w:ascii="宋体" w:hAnsi="宋体" w:hint="eastAsia"/>
          <w:b/>
          <w:bCs/>
          <w:szCs w:val="21"/>
        </w:rPr>
        <w:t>在特定情形下，为保护全体投资者利益，份额持有人可能无法申购、赎回本基金，或相关的申购、赎回申请可能无法得到及时确认。具体详见本合同之“</w:t>
      </w:r>
      <w:r>
        <w:rPr>
          <w:rFonts w:hint="eastAsia"/>
          <w:b/>
          <w:bCs/>
          <w:szCs w:val="21"/>
        </w:rPr>
        <w:t>私募基金的申购、赎回和转让</w:t>
      </w:r>
      <w:r>
        <w:rPr>
          <w:rFonts w:ascii="宋体" w:hAnsi="宋体" w:hint="eastAsia"/>
          <w:b/>
          <w:bCs/>
          <w:szCs w:val="21"/>
        </w:rPr>
        <w:t>”章节的约定。</w:t>
      </w:r>
    </w:p>
    <w:p>
      <w:pPr>
        <w:pStyle w:val="a-BR821136"/>
        <w:spacing w:line="360" w:lineRule="auto"/>
        <w:ind w:firstLine="420" w:firstLineChars="200"/>
        <w:rPr>
          <w:rFonts w:ascii="宋体" w:hAnsi="宋体"/>
          <w:szCs w:val="21"/>
        </w:rPr>
      </w:pPr>
      <w:r>
        <w:rPr>
          <w:rFonts w:ascii="宋体" w:hAnsi="宋体"/>
          <w:szCs w:val="21"/>
        </w:rPr>
        <w:t>4、募集失败风险</w:t>
      </w:r>
    </w:p>
    <w:p>
      <w:pPr>
        <w:pStyle w:val="a-BR821136"/>
        <w:spacing w:line="360" w:lineRule="auto"/>
        <w:ind w:firstLine="420" w:firstLineChars="200"/>
        <w:rPr>
          <w:rFonts w:ascii="宋体" w:hAnsi="宋体"/>
          <w:szCs w:val="21"/>
        </w:rPr>
      </w:pPr>
      <w:r>
        <w:rPr>
          <w:rFonts w:ascii="宋体" w:hAnsi="宋体" w:hint="eastAsia"/>
          <w:szCs w:val="21"/>
        </w:rPr>
        <w:t>本基金的成立需符合相关法律法规的规定，本基金可能存在不能满足成立条件从而无法成立的风险。</w:t>
      </w:r>
    </w:p>
    <w:p>
      <w:pPr>
        <w:pStyle w:val="a-BR821136"/>
        <w:numPr>
          <w:ilvl w:val="12"/>
          <w:numId w:val="0"/>
        </w:numPr>
        <w:spacing w:line="360" w:lineRule="auto"/>
        <w:ind w:left="420"/>
        <w:rPr>
          <w:rFonts w:ascii="宋体" w:hAnsi="宋体"/>
          <w:szCs w:val="21"/>
        </w:rPr>
      </w:pPr>
      <w:r>
        <w:rPr>
          <w:rFonts w:ascii="宋体" w:hAnsi="宋体"/>
          <w:szCs w:val="21"/>
        </w:rPr>
        <w:t>5、税收风险</w:t>
      </w:r>
    </w:p>
    <w:p>
      <w:pPr>
        <w:pStyle w:val="a-BR821136"/>
        <w:spacing w:line="360" w:lineRule="auto"/>
        <w:ind w:firstLine="420" w:firstLineChars="200"/>
        <w:rPr>
          <w:rFonts w:ascii="宋体" w:hAnsi="宋体"/>
          <w:szCs w:val="21"/>
        </w:rPr>
      </w:pPr>
      <w:r>
        <w:rPr>
          <w:rFonts w:ascii="宋体" w:hAnsi="宋体" w:hint="eastAsia"/>
        </w:rPr>
        <w:t>契约型基金所适用的税收征管法律法规及执行要求可能会由于国家相关税收政策或私募基金管理人主管税务机关指导意见调整而发生变化，投资者收益也可能因相关税收政策调整而受到影响。</w:t>
      </w:r>
    </w:p>
    <w:p>
      <w:pPr>
        <w:pStyle w:val="a-BR821136"/>
        <w:tabs>
          <w:tab w:val="left" w:pos="1260"/>
        </w:tabs>
        <w:spacing w:line="360" w:lineRule="auto"/>
        <w:ind w:firstLine="420" w:firstLineChars="200"/>
        <w:rPr>
          <w:rFonts w:ascii="宋体" w:hAnsi="宋体"/>
          <w:szCs w:val="21"/>
        </w:rPr>
      </w:pPr>
      <w:r>
        <w:rPr>
          <w:rFonts w:ascii="宋体" w:hAnsi="宋体"/>
          <w:szCs w:val="21"/>
        </w:rPr>
        <w:t>6、市场风险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市场价格受到经济因素、政治因素、投资心理和交易制度等各种因素的影响，导致基金财产收益水平变化，产生风险，主要包括：</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）政策风险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因国家宏观政策（如货币政策、财政政策、行业政策、地区发展政策等）发生变化，导致市场价格波动而产生风险。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）经济周期风险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经济运行的周期性变化，会对基金财产投资的收益水平产生影响的风险。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）利</w:t>
      </w:r>
      <w:r>
        <w:rPr>
          <w:rFonts w:hint="eastAsia"/>
        </w:rPr>
        <w:t>率</w:t>
      </w:r>
      <w:r>
        <w:t>、汇率</w:t>
      </w:r>
      <w:r>
        <w:rPr>
          <w:rFonts w:ascii="宋体" w:hAnsi="宋体" w:hint="eastAsia"/>
          <w:szCs w:val="21"/>
        </w:rPr>
        <w:t>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金融市场利率的波动会导致市场价格和收益率的变动。利率直接影响着债券的价格和收益率，影响着企业的融资成本和利润。基金若投资此类相关资产，其收益水平存在受利率变化影响的风险。与此同时，汇率的波动范围也将影响国内资产价格的重估，从而影响基金财产的净值。</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）购买力风险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基金财产的利润将主要通过现金形式来分配，而现金可能因为通货膨胀的影响而导致购买力下降，从而使基金财产的实际收益下降。</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）再投资风险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再投资风险反映了利率下降对固定收益证券利息收入再投资收益的影响，这与利率上升所带来的价格风险（即前面所提到的利率风险）互为消长。具体为当利率下降时，基金财产从投资的固定收益证券所得的利息收入进行再投资时，将获得比之前较少的收益率。</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6</w:t>
      </w:r>
      <w:r>
        <w:rPr>
          <w:rFonts w:ascii="宋体" w:hAnsi="宋体" w:hint="eastAsia"/>
          <w:szCs w:val="21"/>
        </w:rPr>
        <w:t>）赎回风险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因基金持有的证券停牌或其他投资标的无法取得公允价值，投资者在赎回产品时，未赎回投资者在后续赎回时较先行赎回投资者承担更大的产品净值波动风险，该部分持续持有投资者在后期赎回时可能出现损失的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）上市公司经营风险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上市公司的经营状况受多种因素影响，如管理能力、财务状况、市场前景、行业竞争、人员素质等，这些都会导致公司的盈利状况发生变化。如果基金财产所投资的上市公司经营不善，与其相关的证券价格可能下跌，或者能够用于分配的利润减少，使基金财产投资收益下降。虽然基金财产可以通过投资多样化来分散这种非系统风险，但不能完全规避。</w:t>
      </w:r>
    </w:p>
    <w:p>
      <w:pPr>
        <w:pStyle w:val="a-BR821136"/>
        <w:tabs>
          <w:tab w:val="left" w:pos="1260"/>
        </w:tabs>
        <w:spacing w:line="360" w:lineRule="auto"/>
        <w:ind w:firstLine="420" w:firstLineChars="200"/>
        <w:rPr>
          <w:rFonts w:ascii="宋体" w:hAnsi="宋体"/>
          <w:szCs w:val="21"/>
        </w:rPr>
      </w:pPr>
      <w:r>
        <w:rPr>
          <w:rFonts w:ascii="宋体" w:hAnsi="宋体"/>
          <w:szCs w:val="21"/>
        </w:rPr>
        <w:t>7</w:t>
      </w:r>
      <w:r>
        <w:rPr>
          <w:rFonts w:ascii="宋体" w:hAnsi="宋体" w:hint="eastAsia"/>
          <w:szCs w:val="21"/>
        </w:rPr>
        <w:t>、投资管理风险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在基金财产管理运作过程中，私募基金管理人的投资、研究等管理水平直接影响基金财产收益水平，如果私募基金管理人对经济形势和证券市场判断不准确、获取的信息不全、投资操作出现失误，都会影响基金财产的收益水平。</w:t>
      </w:r>
    </w:p>
    <w:p>
      <w:pPr>
        <w:pStyle w:val="a-BR821136"/>
        <w:tabs>
          <w:tab w:val="left" w:pos="1260"/>
        </w:tabs>
        <w:spacing w:line="360" w:lineRule="auto"/>
        <w:ind w:firstLine="420" w:firstLineChars="200"/>
        <w:rPr>
          <w:rFonts w:ascii="宋体" w:hAnsi="宋体"/>
          <w:szCs w:val="21"/>
        </w:rPr>
      </w:pPr>
      <w:r>
        <w:rPr>
          <w:rFonts w:ascii="宋体" w:hAnsi="宋体"/>
          <w:szCs w:val="21"/>
        </w:rPr>
        <w:t>8</w:t>
      </w:r>
      <w:r>
        <w:rPr>
          <w:rFonts w:ascii="宋体" w:hAnsi="宋体" w:hint="eastAsia"/>
          <w:szCs w:val="21"/>
        </w:rPr>
        <w:t>、信用风险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信用风险是指发行人是否能够实现发行时的承诺，按时足额还本付息的风险，或者交易对手未能按时履约的风险。在基金财产投资运作中，本基金所涉及的直接或间接交易对手若违约或者债券的发行人拒绝支付债券本息，有可能对本基金的收益产生影响。</w:t>
      </w:r>
    </w:p>
    <w:p>
      <w:pPr>
        <w:pStyle w:val="a-BR821136"/>
        <w:tabs>
          <w:tab w:val="left" w:pos="1260"/>
        </w:tabs>
        <w:spacing w:line="360" w:lineRule="auto"/>
        <w:ind w:firstLine="420" w:firstLineChars="200"/>
        <w:rPr>
          <w:rFonts w:ascii="宋体" w:hAnsi="宋体"/>
          <w:b/>
          <w:bCs/>
          <w:szCs w:val="21"/>
        </w:rPr>
      </w:pPr>
      <w:r>
        <w:rPr>
          <w:rFonts w:ascii="宋体" w:hAnsi="宋体"/>
          <w:b/>
          <w:bCs/>
          <w:szCs w:val="21"/>
        </w:rPr>
        <w:t>9</w:t>
      </w:r>
      <w:r>
        <w:rPr>
          <w:rFonts w:ascii="宋体" w:hAnsi="宋体" w:hint="eastAsia"/>
          <w:b/>
          <w:bCs/>
          <w:szCs w:val="21"/>
        </w:rPr>
        <w:t>、基金资产所投资的特定投资对象可能引起的特定风险</w:t>
      </w:r>
    </w:p>
    <w:p>
      <w:pPr>
        <w:pStyle w:val="a-BR821136"/>
        <w:tabs>
          <w:tab w:val="left" w:pos="1260"/>
        </w:tabs>
        <w:spacing w:line="360" w:lineRule="auto"/>
        <w:ind w:firstLine="420" w:firstLineChars="200"/>
        <w:rPr>
          <w:rFonts w:ascii="宋体" w:hAnsi="宋体"/>
          <w:b/>
          <w:bCs/>
          <w:szCs w:val="21"/>
        </w:rPr>
      </w:pPr>
      <w:r>
        <w:rPr>
          <w:rFonts w:ascii="宋体" w:hAnsi="宋体" w:hint="eastAsia"/>
          <w:b/>
          <w:szCs w:val="21"/>
        </w:rPr>
        <w:t>本条列举了私募基金常见的投资品种，以供投资者加深对私募基金的了解和认识，所列品种可能超出了本基金之投资范围。投资者应当自行对照本基金合同之“私募基金的投资”中“投资范围”条款中所列举的本基金可实际投资的具体投资品种，结合本条款关于特定投资品种的风险，以了解相应风险。</w:t>
      </w:r>
    </w:p>
    <w:p>
      <w:pPr>
        <w:pStyle w:val="a-BR821136"/>
        <w:spacing w:line="360" w:lineRule="auto"/>
        <w:ind w:firstLine="424" w:firstLineChars="202"/>
        <w:contextualSpacing/>
        <w:rPr>
          <w:rFonts w:ascii="宋体" w:hAnsi="宋体"/>
          <w:bCs/>
          <w:szCs w:val="21"/>
        </w:rPr>
      </w:pPr>
      <w:r>
        <w:rPr>
          <w:rFonts w:ascii="宋体" w:hAnsi="宋体"/>
          <w:bCs/>
          <w:szCs w:val="21"/>
        </w:rPr>
        <w:t>9.1</w:t>
      </w:r>
      <w:r>
        <w:rPr>
          <w:rFonts w:ascii="宋体" w:hAnsi="宋体" w:hint="eastAsia"/>
          <w:bCs/>
          <w:szCs w:val="21"/>
        </w:rPr>
        <w:t>港股通标的范围内的证券（以下简称“</w:t>
      </w:r>
      <w:r>
        <w:rPr>
          <w:rFonts w:ascii="宋体" w:hAnsi="宋体"/>
          <w:bCs/>
          <w:szCs w:val="21"/>
        </w:rPr>
        <w:t>港股通股票</w:t>
      </w:r>
      <w:r>
        <w:rPr>
          <w:rFonts w:ascii="宋体" w:hAnsi="宋体" w:hint="eastAsia"/>
          <w:bCs/>
          <w:szCs w:val="21"/>
        </w:rPr>
        <w:t>”）投资风险（如有）</w:t>
      </w:r>
    </w:p>
    <w:p>
      <w:pPr>
        <w:pStyle w:val="a-BR821136"/>
        <w:spacing w:line="360" w:lineRule="auto"/>
        <w:ind w:firstLine="420" w:firstLineChars="200"/>
        <w:contextualSpacing/>
        <w:rPr>
          <w:rFonts w:ascii="宋体" w:hAnsi="宋体"/>
          <w:bCs/>
          <w:szCs w:val="21"/>
        </w:rPr>
      </w:pPr>
      <w:r>
        <w:rPr>
          <w:rFonts w:ascii="宋体" w:hAnsi="宋体" w:hint="eastAsia"/>
          <w:bCs/>
          <w:szCs w:val="21"/>
        </w:rPr>
        <w:t>（1）交易价格风险。港股通股票可能出现因公司基本面变化、第三方研究分析报告的观点、异常交易情形、做空机制等原因而引起股价较大波动的情形，尤其是考虑到香港联合交易所有限公司（以下简称联交所）市场交易不设置涨跌幅限制，投资者应关注可能产生的风险。</w:t>
      </w:r>
    </w:p>
    <w:p>
      <w:pPr>
        <w:pStyle w:val="a-BR821136"/>
        <w:spacing w:line="360" w:lineRule="auto"/>
        <w:ind w:firstLine="420" w:firstLineChars="200"/>
        <w:contextualSpacing/>
        <w:rPr>
          <w:rFonts w:ascii="宋体" w:hAnsi="宋体"/>
          <w:bCs/>
          <w:szCs w:val="21"/>
        </w:rPr>
      </w:pPr>
      <w:r>
        <w:rPr>
          <w:rFonts w:ascii="宋体" w:hAnsi="宋体" w:hint="eastAsia"/>
          <w:bCs/>
          <w:szCs w:val="21"/>
        </w:rPr>
        <w:t>（2</w:t>
      </w:r>
      <w:r>
        <w:rPr>
          <w:rFonts w:ascii="宋体" w:hAnsi="宋体"/>
          <w:bCs/>
          <w:szCs w:val="21"/>
        </w:rPr>
        <w:t>）交易标的风险。可以通过港股通买卖的股票存在一定的范围限制，且港股通股票名单会动态调整，基金可能面临因标的证券被调出港股通标的范围而无法继续买入的风险。</w:t>
      </w:r>
      <w:r>
        <w:rPr>
          <w:rFonts w:ascii="宋体" w:hAnsi="宋体" w:hint="eastAsia"/>
          <w:bCs/>
          <w:szCs w:val="21"/>
        </w:rPr>
        <w:t>部分港股通股票可能存在大比例折价供股或配股、频繁分拆合并股份的行为，投资者持有的股份数量、股票面值可能发生大幅变化，投资者应关注可能产生的风险。</w:t>
      </w:r>
    </w:p>
    <w:p>
      <w:pPr>
        <w:pStyle w:val="a-BR821136"/>
        <w:spacing w:line="360" w:lineRule="auto"/>
        <w:ind w:firstLine="420" w:firstLineChars="200"/>
        <w:contextualSpacing/>
        <w:rPr>
          <w:rFonts w:ascii="宋体" w:hAnsi="宋体"/>
          <w:bCs/>
          <w:szCs w:val="21"/>
        </w:rPr>
      </w:pPr>
      <w:r>
        <w:rPr>
          <w:rFonts w:ascii="宋体" w:hAnsi="宋体" w:hint="eastAsia"/>
          <w:bCs/>
          <w:szCs w:val="21"/>
        </w:rPr>
        <w:t>（3</w:t>
      </w:r>
      <w:r>
        <w:rPr>
          <w:rFonts w:ascii="宋体" w:hAnsi="宋体"/>
          <w:bCs/>
          <w:szCs w:val="21"/>
        </w:rPr>
        <w:t>）交易额度风险。港股通业务试点期间存在每日额度限制。当日额度使用完毕的，基金将面临不能通过港股通进行买入交易的风险。</w:t>
      </w:r>
    </w:p>
    <w:p>
      <w:pPr>
        <w:pStyle w:val="a-BR821136"/>
        <w:spacing w:line="360" w:lineRule="auto"/>
        <w:ind w:firstLine="420" w:firstLineChars="200"/>
        <w:contextualSpacing/>
        <w:rPr>
          <w:rFonts w:ascii="宋体" w:hAnsi="宋体"/>
          <w:bCs/>
          <w:szCs w:val="21"/>
        </w:rPr>
      </w:pPr>
      <w:r>
        <w:rPr>
          <w:rFonts w:ascii="宋体" w:hAnsi="宋体" w:hint="eastAsia"/>
          <w:bCs/>
          <w:szCs w:val="21"/>
        </w:rPr>
        <w:t>（4</w:t>
      </w:r>
      <w:r>
        <w:rPr>
          <w:rFonts w:ascii="宋体" w:hAnsi="宋体"/>
          <w:bCs/>
          <w:szCs w:val="21"/>
        </w:rPr>
        <w:t>）交易时间风险。只有沪</w:t>
      </w:r>
      <w:r>
        <w:rPr>
          <w:rFonts w:ascii="宋体" w:hAnsi="宋体" w:hint="eastAsia"/>
          <w:bCs/>
          <w:szCs w:val="21"/>
        </w:rPr>
        <w:t>、深、</w:t>
      </w:r>
      <w:r>
        <w:rPr>
          <w:rFonts w:ascii="宋体" w:hAnsi="宋体"/>
          <w:bCs/>
          <w:szCs w:val="21"/>
        </w:rPr>
        <w:t>港</w:t>
      </w:r>
      <w:r>
        <w:rPr>
          <w:rFonts w:ascii="宋体" w:hAnsi="宋体" w:hint="eastAsia"/>
          <w:bCs/>
          <w:szCs w:val="21"/>
        </w:rPr>
        <w:t>三</w:t>
      </w:r>
      <w:r>
        <w:rPr>
          <w:rFonts w:ascii="宋体" w:hAnsi="宋体"/>
          <w:bCs/>
          <w:szCs w:val="21"/>
        </w:rPr>
        <w:t>地均为交易日且能够满足结算安排的交易日才为港股通交易日，具体以上交所</w:t>
      </w:r>
      <w:r>
        <w:rPr>
          <w:rFonts w:ascii="宋体" w:hAnsi="宋体" w:hint="eastAsia"/>
          <w:bCs/>
          <w:szCs w:val="21"/>
        </w:rPr>
        <w:t>、深交所</w:t>
      </w:r>
      <w:r>
        <w:rPr>
          <w:rFonts w:ascii="宋体" w:hAnsi="宋体"/>
          <w:bCs/>
          <w:szCs w:val="21"/>
        </w:rPr>
        <w:t>证券交易服务公司在其指定网站公布的日期为准，基金可能面临如上交所</w:t>
      </w:r>
      <w:r>
        <w:rPr>
          <w:rFonts w:ascii="宋体" w:hAnsi="宋体" w:hint="eastAsia"/>
          <w:bCs/>
          <w:szCs w:val="21"/>
        </w:rPr>
        <w:t>、深交所</w:t>
      </w:r>
      <w:r>
        <w:rPr>
          <w:rFonts w:ascii="宋体" w:hAnsi="宋体"/>
          <w:bCs/>
          <w:szCs w:val="21"/>
        </w:rPr>
        <w:t>开市但联交所休市而无法及时交易造成的损失风险。</w:t>
      </w:r>
    </w:p>
    <w:p>
      <w:pPr>
        <w:pStyle w:val="a-BR821136"/>
        <w:spacing w:line="360" w:lineRule="auto"/>
        <w:ind w:firstLine="420" w:firstLineChars="200"/>
        <w:contextualSpacing/>
        <w:rPr>
          <w:rFonts w:ascii="宋体" w:hAnsi="宋体"/>
          <w:bCs/>
          <w:szCs w:val="21"/>
        </w:rPr>
      </w:pPr>
      <w:r>
        <w:rPr>
          <w:rFonts w:ascii="宋体" w:hAnsi="宋体" w:hint="eastAsia"/>
          <w:bCs/>
          <w:szCs w:val="21"/>
        </w:rPr>
        <w:t>（5</w:t>
      </w:r>
      <w:r>
        <w:rPr>
          <w:rFonts w:ascii="宋体" w:hAnsi="宋体"/>
          <w:bCs/>
          <w:szCs w:val="21"/>
        </w:rPr>
        <w:t>）汇率风险。作为港股通标的的联交所上市公司股票以港币报价，以人民币交收，因港股通相关结算换汇处理在交易日日终而非交易日间实时进行，基金将面临人民币兑港币在不同交易时间结算可能产生的汇率风险。</w:t>
      </w:r>
    </w:p>
    <w:p>
      <w:pPr>
        <w:pStyle w:val="a-BR821136"/>
        <w:spacing w:line="360" w:lineRule="auto"/>
        <w:ind w:firstLine="420" w:firstLineChars="200"/>
        <w:contextualSpacing/>
        <w:rPr>
          <w:rFonts w:ascii="宋体" w:hAnsi="宋体"/>
          <w:bCs/>
          <w:szCs w:val="21"/>
        </w:rPr>
      </w:pPr>
      <w:r>
        <w:rPr>
          <w:rFonts w:ascii="宋体" w:hAnsi="宋体" w:hint="eastAsia"/>
          <w:bCs/>
          <w:szCs w:val="21"/>
        </w:rPr>
        <w:t>（6</w:t>
      </w:r>
      <w:r>
        <w:rPr>
          <w:rFonts w:ascii="宋体" w:hAnsi="宋体"/>
          <w:bCs/>
          <w:szCs w:val="21"/>
        </w:rPr>
        <w:t>）交易规则差异风险。港股通股票交收方式、涨跌幅限制、订单申报的最小交易价差、每手股数、申报最大限制、股票报价价位、权益分派、转换、行权、退市等诸多方面与</w:t>
      </w:r>
      <w:r>
        <w:rPr>
          <w:rFonts w:ascii="宋体" w:hAnsi="宋体" w:hint="eastAsia"/>
          <w:bCs/>
          <w:szCs w:val="21"/>
        </w:rPr>
        <w:t>内地证券市场存在诸多差异；同时，港股通交易的交收可能因香港出现台风或黑色暴雨等发生延迟交收。基金可能面临由于私募基金管理人不了解交易规则的差异而导致的风险。</w:t>
      </w:r>
    </w:p>
    <w:p>
      <w:pPr>
        <w:pStyle w:val="a-BR821136"/>
        <w:spacing w:line="360" w:lineRule="auto"/>
        <w:ind w:firstLine="420" w:firstLineChars="200"/>
        <w:contextualSpacing/>
        <w:rPr>
          <w:rFonts w:ascii="宋体" w:hAnsi="宋体"/>
          <w:bCs/>
          <w:szCs w:val="21"/>
        </w:rPr>
      </w:pPr>
      <w:r>
        <w:rPr>
          <w:rFonts w:ascii="宋体" w:hAnsi="宋体" w:hint="eastAsia"/>
          <w:bCs/>
          <w:szCs w:val="21"/>
        </w:rPr>
        <w:t>（7</w:t>
      </w:r>
      <w:r>
        <w:rPr>
          <w:rFonts w:ascii="宋体" w:hAnsi="宋体"/>
          <w:bCs/>
          <w:szCs w:val="21"/>
        </w:rPr>
        <w:t>）交易通讯故障风险。港股通交易中如联交所与上交所</w:t>
      </w:r>
      <w:r>
        <w:rPr>
          <w:rFonts w:ascii="宋体" w:hAnsi="宋体" w:hint="eastAsia"/>
          <w:bCs/>
          <w:szCs w:val="21"/>
        </w:rPr>
        <w:t>、深交所</w:t>
      </w:r>
      <w:r>
        <w:rPr>
          <w:rFonts w:ascii="宋体" w:hAnsi="宋体"/>
          <w:bCs/>
          <w:szCs w:val="21"/>
        </w:rPr>
        <w:t>证券交易服务公司之间的报盘系统或者通信链路出现故障，基金可能面临不能申报和撤销申报的风险。</w:t>
      </w:r>
    </w:p>
    <w:p>
      <w:pPr>
        <w:pStyle w:val="a-BR821136"/>
        <w:spacing w:line="360" w:lineRule="auto"/>
        <w:ind w:firstLine="420" w:firstLineChars="200"/>
        <w:contextualSpacing/>
        <w:rPr>
          <w:rFonts w:ascii="宋体" w:hAnsi="宋体"/>
          <w:bCs/>
          <w:szCs w:val="21"/>
        </w:rPr>
      </w:pPr>
      <w:r>
        <w:rPr>
          <w:rFonts w:ascii="宋体" w:hAnsi="宋体" w:hint="eastAsia"/>
          <w:bCs/>
          <w:szCs w:val="21"/>
        </w:rPr>
        <w:t>（8</w:t>
      </w:r>
      <w:r>
        <w:rPr>
          <w:rFonts w:ascii="宋体" w:hAnsi="宋体"/>
          <w:bCs/>
          <w:szCs w:val="21"/>
        </w:rPr>
        <w:t>）分级结算风险。港股通交收可能发生因结算参与人未完成与中国结算的集中交收，导致基金应收资金或证券被暂不交付或处置；结算参与人对基金出现交收违约导致基金未能取得应收证券或资金；结算参与人向中国结算发送的有关基金的证券划付指令有误导致基金权益受损等；基金可能面临由于结算参与人未遵守相关业务规则导致基金利益受到损害的风险。</w:t>
      </w:r>
    </w:p>
    <w:p>
      <w:pPr>
        <w:pStyle w:val="a-BR821136"/>
        <w:spacing w:line="360" w:lineRule="auto"/>
        <w:ind w:firstLine="420" w:firstLineChars="200"/>
        <w:contextualSpacing/>
        <w:rPr>
          <w:rFonts w:ascii="宋体" w:hAnsi="宋体"/>
          <w:szCs w:val="21"/>
        </w:rPr>
      </w:pPr>
      <w:r>
        <w:rPr>
          <w:rFonts w:ascii="宋体" w:hAnsi="宋体"/>
          <w:szCs w:val="21"/>
        </w:rPr>
        <w:t>9.2</w:t>
      </w:r>
      <w:r>
        <w:rPr>
          <w:rFonts w:ascii="宋体" w:hAnsi="宋体" w:hint="eastAsia"/>
          <w:szCs w:val="21"/>
        </w:rPr>
        <w:t>上市公司公开发行股票投资风险（如有）</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1）上市公司经营风险：上市公司的经营状况受多种因素影响</w:t>
      </w:r>
      <w:r>
        <w:rPr>
          <w:rFonts w:ascii="宋体" w:hAnsi="宋体" w:hint="eastAsia"/>
          <w:szCs w:val="21"/>
        </w:rPr>
        <w:t>，</w:t>
      </w:r>
      <w:r>
        <w:rPr>
          <w:rFonts w:ascii="宋体" w:hAnsi="宋体"/>
          <w:szCs w:val="21"/>
        </w:rPr>
        <w:t>如市场</w:t>
      </w:r>
      <w:r>
        <w:rPr>
          <w:rFonts w:ascii="宋体" w:hAnsi="宋体" w:hint="eastAsia"/>
          <w:szCs w:val="21"/>
        </w:rPr>
        <w:t>、</w:t>
      </w:r>
      <w:r>
        <w:rPr>
          <w:rFonts w:ascii="宋体" w:hAnsi="宋体"/>
          <w:szCs w:val="21"/>
        </w:rPr>
        <w:t>技术</w:t>
      </w:r>
      <w:r>
        <w:rPr>
          <w:rFonts w:ascii="宋体" w:hAnsi="宋体" w:hint="eastAsia"/>
          <w:szCs w:val="21"/>
        </w:rPr>
        <w:t>、</w:t>
      </w:r>
      <w:r>
        <w:rPr>
          <w:rFonts w:ascii="宋体" w:hAnsi="宋体"/>
          <w:szCs w:val="21"/>
        </w:rPr>
        <w:t>竞争</w:t>
      </w:r>
      <w:r>
        <w:rPr>
          <w:rFonts w:ascii="宋体" w:hAnsi="宋体" w:hint="eastAsia"/>
          <w:szCs w:val="21"/>
        </w:rPr>
        <w:t>、</w:t>
      </w:r>
      <w:r>
        <w:rPr>
          <w:rFonts w:ascii="宋体" w:hAnsi="宋体"/>
          <w:szCs w:val="21"/>
        </w:rPr>
        <w:t>管理</w:t>
      </w:r>
      <w:r>
        <w:rPr>
          <w:rFonts w:ascii="宋体" w:hAnsi="宋体" w:hint="eastAsia"/>
          <w:szCs w:val="21"/>
        </w:rPr>
        <w:t>、</w:t>
      </w:r>
      <w:r>
        <w:rPr>
          <w:rFonts w:ascii="宋体" w:hAnsi="宋体"/>
          <w:szCs w:val="21"/>
        </w:rPr>
        <w:t>财务等都会导致公司盈利状况发生变化</w:t>
      </w:r>
      <w:r>
        <w:rPr>
          <w:rFonts w:ascii="宋体" w:hAnsi="宋体" w:hint="eastAsia"/>
          <w:szCs w:val="21"/>
        </w:rPr>
        <w:t>。</w:t>
      </w:r>
      <w:r>
        <w:rPr>
          <w:rFonts w:ascii="宋体" w:hAnsi="宋体"/>
          <w:szCs w:val="21"/>
        </w:rPr>
        <w:t>如私募基金所投资的上市公司经营不善</w:t>
      </w:r>
      <w:r>
        <w:rPr>
          <w:rFonts w:ascii="宋体" w:hAnsi="宋体" w:hint="eastAsia"/>
          <w:szCs w:val="21"/>
        </w:rPr>
        <w:t>，</w:t>
      </w:r>
      <w:r>
        <w:rPr>
          <w:rFonts w:ascii="宋体" w:hAnsi="宋体"/>
          <w:szCs w:val="21"/>
        </w:rPr>
        <w:t>与其相关的证券价格可能下跌</w:t>
      </w:r>
      <w:r>
        <w:rPr>
          <w:rFonts w:ascii="宋体" w:hAnsi="宋体" w:hint="eastAsia"/>
          <w:szCs w:val="21"/>
        </w:rPr>
        <w:t>，</w:t>
      </w:r>
      <w:r>
        <w:rPr>
          <w:rFonts w:ascii="宋体" w:hAnsi="宋体"/>
          <w:szCs w:val="21"/>
        </w:rPr>
        <w:t>或者能够用于分配的利润减少</w:t>
      </w:r>
      <w:r>
        <w:rPr>
          <w:rFonts w:ascii="宋体" w:hAnsi="宋体" w:hint="eastAsia"/>
          <w:szCs w:val="21"/>
        </w:rPr>
        <w:t>，</w:t>
      </w:r>
      <w:r>
        <w:rPr>
          <w:rFonts w:ascii="宋体" w:hAnsi="宋体"/>
          <w:szCs w:val="21"/>
        </w:rPr>
        <w:t>从而使私募基金投资的收益下降</w:t>
      </w:r>
      <w:r>
        <w:rPr>
          <w:rFonts w:ascii="宋体" w:hAnsi="宋体" w:hint="eastAsia"/>
          <w:szCs w:val="21"/>
        </w:rPr>
        <w:t>。</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2）流动性风险：</w:t>
      </w:r>
      <w:r>
        <w:rPr>
          <w:rFonts w:ascii="宋体" w:hAnsi="宋体" w:hint="eastAsia"/>
          <w:szCs w:val="21"/>
        </w:rPr>
        <w:t>证券市场受到市场行情、投资群体等诸多因素的影响，某些时期成交活跃、流动性好；而在另一些时期，可能成交稀少，流动性差。在市场流动性相对不足时，交易变现有可能增加变现成本或出现变现困难，对私募基金投资造成不利影响。</w:t>
      </w:r>
    </w:p>
    <w:p>
      <w:pPr>
        <w:pStyle w:val="a-BR821136"/>
        <w:spacing w:line="360" w:lineRule="auto"/>
        <w:ind w:firstLine="420" w:firstLineChars="200"/>
        <w:contextualSpacing/>
        <w:rPr>
          <w:rFonts w:ascii="宋体" w:hAnsi="宋体"/>
          <w:bCs/>
          <w:szCs w:val="21"/>
        </w:rPr>
      </w:pPr>
      <w:r>
        <w:rPr>
          <w:rFonts w:ascii="宋体" w:hAnsi="宋体" w:hint="eastAsia"/>
          <w:bCs/>
          <w:szCs w:val="21"/>
        </w:rPr>
        <w:t>（</w:t>
      </w:r>
      <w:r>
        <w:rPr>
          <w:rFonts w:ascii="宋体" w:hAnsi="宋体"/>
          <w:bCs/>
          <w:szCs w:val="21"/>
        </w:rPr>
        <w:t>3</w:t>
      </w:r>
      <w:r>
        <w:rPr>
          <w:rFonts w:ascii="宋体" w:hAnsi="宋体" w:hint="eastAsia"/>
          <w:bCs/>
          <w:szCs w:val="21"/>
        </w:rPr>
        <w:t>）科创板股票投资风险（如有）</w:t>
      </w:r>
    </w:p>
    <w:p>
      <w:pPr>
        <w:pStyle w:val="a-BR821136"/>
        <w:spacing w:line="360" w:lineRule="auto"/>
        <w:ind w:firstLine="420" w:firstLineChars="200"/>
        <w:contextualSpacing/>
        <w:rPr>
          <w:rFonts w:ascii="宋体" w:hAnsi="宋体"/>
          <w:bCs/>
          <w:szCs w:val="21"/>
        </w:rPr>
      </w:pPr>
      <w:r>
        <w:rPr>
          <w:rFonts w:ascii="宋体" w:hAnsi="宋体" w:hint="eastAsia"/>
          <w:bCs/>
          <w:szCs w:val="21"/>
        </w:rPr>
        <w:t>本基金可投资国内上市的科创板股票，会面临因投资标的、市场制度以及交易规则等差异带来的特有风险，包括不限于如下特殊风险：</w:t>
      </w:r>
    </w:p>
    <w:p>
      <w:pPr>
        <w:pStyle w:val="a-BR821136"/>
        <w:spacing w:line="360" w:lineRule="auto"/>
        <w:ind w:firstLine="420" w:firstLineChars="200"/>
        <w:contextualSpacing/>
        <w:rPr>
          <w:rFonts w:ascii="宋体" w:hAnsi="宋体"/>
          <w:bCs/>
          <w:szCs w:val="21"/>
        </w:rPr>
      </w:pPr>
      <w:r>
        <w:rPr>
          <w:rFonts w:ascii="宋体" w:hAnsi="宋体"/>
          <w:bCs/>
          <w:szCs w:val="21"/>
        </w:rPr>
        <w:t>1）</w:t>
      </w:r>
      <w:r>
        <w:rPr>
          <w:rFonts w:ascii="宋体" w:hAnsi="宋体" w:hint="eastAsia"/>
          <w:bCs/>
          <w:szCs w:val="21"/>
        </w:rPr>
        <w:t>科创板上市公司股价波动较大的风险。科创板对个股每日涨跌幅限制为</w:t>
      </w:r>
      <w:r>
        <w:rPr>
          <w:rFonts w:ascii="宋体" w:hAnsi="宋体"/>
          <w:bCs/>
          <w:szCs w:val="21"/>
        </w:rPr>
        <w:t>20%，且新股上市后的前5个交易日不设置涨跌幅限制，股价可能表现出比A股其他板块更为剧烈的波动；</w:t>
      </w:r>
    </w:p>
    <w:p>
      <w:pPr>
        <w:pStyle w:val="a-BR821136"/>
        <w:spacing w:line="360" w:lineRule="auto"/>
        <w:ind w:firstLine="420" w:firstLineChars="200"/>
        <w:contextualSpacing/>
        <w:rPr>
          <w:rFonts w:ascii="宋体" w:hAnsi="宋体"/>
          <w:bCs/>
          <w:szCs w:val="21"/>
        </w:rPr>
      </w:pPr>
      <w:r>
        <w:rPr>
          <w:rFonts w:ascii="宋体" w:hAnsi="宋体"/>
          <w:bCs/>
          <w:szCs w:val="21"/>
        </w:rPr>
        <w:t>2）</w:t>
      </w:r>
      <w:r>
        <w:rPr>
          <w:rFonts w:ascii="宋体" w:hAnsi="宋体" w:hint="eastAsia"/>
          <w:bCs/>
          <w:szCs w:val="21"/>
        </w:rPr>
        <w:t>科创板上市公司退市的风险。科创板执行比</w:t>
      </w:r>
      <w:r>
        <w:rPr>
          <w:rFonts w:ascii="宋体" w:hAnsi="宋体"/>
          <w:bCs/>
          <w:szCs w:val="21"/>
        </w:rPr>
        <w:t>A股其他板块更为严格的退市标准，且不再设置暂停上市、恢复上市和重新上市环节，因此上市公司退</w:t>
      </w:r>
      <w:r>
        <w:rPr>
          <w:rFonts w:ascii="宋体" w:hAnsi="宋体" w:hint="eastAsia"/>
          <w:bCs/>
          <w:szCs w:val="21"/>
        </w:rPr>
        <w:t>市风险更大，可能会对基金净值产生不利影响；</w:t>
      </w:r>
    </w:p>
    <w:p>
      <w:pPr>
        <w:pStyle w:val="a-BR821136"/>
        <w:spacing w:line="360" w:lineRule="auto"/>
        <w:ind w:firstLine="420" w:firstLineChars="200"/>
        <w:contextualSpacing/>
        <w:rPr>
          <w:rFonts w:ascii="宋体" w:hAnsi="宋体"/>
          <w:bCs/>
          <w:szCs w:val="21"/>
        </w:rPr>
      </w:pPr>
      <w:r>
        <w:rPr>
          <w:rFonts w:ascii="宋体" w:hAnsi="宋体"/>
          <w:bCs/>
          <w:szCs w:val="21"/>
        </w:rPr>
        <w:t>3）</w:t>
      </w:r>
      <w:r>
        <w:rPr>
          <w:rFonts w:ascii="宋体" w:hAnsi="宋体" w:hint="eastAsia"/>
          <w:bCs/>
          <w:szCs w:val="21"/>
        </w:rPr>
        <w:t>科创板股票流动性较差的风险。由于科创板投资门槛高于</w:t>
      </w:r>
      <w:r>
        <w:rPr>
          <w:rFonts w:ascii="宋体" w:hAnsi="宋体"/>
          <w:bCs/>
          <w:szCs w:val="21"/>
        </w:rPr>
        <w:t>A股其他板块，整体板块活跃度可能弱于A股其他板块；</w:t>
      </w:r>
      <w:r>
        <w:rPr>
          <w:rFonts w:ascii="宋体" w:hAnsi="宋体" w:hint="eastAsia"/>
          <w:bCs/>
          <w:szCs w:val="21"/>
        </w:rPr>
        <w:t>科创板机构投资者占比较大，板块股票存在一致性预期的可能性高于</w:t>
      </w:r>
      <w:r>
        <w:rPr>
          <w:rFonts w:ascii="宋体" w:hAnsi="宋体"/>
          <w:bCs/>
          <w:szCs w:val="21"/>
        </w:rPr>
        <w:t>A股其他板块，在特殊时期存在股票交易成交等待时间较长或无法成交的可能；</w:t>
      </w:r>
    </w:p>
    <w:p>
      <w:pPr>
        <w:pStyle w:val="a-BR821136"/>
        <w:spacing w:line="360" w:lineRule="auto"/>
        <w:ind w:firstLine="420" w:firstLineChars="200"/>
        <w:contextualSpacing/>
        <w:rPr>
          <w:rFonts w:ascii="宋体" w:hAnsi="宋体"/>
          <w:bCs/>
          <w:szCs w:val="21"/>
        </w:rPr>
      </w:pPr>
      <w:r>
        <w:rPr>
          <w:rFonts w:ascii="宋体" w:hAnsi="宋体"/>
          <w:bCs/>
          <w:szCs w:val="21"/>
        </w:rPr>
        <w:t>4）投资集中度相对较高的风险。因</w:t>
      </w:r>
      <w:r>
        <w:rPr>
          <w:rFonts w:ascii="宋体" w:hAnsi="宋体" w:hint="eastAsia"/>
          <w:bCs/>
          <w:szCs w:val="21"/>
        </w:rPr>
        <w:t>科创板均为科技创新成长型公司，其商业模式、盈利模式等可能存在一定的相似性，因此，持仓股票股价存在同向波动的可能，从而产生对基金净值不利的影响。</w:t>
      </w:r>
    </w:p>
    <w:p>
      <w:pPr>
        <w:pStyle w:val="a-BR821136"/>
        <w:spacing w:line="360" w:lineRule="auto"/>
        <w:ind w:firstLine="420" w:firstLineChars="200"/>
        <w:contextualSpacing/>
        <w:rPr>
          <w:rFonts w:ascii="宋体" w:hAnsi="宋体"/>
          <w:szCs w:val="21"/>
        </w:rPr>
      </w:pPr>
      <w:r>
        <w:rPr>
          <w:rFonts w:ascii="宋体" w:hAnsi="宋体"/>
          <w:szCs w:val="21"/>
        </w:rPr>
        <w:t>9.3</w:t>
      </w:r>
      <w:r>
        <w:rPr>
          <w:rFonts w:ascii="宋体" w:hAnsi="宋体" w:hint="eastAsia"/>
          <w:szCs w:val="21"/>
        </w:rPr>
        <w:t>上市公司非公开发行股票投资风险（如有）</w:t>
      </w:r>
    </w:p>
    <w:p>
      <w:pPr>
        <w:pStyle w:val="a-BR821136"/>
        <w:spacing w:line="360" w:lineRule="auto"/>
        <w:ind w:firstLine="420" w:firstLineChars="200"/>
        <w:contextualSpacing/>
        <w:rPr>
          <w:rFonts w:ascii="宋体" w:hAnsi="宋体"/>
          <w:szCs w:val="21"/>
        </w:rPr>
      </w:pPr>
      <w:r>
        <w:rPr>
          <w:rFonts w:ascii="宋体" w:hAnsi="宋体" w:hint="eastAsia"/>
          <w:szCs w:val="21"/>
        </w:rPr>
        <w:t>本基金投资于定向增发类股票，受股票市场的波动影响较大；定向增发股票发行政策的变化对本基金投资标的的规模及预期收益有较大影响。由于股票一级市场和二级市场在市场特性、交易机制、投资特点和风险特性等方面存在着一定的差别，具体风险包括：</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1）一级市场申</w:t>
      </w:r>
      <w:r>
        <w:rPr>
          <w:rFonts w:ascii="宋体" w:hAnsi="宋体" w:hint="eastAsia"/>
          <w:szCs w:val="21"/>
        </w:rPr>
        <w:t>购违规风险：由于某只股票的一级市场申购中签率持续放大，使得私募基金管理人所持有的该股票的比例或份额超过了相关法律法规或合同的有关限制所导致的风险。</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2）一级市场组合的市场风险：基金资产上市时跌破发行价的可能。</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3）一级市场组合的流动性风险：基金资产因发行被冻结锁定，影响基金的流动性。主要体现为两种情况：大部分基金资产被冻结，基金需要现金进行新的申购；所持基金资产在可上市流动首日，出现大量变现，导致资产不能以较低成本变现。</w:t>
      </w:r>
    </w:p>
    <w:p>
      <w:pPr>
        <w:pStyle w:val="a-BR821136"/>
        <w:spacing w:line="360" w:lineRule="auto"/>
        <w:ind w:firstLine="420" w:firstLineChars="200"/>
        <w:contextualSpacing/>
        <w:rPr>
          <w:rFonts w:ascii="宋体" w:hAnsi="宋体"/>
          <w:szCs w:val="21"/>
        </w:rPr>
      </w:pPr>
      <w:r>
        <w:rPr>
          <w:rFonts w:ascii="宋体" w:hAnsi="宋体" w:hint="eastAsia"/>
          <w:szCs w:val="21"/>
        </w:rPr>
        <w:t>9</w:t>
      </w:r>
      <w:r>
        <w:rPr>
          <w:rFonts w:ascii="宋体" w:hAnsi="宋体"/>
          <w:szCs w:val="21"/>
        </w:rPr>
        <w:t>.4</w:t>
      </w:r>
      <w:r>
        <w:rPr>
          <w:rFonts w:ascii="宋体" w:hAnsi="宋体" w:hint="eastAsia"/>
          <w:szCs w:val="21"/>
        </w:rPr>
        <w:t>新三板精选层挂牌公司股票投资风险（如有）</w:t>
      </w:r>
    </w:p>
    <w:p>
      <w:pPr>
        <w:pStyle w:val="a-BR821136"/>
        <w:spacing w:line="360" w:lineRule="auto"/>
        <w:ind w:firstLine="420" w:firstLineChars="200"/>
        <w:contextualSpacing/>
        <w:rPr>
          <w:rFonts w:ascii="宋体" w:hAnsi="宋体"/>
          <w:szCs w:val="21"/>
        </w:rPr>
      </w:pPr>
      <w:r>
        <w:rPr>
          <w:rFonts w:ascii="宋体" w:hAnsi="宋体" w:hint="eastAsia"/>
          <w:szCs w:val="21"/>
        </w:rPr>
        <w:t>（1）公司风险：部分挂牌公司具有规模较小，对单一技术依赖度较高，受技术更新换代影响较大，对核心技术人员依赖度较高等特点。部分公司抗市场风险和行业风险的能力较弱，业务收入可能波动较大。</w:t>
      </w:r>
    </w:p>
    <w:p>
      <w:pPr>
        <w:pStyle w:val="a-BR821136"/>
        <w:spacing w:line="360" w:lineRule="auto"/>
        <w:ind w:firstLine="420" w:firstLineChars="200"/>
        <w:contextualSpacing/>
        <w:rPr>
          <w:rFonts w:ascii="宋体" w:hAnsi="宋体"/>
          <w:szCs w:val="21"/>
        </w:rPr>
      </w:pPr>
      <w:r>
        <w:rPr>
          <w:rFonts w:ascii="宋体" w:hAnsi="宋体" w:hint="eastAsia"/>
          <w:szCs w:val="21"/>
        </w:rPr>
        <w:t>（2）</w:t>
      </w:r>
      <w:r>
        <w:rPr>
          <w:rFonts w:ascii="宋体" w:hAnsi="宋体" w:hint="eastAsia"/>
          <w:b/>
          <w:bCs/>
          <w:szCs w:val="21"/>
        </w:rPr>
        <w:t>流动性风险</w:t>
      </w:r>
      <w:r>
        <w:rPr>
          <w:rFonts w:ascii="宋体" w:hAnsi="宋体" w:hint="eastAsia"/>
          <w:szCs w:val="21"/>
        </w:rPr>
        <w:t>：新三板投资门槛高于A股，整体活跃度可能较低，加之投资挂牌公司股票相对较为集中，市场整体流动性低于沪深证券交易所。此外，如遇被调出、退市等情况，可能导致本基金暂停申购、赎回，详见“私募基金的申购、赎回和转让”章节。</w:t>
      </w:r>
    </w:p>
    <w:p>
      <w:pPr>
        <w:pStyle w:val="a-BR821136"/>
        <w:spacing w:line="360" w:lineRule="auto"/>
        <w:ind w:firstLine="420" w:firstLineChars="200"/>
        <w:contextualSpacing/>
        <w:rPr>
          <w:rFonts w:ascii="宋体" w:hAnsi="宋体"/>
          <w:szCs w:val="21"/>
        </w:rPr>
      </w:pPr>
      <w:r>
        <w:rPr>
          <w:rFonts w:ascii="宋体" w:hAnsi="宋体" w:hint="eastAsia"/>
          <w:szCs w:val="21"/>
        </w:rPr>
        <w:t>（3）价格波动风险：新三板精选层对个股每日涨跌幅限制为30%，且连续竞价交易的成交首日，以及股票恢复交易期间的成交首日，不设置价格涨跌幅限制，股价可能表现出比A股其他板块更为剧烈的波动。</w:t>
      </w:r>
    </w:p>
    <w:p>
      <w:pPr>
        <w:pStyle w:val="a-BR821136"/>
        <w:spacing w:line="360" w:lineRule="auto"/>
        <w:ind w:firstLine="420" w:firstLineChars="200"/>
        <w:contextualSpacing/>
        <w:rPr>
          <w:rFonts w:ascii="宋体" w:hAnsi="宋体"/>
          <w:szCs w:val="21"/>
        </w:rPr>
      </w:pPr>
      <w:r>
        <w:rPr>
          <w:rFonts w:ascii="宋体" w:hAnsi="宋体" w:hint="eastAsia"/>
          <w:szCs w:val="21"/>
        </w:rPr>
        <w:t>（4）退市及调出风险：根据相关法律法规和交易规则，新三板挂牌公司股票可能面临调出及退市风险。启动调出或退市程序后可能出现新三板挂牌公司股票价值大幅度下跌、流动性大幅度降低等状况，从而造成基金投资出现亏损。</w:t>
      </w:r>
    </w:p>
    <w:p>
      <w:pPr>
        <w:pStyle w:val="a-BR821136"/>
        <w:spacing w:line="360" w:lineRule="auto"/>
        <w:ind w:firstLine="420" w:firstLineChars="200"/>
        <w:contextualSpacing/>
        <w:rPr>
          <w:rFonts w:ascii="宋体" w:hAnsi="宋体"/>
          <w:szCs w:val="21"/>
        </w:rPr>
      </w:pPr>
      <w:r>
        <w:rPr>
          <w:rFonts w:ascii="宋体" w:hAnsi="宋体"/>
          <w:szCs w:val="21"/>
        </w:rPr>
        <w:t>9.5</w:t>
      </w:r>
      <w:r>
        <w:rPr>
          <w:rFonts w:ascii="宋体" w:hAnsi="宋体" w:hint="eastAsia"/>
          <w:szCs w:val="21"/>
        </w:rPr>
        <w:t>存托凭证的投资风险（如有）</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1）发行相关的风险</w:t>
      </w:r>
    </w:p>
    <w:p>
      <w:pPr>
        <w:pStyle w:val="a-BR821136"/>
        <w:spacing w:line="360" w:lineRule="auto"/>
        <w:ind w:firstLine="420" w:firstLineChars="200"/>
        <w:contextualSpacing/>
        <w:rPr>
          <w:rFonts w:ascii="宋体" w:hAnsi="宋体"/>
          <w:szCs w:val="21"/>
        </w:rPr>
      </w:pPr>
      <w:r>
        <w:rPr>
          <w:rFonts w:ascii="宋体" w:hAnsi="宋体" w:hint="eastAsia"/>
          <w:szCs w:val="21"/>
        </w:rPr>
        <w:t>可能存在公司公开发行并上市时尚未盈利，上市后仍无法盈利、持续亏损、无法进行利润分配、退市的情形；可能存在发行价格高于每股净资产账面值或者境外市场价格；可能存在因境内外规定不同或者上市公司未实行完毕激励措施而给投资者带来风险。</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业务相关的风险</w:t>
      </w:r>
    </w:p>
    <w:p>
      <w:pPr>
        <w:pStyle w:val="a-BR821136"/>
        <w:spacing w:line="360" w:lineRule="auto"/>
        <w:ind w:firstLine="420" w:firstLineChars="200"/>
        <w:contextualSpacing/>
        <w:rPr>
          <w:rFonts w:ascii="宋体" w:hAnsi="宋体"/>
          <w:szCs w:val="21"/>
        </w:rPr>
      </w:pPr>
      <w:r>
        <w:rPr>
          <w:rFonts w:ascii="宋体" w:hAnsi="宋体" w:hint="eastAsia"/>
          <w:szCs w:val="21"/>
        </w:rPr>
        <w:t>企业可能因重大技术、产品、经营模式、相关政策变化而出现经营风险；企业可能处于初步发展阶段，企业持续创新能力、主营业务发展可持续性、公司收入及盈利水平等具有较大不确定性；企业在项目研发结果、研发成果商业化前景、核心研发人员稳定性、所处市场竞争环境、客户群体变化等方面，均可能面临重大不确定性，并对公司盈利能力产生重大影响。</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3）境外发行人相关的风险</w:t>
      </w:r>
    </w:p>
    <w:p>
      <w:pPr>
        <w:pStyle w:val="a-BR821136"/>
        <w:spacing w:line="360" w:lineRule="auto"/>
        <w:ind w:firstLine="420" w:firstLineChars="200"/>
        <w:contextualSpacing/>
        <w:rPr>
          <w:rFonts w:ascii="宋体" w:hAnsi="宋体"/>
          <w:szCs w:val="21"/>
        </w:rPr>
      </w:pPr>
      <w:r>
        <w:rPr>
          <w:rFonts w:ascii="宋体" w:hAnsi="宋体" w:hint="eastAsia"/>
          <w:szCs w:val="21"/>
        </w:rPr>
        <w:t>企业受注册地法律法规、境内外上市公司治理结构不同的影响，在境内存托凭证持有人享有的权益、权利的行使、维护权利成本等方面均可能受境外法律变化影响；针对会计准则、语言、工作时间等不同，具体披露时间、投资者对披露事项的理解可能存在一定差异。</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4）存托凭证相关的风险</w:t>
      </w:r>
    </w:p>
    <w:p>
      <w:pPr>
        <w:pStyle w:val="a-BR821136"/>
        <w:spacing w:line="360" w:lineRule="auto"/>
        <w:ind w:firstLine="420" w:firstLineChars="200"/>
        <w:contextualSpacing/>
        <w:rPr>
          <w:rFonts w:ascii="宋体" w:hAnsi="宋体"/>
          <w:szCs w:val="21"/>
        </w:rPr>
      </w:pPr>
      <w:r>
        <w:rPr>
          <w:rFonts w:ascii="宋体" w:hAnsi="宋体" w:hint="eastAsia"/>
          <w:szCs w:val="21"/>
        </w:rPr>
        <w:t>存托凭证持有人实际享有的权益与境外基础证券持有人的权益虽然基本相当，但并不能等同于直接持有境外基础证券，所代表的权利在范围和行使方式等方面存在差异，交易和持有存托凭证过程中需要承担义务或可能受到限制。</w:t>
      </w:r>
    </w:p>
    <w:p>
      <w:pPr>
        <w:pStyle w:val="a-BR821136"/>
        <w:spacing w:line="360" w:lineRule="auto"/>
        <w:ind w:firstLine="420" w:firstLineChars="200"/>
        <w:contextualSpacing/>
        <w:rPr>
          <w:rFonts w:ascii="宋体" w:hAnsi="宋体"/>
          <w:szCs w:val="21"/>
        </w:rPr>
      </w:pPr>
      <w:r>
        <w:rPr>
          <w:rFonts w:ascii="宋体" w:hAnsi="宋体" w:hint="eastAsia"/>
          <w:szCs w:val="21"/>
        </w:rPr>
        <w:t>存托凭证存续期间，存托凭证项目内容可能发生重大、实质变化，包括但不限于存托凭证与基础证券转换比例发生调整、红筹公司和存托人可能对存托协议作出修改，更换存托人、更换托管人、存托凭证主动退市等。部分变化可能仅以事先通知的方式，即对投资者生效。投资者可能无法对此行使表决权。</w:t>
      </w:r>
    </w:p>
    <w:p>
      <w:pPr>
        <w:pStyle w:val="a-BR821136"/>
        <w:spacing w:line="360" w:lineRule="auto"/>
        <w:ind w:firstLine="420" w:firstLineChars="200"/>
        <w:contextualSpacing/>
        <w:rPr>
          <w:rFonts w:ascii="宋体" w:hAnsi="宋体"/>
          <w:szCs w:val="21"/>
        </w:rPr>
      </w:pPr>
      <w:r>
        <w:rPr>
          <w:rFonts w:ascii="宋体" w:hAnsi="宋体" w:hint="eastAsia"/>
          <w:szCs w:val="21"/>
        </w:rPr>
        <w:t>存托凭证退市的，投资者可能面临存托人无法根据存托协议的约定卖出基础证券的风险。</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5）交易机制相关的风险</w:t>
      </w:r>
    </w:p>
    <w:p>
      <w:pPr>
        <w:pStyle w:val="a-BR821136"/>
        <w:spacing w:line="360" w:lineRule="auto"/>
        <w:ind w:firstLine="420" w:firstLineChars="200"/>
        <w:contextualSpacing/>
        <w:rPr>
          <w:rFonts w:ascii="宋体" w:hAnsi="宋体"/>
          <w:szCs w:val="21"/>
        </w:rPr>
      </w:pPr>
      <w:r>
        <w:rPr>
          <w:rFonts w:ascii="宋体" w:hAnsi="宋体" w:hint="eastAsia"/>
          <w:szCs w:val="21"/>
        </w:rPr>
        <w:t>由于时差和交易制度、停复牌制度、境内外证券价格的差异，导致给投资者带来风险；因不可抗力、交易或登记结算系统技术故障、人为差错等原因，导致存托凭证交易或登记结算不能正常进行、交易或登记结算数据发生错误等情形的，交易所和登记结算机构可以根据规则采取相关处置措施。交易所和登记结算机构对于因上述异常情况及其处置措施造成的损失不承担责任，可能给投资者带来风险。</w:t>
      </w:r>
    </w:p>
    <w:p>
      <w:pPr>
        <w:pStyle w:val="a-BR821136"/>
        <w:spacing w:line="360" w:lineRule="auto"/>
        <w:ind w:firstLine="420" w:firstLineChars="200"/>
        <w:contextualSpacing/>
        <w:rPr>
          <w:rFonts w:ascii="宋体" w:hAnsi="宋体"/>
          <w:szCs w:val="21"/>
        </w:rPr>
      </w:pPr>
      <w:r>
        <w:rPr>
          <w:rFonts w:ascii="宋体" w:hAnsi="宋体"/>
          <w:bCs/>
          <w:szCs w:val="21"/>
        </w:rPr>
        <w:t>9.6</w:t>
      </w:r>
      <w:r>
        <w:rPr>
          <w:rFonts w:ascii="宋体" w:hAnsi="宋体"/>
          <w:szCs w:val="21"/>
        </w:rPr>
        <w:t>融资融券</w:t>
      </w:r>
      <w:r>
        <w:rPr>
          <w:rFonts w:ascii="宋体" w:hAnsi="宋体" w:hint="eastAsia"/>
          <w:szCs w:val="21"/>
        </w:rPr>
        <w:t>交易</w:t>
      </w:r>
      <w:r>
        <w:rPr>
          <w:rFonts w:ascii="宋体" w:hAnsi="宋体"/>
          <w:szCs w:val="21"/>
        </w:rPr>
        <w:t>风险</w:t>
      </w:r>
      <w:r>
        <w:rPr>
          <w:rFonts w:ascii="宋体" w:hAnsi="宋体" w:hint="eastAsia"/>
          <w:szCs w:val="21"/>
        </w:rPr>
        <w:t>（如有）</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1）可能放大投资损失的风险</w:t>
      </w:r>
    </w:p>
    <w:p>
      <w:pPr>
        <w:pStyle w:val="a-BR821136"/>
        <w:spacing w:line="360" w:lineRule="auto"/>
        <w:ind w:firstLine="420" w:firstLineChars="200"/>
        <w:rPr>
          <w:rFonts w:ascii="宋体" w:hAnsi="宋体"/>
          <w:b/>
          <w:szCs w:val="21"/>
        </w:rPr>
      </w:pPr>
      <w:r>
        <w:rPr>
          <w:rFonts w:ascii="宋体" w:hAnsi="宋体"/>
          <w:b/>
          <w:szCs w:val="21"/>
        </w:rPr>
        <w:t>融资融券业务具有杠杆效应，它在放大投资收益的同时也必然放大投资风险。将股票作为担保品进行融资融券交易时，既需要承担原有的股票价格下跌带来的风险，又得承担融资买入或融券卖出股票带来的风险，同时还须支付相应的利息和费用，由此承担的风险可能远远超过普通证券交易。</w:t>
      </w:r>
    </w:p>
    <w:p>
      <w:pPr>
        <w:pStyle w:val="a-BR821136"/>
        <w:spacing w:line="360" w:lineRule="auto"/>
        <w:ind w:firstLine="315" w:firstLineChars="150"/>
        <w:rPr>
          <w:rFonts w:ascii="宋体" w:hAnsi="宋体"/>
          <w:szCs w:val="21"/>
        </w:rPr>
      </w:pPr>
      <w:r>
        <w:rPr>
          <w:rFonts w:ascii="宋体" w:hAnsi="宋体"/>
          <w:szCs w:val="21"/>
        </w:rPr>
        <w:t>（2）特有的卖空风险</w:t>
      </w:r>
    </w:p>
    <w:p>
      <w:pPr>
        <w:pStyle w:val="a-BR821136"/>
        <w:spacing w:line="360" w:lineRule="auto"/>
        <w:ind w:firstLine="420" w:firstLineChars="200"/>
        <w:rPr>
          <w:rFonts w:ascii="宋体" w:hAnsi="宋体"/>
          <w:szCs w:val="21"/>
        </w:rPr>
      </w:pPr>
      <w:r>
        <w:rPr>
          <w:rFonts w:ascii="宋体" w:hAnsi="宋体"/>
          <w:szCs w:val="21"/>
        </w:rPr>
        <w:t>融资融券交易中的融券交易存在着与普通证券截然不同的风险——卖空风险。普通证券投资发生的损失是有限的，最多不会超过本基金投入的全部本金，但是融券交易的负债在理论上可以无限扩大，因为证券上涨的幅度是没有上限的，而证券涨得越多，融券负债的规模就越大。</w:t>
      </w:r>
    </w:p>
    <w:p>
      <w:pPr>
        <w:pStyle w:val="a-BR821136"/>
        <w:spacing w:line="360" w:lineRule="auto"/>
        <w:ind w:firstLine="420" w:firstLineChars="200"/>
        <w:rPr>
          <w:rFonts w:ascii="宋体" w:hAnsi="宋体"/>
          <w:szCs w:val="21"/>
        </w:rPr>
      </w:pPr>
      <w:r>
        <w:rPr>
          <w:rFonts w:ascii="宋体" w:hAnsi="宋体"/>
          <w:szCs w:val="21"/>
        </w:rPr>
        <w:t>（3）利率变动带来的成本加大风险</w:t>
      </w:r>
    </w:p>
    <w:p>
      <w:pPr>
        <w:pStyle w:val="a-BR821136"/>
        <w:spacing w:line="360" w:lineRule="auto"/>
        <w:ind w:firstLine="420" w:firstLineChars="200"/>
        <w:rPr>
          <w:rFonts w:ascii="宋体" w:hAnsi="宋体"/>
          <w:szCs w:val="21"/>
        </w:rPr>
      </w:pPr>
      <w:r>
        <w:rPr>
          <w:rFonts w:ascii="宋体" w:hAnsi="宋体" w:hint="eastAsia"/>
          <w:szCs w:val="21"/>
        </w:rPr>
        <w:t>如果在从事融资融券交易期间，中国人民银行规定的同期贷款基准利率调高，证券公司将</w:t>
      </w:r>
      <w:bookmarkEnd w:id="1"/>
      <w:r>
        <w:rPr>
          <w:rFonts w:ascii="宋体" w:hAnsi="宋体" w:hint="eastAsia"/>
          <w:szCs w:val="21"/>
        </w:rPr>
        <w:t>相应调高融资利率或融券费率，投资成本也因为利率的上调而增加，将面临融资融券成本增加的风险。</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4）通知送达风险</w:t>
      </w:r>
    </w:p>
    <w:p>
      <w:pPr>
        <w:pStyle w:val="a-BR821136"/>
        <w:spacing w:line="360" w:lineRule="auto"/>
        <w:ind w:firstLine="420" w:firstLineChars="200"/>
        <w:rPr>
          <w:rFonts w:ascii="宋体" w:hAnsi="宋体"/>
          <w:szCs w:val="21"/>
        </w:rPr>
      </w:pPr>
      <w:r>
        <w:rPr>
          <w:rFonts w:ascii="宋体" w:hAnsi="宋体" w:hint="eastAsia"/>
          <w:szCs w:val="21"/>
        </w:rPr>
        <w:t>在融资融券交易过程中，相关信息的通知送达至关重要。《融资融券合同》中通常会约定通知送达的具体方式、内容和要求。当证券公司按照《融资融券合同》要求履行了通知义务后即视为送达，则若未能关注到通知内容并采取相应措施，就可能因此承担不利后果。</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5）强制平仓风险</w:t>
      </w:r>
    </w:p>
    <w:p>
      <w:pPr>
        <w:pStyle w:val="a-BR821136"/>
        <w:spacing w:line="360" w:lineRule="auto"/>
        <w:ind w:firstLine="420" w:firstLineChars="200"/>
        <w:rPr>
          <w:rFonts w:ascii="宋体" w:hAnsi="宋体"/>
          <w:szCs w:val="21"/>
        </w:rPr>
      </w:pPr>
      <w:r>
        <w:rPr>
          <w:rFonts w:ascii="宋体" w:hAnsi="宋体" w:hint="eastAsia"/>
          <w:szCs w:val="21"/>
        </w:rPr>
        <w:t>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对本基金担保资产执行强制平仓。平仓的品种、数量、价格、时机将不受本基金的控制，平仓的数量、金额可能超过本基金的全部负债，由此导致的一切损失，由本基金自行承担。</w:t>
      </w:r>
    </w:p>
    <w:p>
      <w:pPr>
        <w:pStyle w:val="a-BR821136"/>
        <w:spacing w:line="360" w:lineRule="auto"/>
        <w:ind w:firstLine="315" w:firstLineChars="150"/>
        <w:rPr>
          <w:rFonts w:ascii="宋体" w:hAnsi="宋体"/>
          <w:szCs w:val="21"/>
        </w:rPr>
      </w:pPr>
      <w:r>
        <w:rPr>
          <w:rFonts w:ascii="宋体" w:hAnsi="宋体" w:hint="eastAsia"/>
          <w:szCs w:val="21"/>
        </w:rPr>
        <w:t>（</w:t>
      </w:r>
      <w:r>
        <w:rPr>
          <w:rFonts w:ascii="宋体" w:hAnsi="宋体"/>
          <w:szCs w:val="21"/>
        </w:rPr>
        <w:t>6）提前了结债务的风险</w:t>
      </w:r>
    </w:p>
    <w:p>
      <w:pPr>
        <w:pStyle w:val="a-BR821136"/>
        <w:spacing w:line="360" w:lineRule="auto"/>
        <w:ind w:firstLine="420" w:firstLineChars="200"/>
        <w:rPr>
          <w:rFonts w:ascii="宋体" w:hAnsi="宋体"/>
          <w:szCs w:val="21"/>
        </w:rPr>
      </w:pPr>
      <w:r>
        <w:rPr>
          <w:rFonts w:ascii="宋体" w:hAnsi="宋体" w:hint="eastAsia"/>
          <w:szCs w:val="21"/>
        </w:rPr>
        <w:t>在融资融券交易中，证券公司可能在融资融券合同中与本基金约定提前了结融资融券债务的条款，本基金在从事融资融券交易期间，如果发生融资融券标的证券范围调整、标的证券暂停交易或终止上市等情况，根据本基金与证券公司签订的合同条款，本基金将可能面临被证券公司提前了结融资融券交易的风险，并可能由此给本基金造成损失。</w:t>
      </w:r>
    </w:p>
    <w:p>
      <w:pPr>
        <w:pStyle w:val="a-BR821136"/>
        <w:spacing w:line="360" w:lineRule="auto"/>
        <w:ind w:firstLine="315" w:firstLineChars="15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监管</w:t>
      </w:r>
      <w:bookmarkEnd w:id="2"/>
      <w:r>
        <w:rPr>
          <w:rFonts w:ascii="宋体" w:hAnsi="宋体"/>
          <w:szCs w:val="21"/>
        </w:rPr>
        <w:t>风险</w:t>
      </w:r>
    </w:p>
    <w:p>
      <w:pPr>
        <w:pStyle w:val="a-BR821136"/>
        <w:spacing w:line="360" w:lineRule="auto"/>
        <w:ind w:firstLine="420" w:firstLineChars="200"/>
        <w:rPr>
          <w:rFonts w:ascii="宋体" w:hAnsi="宋体"/>
          <w:szCs w:val="21"/>
        </w:rPr>
      </w:pPr>
      <w:r>
        <w:rPr>
          <w:rFonts w:ascii="宋体" w:hAnsi="宋体" w:hint="eastAsia"/>
          <w:szCs w:val="21"/>
        </w:rPr>
        <w:t>在融资融券交易出现异常或市场出现系统性风险时，监管部门、证券交易所和证券公司都将可能对融资融券交易采取相应措施，例如调整可充抵保证金证券的折算率、融资或融券保证金比例、维持担保比例</w:t>
      </w:r>
      <w:bookmarkEnd w:id="3"/>
      <w:r>
        <w:rPr>
          <w:rFonts w:ascii="宋体" w:hAnsi="宋体" w:hint="eastAsia"/>
          <w:szCs w:val="21"/>
        </w:rPr>
        <w:t>和强制平仓的条件等</w:t>
      </w:r>
      <w:bookmarkEnd w:id="12"/>
      <w:r>
        <w:rPr>
          <w:rFonts w:ascii="宋体" w:hAnsi="宋体" w:hint="eastAsia"/>
          <w:szCs w:val="21"/>
        </w:rPr>
        <w:t>，以维护市场平稳运行。这些措施将可能给本金带来杠杆效应降低、甚至提前进入追加担保物或强制平仓状态等潜在损失。</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8）</w:t>
      </w:r>
      <w:r>
        <w:rPr>
          <w:rFonts w:ascii="宋体" w:hAnsi="宋体" w:hint="eastAsia"/>
          <w:szCs w:val="21"/>
        </w:rPr>
        <w:t>资不抵债的风险</w:t>
      </w:r>
    </w:p>
    <w:p>
      <w:pPr>
        <w:pStyle w:val="a-BR821136"/>
        <w:spacing w:line="360" w:lineRule="auto"/>
        <w:ind w:firstLine="420" w:firstLineChars="200"/>
        <w:rPr>
          <w:rFonts w:ascii="宋体" w:hAnsi="宋体"/>
          <w:szCs w:val="21"/>
        </w:rPr>
      </w:pPr>
      <w:r>
        <w:rPr>
          <w:rFonts w:ascii="宋体" w:hAnsi="宋体" w:hint="eastAsia"/>
          <w:szCs w:val="21"/>
        </w:rPr>
        <w:t>融资融券交易属于本基金与证券公司之间资金和证券的借贷行为，本基金需要承担因自主投资决策产生的风险，当发生亏损时，因需向证券公司偿还融资融券本金及利息，除损失自有资金外，有可能发生资不抵债的情形。</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9）</w:t>
      </w:r>
      <w:r>
        <w:rPr>
          <w:rFonts w:ascii="宋体" w:hAnsi="宋体" w:hint="eastAsia"/>
          <w:szCs w:val="21"/>
        </w:rPr>
        <w:t>逆周期调节风险</w:t>
      </w:r>
    </w:p>
    <w:p>
      <w:pPr>
        <w:pStyle w:val="a-BR821136"/>
        <w:spacing w:line="360" w:lineRule="auto"/>
        <w:ind w:firstLine="420" w:firstLineChars="200"/>
        <w:rPr>
          <w:rFonts w:ascii="宋体" w:hAnsi="宋体"/>
          <w:szCs w:val="21"/>
        </w:rPr>
      </w:pPr>
      <w:r>
        <w:rPr>
          <w:rFonts w:ascii="宋体" w:hAnsi="宋体" w:hint="eastAsia"/>
          <w:szCs w:val="21"/>
        </w:rPr>
        <w:t>本基金开展融资融券业务期间，当证监会、证券交易所或证券公司根据市场情况实施逆周期调节，对保证金比例、标的证券范围、可充抵保证金的证券种类及折算率、补（平）仓维持担保比例、提取担保物的维持担保比例、补仓期限、平仓期限、接受单只担保股票的市值与该股票总市值的最大比例、客户担保物中单一证券市值的最大占比、合约展期应满足的条件等进行动态调整或发生标的证券或担保证券暂停交易或终止上市等情况，本基金将可能面临被证券公司提前了结融资融券交易、已获批的固定额度失效、保证金可用余额减少、无法提取担保物、合约无法展期、信用账户交易受限或担保物以强制平仓等形式被处分的风险，可能造成的损失由本基金自行承担。</w:t>
      </w:r>
    </w:p>
    <w:p>
      <w:pPr>
        <w:pStyle w:val="a-BR821136"/>
        <w:spacing w:line="360" w:lineRule="auto"/>
        <w:ind w:firstLine="420" w:firstLineChars="200"/>
        <w:rPr>
          <w:rFonts w:ascii="宋体" w:hAnsi="宋体"/>
          <w:szCs w:val="21"/>
        </w:rPr>
      </w:pPr>
      <w:r>
        <w:rPr>
          <w:rFonts w:ascii="宋体" w:hAnsi="宋体"/>
          <w:bCs/>
          <w:szCs w:val="21"/>
        </w:rPr>
        <w:t>9.7</w:t>
      </w:r>
      <w:r>
        <w:rPr>
          <w:rFonts w:ascii="宋体" w:hAnsi="宋体" w:hint="eastAsia"/>
          <w:szCs w:val="21"/>
        </w:rPr>
        <w:t>金融衍生品投资风险（如有）</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1）期货投资风险</w:t>
      </w:r>
    </w:p>
    <w:p>
      <w:pPr>
        <w:pStyle w:val="a-BR821136"/>
        <w:spacing w:line="360" w:lineRule="auto"/>
        <w:ind w:firstLine="420" w:firstLineChars="200"/>
        <w:rPr>
          <w:rFonts w:ascii="宋体" w:hAnsi="宋体"/>
          <w:szCs w:val="21"/>
        </w:rPr>
      </w:pPr>
      <w:r>
        <w:rPr>
          <w:rFonts w:ascii="宋体" w:hAnsi="宋体" w:hint="eastAsia"/>
          <w:szCs w:val="21"/>
        </w:rPr>
        <w:t>期货是一种高风险的投资工具，实行保证金交易制度，具有高杠杆性，高杠杆效应放大了价格波动风险。当出现不利行情时，标的资产价格微小的变动就可能会使基金财产遭受较大损失，在某些情况下损失的总额可能超过本基金的全部初始保证金以及追加保证金。这种投资工具具有以下特定风险：</w:t>
      </w:r>
    </w:p>
    <w:p>
      <w:pPr>
        <w:pStyle w:val="a-BR821136"/>
        <w:spacing w:line="360" w:lineRule="auto"/>
        <w:ind w:firstLine="420" w:firstLineChars="200"/>
        <w:rPr>
          <w:rFonts w:ascii="宋体" w:hAnsi="宋体"/>
          <w:szCs w:val="21"/>
        </w:rPr>
      </w:pPr>
      <w:r>
        <w:rPr>
          <w:rFonts w:ascii="宋体" w:hAnsi="宋体"/>
          <w:szCs w:val="21"/>
        </w:rPr>
        <w:t>1）流动性风险</w:t>
      </w:r>
    </w:p>
    <w:p>
      <w:pPr>
        <w:pStyle w:val="a-BR821136"/>
        <w:spacing w:line="360" w:lineRule="auto"/>
        <w:ind w:firstLine="420" w:firstLineChars="200"/>
        <w:rPr>
          <w:rFonts w:ascii="宋体" w:hAnsi="宋体"/>
          <w:szCs w:val="21"/>
        </w:rPr>
      </w:pPr>
      <w:r>
        <w:rPr>
          <w:rFonts w:ascii="宋体" w:hAnsi="宋体" w:hint="eastAsia"/>
          <w:szCs w:val="21"/>
        </w:rPr>
        <w:t>由于市场流动性差，期货交易难以迅速、及时、方便地成交所产生的风险。这种风险在建仓与平仓时表现得尤为突出。如建仓时，交易者难以在理想的时机和价位入市建仓，难以按预期构想操作，套期保值者不能建立最佳套期保值组合；平仓时则难以用对冲方式进行平仓，尤其是在期货价格呈连续单边走势，或临近交割，市场流动性降低，使交易者不能及时平仓，保证金有可能无法弥补全部损失，本基金必须承担由此导致的全部损失。</w:t>
      </w:r>
    </w:p>
    <w:p>
      <w:pPr>
        <w:pStyle w:val="a-BR821136"/>
        <w:spacing w:line="360" w:lineRule="auto"/>
        <w:ind w:firstLine="420" w:firstLineChars="200"/>
        <w:rPr>
          <w:rFonts w:ascii="宋体" w:hAnsi="宋体"/>
          <w:szCs w:val="21"/>
        </w:rPr>
      </w:pPr>
      <w:r>
        <w:rPr>
          <w:rFonts w:ascii="宋体" w:hAnsi="宋体"/>
          <w:szCs w:val="21"/>
        </w:rPr>
        <w:t>2）基差风险</w:t>
      </w:r>
    </w:p>
    <w:p>
      <w:pPr>
        <w:pStyle w:val="a-BR821136"/>
        <w:spacing w:line="360" w:lineRule="auto"/>
        <w:ind w:firstLine="420" w:firstLineChars="200"/>
        <w:rPr>
          <w:rFonts w:ascii="宋体" w:hAnsi="宋体"/>
          <w:szCs w:val="21"/>
        </w:rPr>
      </w:pPr>
      <w:r>
        <w:rPr>
          <w:rFonts w:ascii="宋体" w:hAnsi="宋体" w:hint="eastAsia"/>
          <w:szCs w:val="21"/>
        </w:rPr>
        <w:t>基差是指现货价格与期货价格之间的差额。若产品运作中出现基差波动不确定性加大、基差向不利方向变动等情况，则可能对本基金投资产生影响。</w:t>
      </w:r>
    </w:p>
    <w:p>
      <w:pPr>
        <w:pStyle w:val="a-BR821136"/>
        <w:spacing w:line="360" w:lineRule="auto"/>
        <w:ind w:firstLine="420" w:firstLineChars="200"/>
        <w:rPr>
          <w:rFonts w:ascii="宋体" w:hAnsi="宋体"/>
          <w:szCs w:val="21"/>
        </w:rPr>
      </w:pPr>
      <w:r>
        <w:rPr>
          <w:rFonts w:ascii="宋体" w:hAnsi="宋体"/>
          <w:szCs w:val="21"/>
        </w:rPr>
        <w:t>3）合约展期风险</w:t>
      </w:r>
    </w:p>
    <w:p>
      <w:pPr>
        <w:pStyle w:val="a-BR821136"/>
        <w:spacing w:line="360" w:lineRule="auto"/>
        <w:ind w:firstLine="420" w:firstLineChars="200"/>
        <w:rPr>
          <w:rFonts w:ascii="宋体" w:hAnsi="宋体"/>
          <w:szCs w:val="21"/>
        </w:rPr>
      </w:pPr>
      <w:r>
        <w:rPr>
          <w:rFonts w:ascii="宋体" w:hAnsi="宋体" w:hint="eastAsia"/>
          <w:szCs w:val="21"/>
        </w:rPr>
        <w:t>本基金所投资的期货合约主要包括期货当月和近月合约。当基金所持有的合约临近交割期限，即需要向较远月份的合约进行展期，展期过程中可能发生价差损失以及交易成本损失，将对投资收益产生影响。</w:t>
      </w:r>
    </w:p>
    <w:p>
      <w:pPr>
        <w:pStyle w:val="a-BR821136"/>
        <w:spacing w:line="360" w:lineRule="auto"/>
        <w:ind w:firstLine="420" w:firstLineChars="200"/>
        <w:rPr>
          <w:rFonts w:ascii="宋体" w:hAnsi="宋体"/>
          <w:szCs w:val="21"/>
        </w:rPr>
      </w:pPr>
      <w:r>
        <w:rPr>
          <w:rFonts w:ascii="宋体" w:hAnsi="宋体"/>
          <w:szCs w:val="21"/>
        </w:rPr>
        <w:t>4）期货保证金不足风险</w:t>
      </w:r>
    </w:p>
    <w:p>
      <w:pPr>
        <w:pStyle w:val="a-BR821136"/>
        <w:spacing w:line="360" w:lineRule="auto"/>
        <w:ind w:firstLine="420" w:firstLineChars="200"/>
        <w:rPr>
          <w:rFonts w:ascii="宋体" w:hAnsi="宋体"/>
          <w:szCs w:val="21"/>
        </w:rPr>
      </w:pPr>
      <w:r>
        <w:rPr>
          <w:rFonts w:ascii="宋体" w:hAnsi="宋体" w:hint="eastAsia"/>
          <w:szCs w:val="21"/>
        </w:rPr>
        <w:t>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p>
    <w:p>
      <w:pPr>
        <w:pStyle w:val="a-BR821136"/>
        <w:spacing w:line="360" w:lineRule="auto"/>
        <w:ind w:firstLine="420" w:firstLineChars="200"/>
        <w:rPr>
          <w:rFonts w:ascii="宋体" w:hAnsi="宋体"/>
          <w:szCs w:val="21"/>
        </w:rPr>
      </w:pPr>
      <w:r>
        <w:rPr>
          <w:rFonts w:ascii="宋体" w:hAnsi="宋体"/>
          <w:szCs w:val="21"/>
        </w:rPr>
        <w:t>5）杠杆风险</w:t>
      </w:r>
    </w:p>
    <w:p>
      <w:pPr>
        <w:pStyle w:val="a-BR821136"/>
        <w:spacing w:line="360" w:lineRule="auto"/>
        <w:ind w:firstLine="420" w:firstLineChars="200"/>
        <w:rPr>
          <w:rFonts w:ascii="宋体" w:hAnsi="宋体"/>
          <w:b/>
          <w:szCs w:val="21"/>
        </w:rPr>
      </w:pPr>
      <w:r>
        <w:rPr>
          <w:rFonts w:ascii="宋体" w:hAnsi="宋体" w:hint="eastAsia"/>
          <w:b/>
          <w:szCs w:val="21"/>
        </w:rPr>
        <w:t>期货作为金融衍生品，其投资收益与风险具有杠杆效应。当出现不利行情时，标的资产价格微小的变动可能会使基金资产遭受较大损失。若行情向不利方向剧烈变动，本基金可能承受超出保证金甚至基金资产本金的损失。</w:t>
      </w:r>
    </w:p>
    <w:p>
      <w:pPr>
        <w:pStyle w:val="a-BR821136"/>
        <w:spacing w:line="360" w:lineRule="auto"/>
        <w:ind w:firstLine="420" w:firstLineChars="200"/>
        <w:rPr>
          <w:rFonts w:ascii="宋体" w:hAnsi="宋体"/>
          <w:szCs w:val="21"/>
        </w:rPr>
      </w:pPr>
      <w:r>
        <w:rPr>
          <w:rFonts w:ascii="宋体" w:hAnsi="宋体"/>
          <w:szCs w:val="21"/>
        </w:rPr>
        <w:t>6</w:t>
      </w:r>
      <w:r>
        <w:rPr>
          <w:rFonts w:ascii="宋体" w:hAnsi="宋体" w:hint="eastAsia"/>
          <w:szCs w:val="21"/>
        </w:rPr>
        <w:t>）期货交易必须通过具有合法期货经纪业务资格的期货公司进行，基金财产所选择的期货公司在交易过程中存在违法违规经营行为，可能给基金财产带来损失。</w:t>
      </w:r>
    </w:p>
    <w:p>
      <w:pPr>
        <w:pStyle w:val="a-BR821136"/>
        <w:spacing w:line="360" w:lineRule="auto"/>
        <w:ind w:firstLine="420" w:firstLineChars="200"/>
        <w:rPr>
          <w:rFonts w:ascii="宋体" w:hAnsi="宋体"/>
          <w:szCs w:val="21"/>
        </w:rPr>
      </w:pPr>
      <w:r>
        <w:rPr>
          <w:rFonts w:ascii="宋体" w:hAnsi="宋体"/>
          <w:szCs w:val="21"/>
        </w:rPr>
        <w:t>7）</w:t>
      </w:r>
      <w:r>
        <w:rPr>
          <w:rFonts w:ascii="宋体" w:hAnsi="宋体" w:hint="eastAsia"/>
          <w:szCs w:val="21"/>
        </w:rPr>
        <w:t>期货交易和股票交易一样，行情系统、下单系统等可能出现技术故障，导致无法获得行情或无法下单；或者由于私募基金管理人在操作的过程中出现操作失误，都可能会造成基金财产的损失。</w:t>
      </w:r>
    </w:p>
    <w:p>
      <w:pPr>
        <w:pStyle w:val="a-BR821136"/>
        <w:spacing w:line="360" w:lineRule="auto"/>
        <w:ind w:firstLine="420" w:firstLineChars="200"/>
        <w:rPr>
          <w:rFonts w:ascii="宋体" w:hAnsi="宋体"/>
          <w:szCs w:val="21"/>
        </w:rPr>
      </w:pPr>
      <w:r>
        <w:rPr>
          <w:rFonts w:ascii="宋体" w:hAnsi="宋体"/>
          <w:szCs w:val="21"/>
        </w:rPr>
        <w:t>8）</w:t>
      </w:r>
      <w:r>
        <w:rPr>
          <w:rFonts w:ascii="宋体" w:hAnsi="宋体" w:hint="eastAsia"/>
          <w:szCs w:val="21"/>
        </w:rPr>
        <w:t>期货市场在运作中由于管理法规和机制不健全等原因，可能产生流动性风险、结算风险、交割风险等，该等风险都可能导致基金财产的损失。</w:t>
      </w:r>
    </w:p>
    <w:p>
      <w:pPr>
        <w:pStyle w:val="a-BR821136"/>
        <w:spacing w:line="360" w:lineRule="auto"/>
        <w:ind w:firstLine="420" w:firstLineChars="200"/>
        <w:rPr>
          <w:rFonts w:ascii="宋体" w:hAnsi="宋体"/>
          <w:szCs w:val="21"/>
        </w:rPr>
      </w:pPr>
      <w:r>
        <w:rPr>
          <w:rFonts w:ascii="宋体" w:hAnsi="宋体"/>
          <w:szCs w:val="21"/>
        </w:rPr>
        <w:t>9）</w:t>
      </w:r>
      <w:r>
        <w:rPr>
          <w:rFonts w:ascii="宋体" w:hAnsi="宋体" w:hint="eastAsia"/>
          <w:szCs w:val="21"/>
        </w:rPr>
        <w:t>由于国家法律、法规、政策的变化、期货交易所交易规则的修改、紧急措施的出台等原因，基金财产持有的未平仓合约可能无法继续持有，基金财产可能因此而导致损失。</w:t>
      </w:r>
    </w:p>
    <w:p>
      <w:pPr>
        <w:pStyle w:val="a-BR821136"/>
        <w:spacing w:line="360" w:lineRule="auto"/>
        <w:ind w:firstLine="420" w:firstLineChars="200"/>
        <w:rPr>
          <w:rFonts w:ascii="宋体" w:hAnsi="宋体"/>
          <w:b/>
          <w:szCs w:val="21"/>
        </w:rPr>
      </w:pPr>
      <w:r>
        <w:rPr>
          <w:rFonts w:ascii="宋体" w:hAnsi="宋体"/>
          <w:szCs w:val="21"/>
        </w:rPr>
        <w:t>10</w:t>
      </w:r>
      <w:r>
        <w:rPr>
          <w:rFonts w:ascii="宋体" w:hAnsi="宋体" w:hint="eastAsia"/>
          <w:szCs w:val="21"/>
        </w:rPr>
        <w:t>）由于数据传输延迟、中断等不可抗力情形导致的基金财产从事期货交易损失的风险。</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2）期权的投资风险</w:t>
      </w:r>
    </w:p>
    <w:p>
      <w:pPr>
        <w:pStyle w:val="a-BR821136"/>
        <w:spacing w:line="360" w:lineRule="auto"/>
        <w:ind w:firstLine="420" w:firstLineChars="200"/>
        <w:rPr>
          <w:rFonts w:ascii="宋体" w:hAnsi="宋体"/>
          <w:szCs w:val="21"/>
        </w:rPr>
      </w:pPr>
      <w:r>
        <w:rPr>
          <w:rFonts w:ascii="宋体" w:hAnsi="宋体"/>
          <w:szCs w:val="21"/>
        </w:rPr>
        <w:t>1）期权买方风险</w:t>
      </w:r>
    </w:p>
    <w:p>
      <w:pPr>
        <w:pStyle w:val="a-BR821136"/>
        <w:spacing w:line="360" w:lineRule="auto"/>
        <w:ind w:firstLine="420" w:firstLineChars="200"/>
        <w:rPr>
          <w:rFonts w:ascii="宋体" w:hAnsi="宋体"/>
          <w:szCs w:val="21"/>
        </w:rPr>
      </w:pPr>
      <w:r>
        <w:rPr>
          <w:rFonts w:ascii="宋体" w:hAnsi="宋体" w:hint="eastAsia"/>
          <w:szCs w:val="21"/>
        </w:rPr>
        <w:t>对于期权的买方来说，会面对在短期内损失所有期权购买费用的风险。期权的风险很大程度上取决于它的杠杆的大小，即相对于直接购买标的而言，它控制的标的更多，期权的杠杆越高，其获利或者损失的幅度也就越大。</w:t>
      </w:r>
    </w:p>
    <w:p>
      <w:pPr>
        <w:pStyle w:val="a-BR821136"/>
        <w:spacing w:line="360" w:lineRule="auto"/>
        <w:ind w:firstLine="420" w:firstLineChars="200"/>
        <w:rPr>
          <w:rFonts w:ascii="宋体" w:hAnsi="宋体"/>
          <w:szCs w:val="21"/>
        </w:rPr>
      </w:pPr>
      <w:r>
        <w:rPr>
          <w:rFonts w:ascii="宋体" w:hAnsi="宋体"/>
          <w:szCs w:val="21"/>
        </w:rPr>
        <w:t>2）期权卖方风险</w:t>
      </w:r>
    </w:p>
    <w:p>
      <w:pPr>
        <w:pStyle w:val="a-BR821136"/>
        <w:spacing w:line="360" w:lineRule="auto"/>
        <w:ind w:firstLine="420" w:firstLineChars="200"/>
        <w:rPr>
          <w:rFonts w:ascii="宋体" w:hAnsi="宋体"/>
          <w:szCs w:val="21"/>
        </w:rPr>
      </w:pPr>
      <w:r>
        <w:rPr>
          <w:rFonts w:ascii="宋体" w:hAnsi="宋体" w:hint="eastAsia"/>
          <w:szCs w:val="21"/>
        </w:rPr>
        <w:t>对于期权的卖方来说，如果一个期权在可以被行权时处于价内状态，期权卖方可以预期期权将会被行权，尤其是在快接近到期日的时候。当期权买方要求行权时，期权卖方必须卖出（在认购期权的情况下）或者购买（在认沽期权的情况下）标的。期权卖方的风险可以通过在期权市场上购买相同标的的其他期权来构建价差期权或者其他套期保值策略来降低或对冲；但是即便如此，风险仍然存在。</w:t>
      </w:r>
    </w:p>
    <w:p>
      <w:pPr>
        <w:pStyle w:val="a-BR821136"/>
        <w:spacing w:line="360" w:lineRule="auto"/>
        <w:ind w:firstLine="420" w:firstLineChars="200"/>
        <w:rPr>
          <w:rFonts w:ascii="宋体" w:hAnsi="宋体"/>
          <w:szCs w:val="21"/>
        </w:rPr>
      </w:pPr>
      <w:r>
        <w:rPr>
          <w:rFonts w:ascii="宋体" w:hAnsi="宋体"/>
          <w:szCs w:val="21"/>
        </w:rPr>
        <w:t>3）交易策略风险</w:t>
      </w:r>
    </w:p>
    <w:p>
      <w:pPr>
        <w:pStyle w:val="a-BR821136"/>
        <w:spacing w:line="360" w:lineRule="auto"/>
        <w:ind w:firstLine="420" w:firstLineChars="200"/>
        <w:rPr>
          <w:rFonts w:ascii="宋体" w:hAnsi="宋体"/>
          <w:szCs w:val="21"/>
        </w:rPr>
      </w:pPr>
      <w:r>
        <w:rPr>
          <w:rFonts w:ascii="宋体" w:hAnsi="宋体" w:hint="eastAsia"/>
          <w:szCs w:val="21"/>
        </w:rPr>
        <w:t>无备兑认购期权和认沽期权的卖方面临的风险非常大，只适合那些足够了解这些风险，有足够能力和意愿承受风险的投资者。组合期权交易，如买卖期权相结合等会给您带来额外的风险。组合期权，如价差期权比单独买入或卖出一个期权复杂的多，这本身就是一种风险。另外，新的期权策略一直在不断出现，它们的风险只有在交易和运作过程中才能显著的表现出来。对于那些很复杂的期权策略，它们的风险通常不能被很好的发现和描述。</w:t>
      </w:r>
    </w:p>
    <w:p>
      <w:pPr>
        <w:pStyle w:val="a-BR821136"/>
        <w:spacing w:line="360" w:lineRule="auto"/>
        <w:ind w:firstLine="420" w:firstLineChars="200"/>
        <w:rPr>
          <w:rFonts w:ascii="宋体" w:hAnsi="宋体"/>
          <w:szCs w:val="21"/>
        </w:rPr>
      </w:pPr>
      <w:r>
        <w:rPr>
          <w:rFonts w:ascii="宋体" w:hAnsi="宋体"/>
          <w:szCs w:val="21"/>
        </w:rPr>
        <w:t>4）交易及行权限制风险</w:t>
      </w:r>
    </w:p>
    <w:p>
      <w:pPr>
        <w:pStyle w:val="a-BR821136"/>
        <w:spacing w:line="360" w:lineRule="auto"/>
        <w:ind w:firstLine="420" w:firstLineChars="200"/>
        <w:rPr>
          <w:rFonts w:ascii="宋体" w:hAnsi="宋体"/>
          <w:szCs w:val="21"/>
        </w:rPr>
      </w:pPr>
      <w:r>
        <w:rPr>
          <w:rFonts w:ascii="宋体" w:hAnsi="宋体" w:hint="eastAsia"/>
          <w:szCs w:val="21"/>
        </w:rPr>
        <w:t>交易所可能会对期权合约的交易和行权进行一些限制。期权交易市场有权根据市场需要暂停期权交易。当某期权合约出现价格异常波动时，期权交易市场可以暂停该期权合约的交易。对于暂停交易的期权来说，交易所经常会行使这样的权利即限制行权。当期权交易中断或者被限制行权时，期权买方的头寸将会被锁定，直到限制解除或者期权重新开始交易。</w:t>
      </w:r>
    </w:p>
    <w:p>
      <w:pPr>
        <w:pStyle w:val="a-BR821136"/>
        <w:spacing w:line="360" w:lineRule="auto"/>
        <w:ind w:firstLine="420" w:firstLineChars="200"/>
        <w:rPr>
          <w:rFonts w:ascii="宋体" w:hAnsi="宋体"/>
          <w:szCs w:val="21"/>
        </w:rPr>
      </w:pPr>
      <w:r>
        <w:rPr>
          <w:rFonts w:ascii="宋体" w:hAnsi="宋体"/>
          <w:szCs w:val="21"/>
        </w:rPr>
        <w:t>5）流动性风险</w:t>
      </w:r>
    </w:p>
    <w:p>
      <w:pPr>
        <w:pStyle w:val="a-BR821136"/>
        <w:spacing w:line="360" w:lineRule="auto"/>
        <w:ind w:firstLine="420" w:firstLineChars="200"/>
        <w:rPr>
          <w:rFonts w:ascii="宋体" w:hAnsi="宋体"/>
          <w:szCs w:val="21"/>
        </w:rPr>
      </w:pPr>
      <w:r>
        <w:rPr>
          <w:rFonts w:ascii="宋体" w:hAnsi="宋体" w:hint="eastAsia"/>
          <w:szCs w:val="21"/>
        </w:rPr>
        <w:t>虽然交易所期望为期权买卖双方提供二级市场使其可以在到期前的任何时间进行平仓，但是无法保证任何时候所有期权合约都可以在市场中交易。投资者缺乏投资兴趣、流动性的变化或者其他因素都可能给某些期权合约市场的流动性、有效性、持续性甚至有序与否带来不利影响。交易所也可能会永久地停止某类期权或期权序列的交易。在一些特殊情况下交易所可能也会停止交易，例如交易量超过了交易所系统能够承担的交易或清算能力、系统故障、失火或自然灾害等都能够妨碍正常的市场交易。</w:t>
      </w:r>
    </w:p>
    <w:p>
      <w:pPr>
        <w:pStyle w:val="a-BR821136"/>
        <w:spacing w:line="360" w:lineRule="auto"/>
        <w:ind w:firstLine="420" w:firstLineChars="200"/>
        <w:rPr>
          <w:rFonts w:ascii="宋体" w:hAnsi="宋体"/>
          <w:szCs w:val="21"/>
        </w:rPr>
      </w:pPr>
      <w:r>
        <w:rPr>
          <w:rFonts w:ascii="宋体" w:hAnsi="宋体"/>
          <w:szCs w:val="21"/>
        </w:rPr>
        <w:t>6）价格波动风险</w:t>
      </w:r>
    </w:p>
    <w:p>
      <w:pPr>
        <w:pStyle w:val="a-BR821136"/>
        <w:spacing w:line="360" w:lineRule="auto"/>
        <w:ind w:firstLine="420" w:firstLineChars="200"/>
        <w:rPr>
          <w:rFonts w:ascii="宋体" w:hAnsi="宋体"/>
          <w:szCs w:val="21"/>
        </w:rPr>
      </w:pPr>
      <w:r>
        <w:rPr>
          <w:rFonts w:ascii="宋体" w:hAnsi="宋体" w:hint="eastAsia"/>
          <w:szCs w:val="21"/>
        </w:rPr>
        <w:t>在进行期权交易时，可能存在合约标的价格波动、期权价格波动及其他市场风险及其可能造成的损失，包括但不限于以下情形：由于期权标的价格波动导致期权不具行权价值，期权买方将损失付出的所有权利金；期权卖方由于需承担行权履约义务，因合约标的价格波动导致的损失可能远大于其收取的权利金。</w:t>
      </w:r>
    </w:p>
    <w:p>
      <w:pPr>
        <w:pStyle w:val="a-BR821136"/>
        <w:spacing w:line="360" w:lineRule="auto"/>
        <w:ind w:firstLine="420" w:firstLineChars="200"/>
        <w:rPr>
          <w:rFonts w:ascii="宋体" w:hAnsi="宋体"/>
          <w:szCs w:val="21"/>
        </w:rPr>
      </w:pPr>
      <w:r>
        <w:rPr>
          <w:rFonts w:ascii="宋体" w:hAnsi="宋体"/>
          <w:szCs w:val="21"/>
        </w:rPr>
        <w:t>7）</w:t>
      </w:r>
      <w:r>
        <w:rPr>
          <w:rFonts w:ascii="宋体" w:hAnsi="宋体" w:hint="eastAsia"/>
          <w:szCs w:val="21"/>
        </w:rPr>
        <w:t>持有风险</w:t>
      </w:r>
    </w:p>
    <w:p>
      <w:pPr>
        <w:pStyle w:val="a-BR821136"/>
        <w:spacing w:line="360" w:lineRule="auto"/>
        <w:ind w:firstLine="420" w:firstLineChars="200"/>
        <w:rPr>
          <w:rFonts w:ascii="宋体" w:hAnsi="宋体"/>
          <w:szCs w:val="21"/>
        </w:rPr>
      </w:pPr>
      <w:r>
        <w:rPr>
          <w:rFonts w:ascii="宋体" w:hAnsi="宋体" w:hint="eastAsia"/>
          <w:szCs w:val="21"/>
        </w:rPr>
        <w:t>由于期权价格还受交易剩余时间影响，交易剩余时间越短，行使权力的可能性越小，期权价值越小。因此，在持有期权期间，即使标的资产价格不变，持有权利的价值也在减小，即权利金亏损。</w:t>
      </w:r>
    </w:p>
    <w:p>
      <w:pPr>
        <w:pStyle w:val="a-BR821136"/>
        <w:spacing w:line="360" w:lineRule="auto"/>
        <w:ind w:firstLine="420" w:firstLineChars="200"/>
        <w:rPr>
          <w:rFonts w:ascii="宋体" w:hAnsi="宋体"/>
          <w:szCs w:val="21"/>
        </w:rPr>
      </w:pPr>
      <w:r>
        <w:rPr>
          <w:rFonts w:ascii="宋体" w:hAnsi="宋体"/>
          <w:szCs w:val="21"/>
        </w:rPr>
        <w:t>8）</w:t>
      </w:r>
      <w:r>
        <w:rPr>
          <w:rFonts w:ascii="宋体" w:hAnsi="宋体" w:hint="eastAsia"/>
          <w:szCs w:val="21"/>
        </w:rPr>
        <w:t>其他不可抗力情形所导致的基金财产从事期权交易损失的风险。</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3）场外衍生品</w:t>
      </w:r>
      <w:r>
        <w:rPr>
          <w:rFonts w:ascii="宋体" w:hAnsi="宋体" w:hint="eastAsia"/>
          <w:szCs w:val="21"/>
        </w:rPr>
        <w:t>（包括但不限于收益互换、场外期权、信用衍生品等）</w:t>
      </w:r>
      <w:r>
        <w:rPr>
          <w:rFonts w:ascii="宋体" w:hAnsi="宋体"/>
          <w:szCs w:val="21"/>
        </w:rPr>
        <w:t>风险</w:t>
      </w:r>
    </w:p>
    <w:p>
      <w:pPr>
        <w:pStyle w:val="a-BR821136"/>
        <w:spacing w:line="360" w:lineRule="auto"/>
        <w:ind w:firstLine="420" w:firstLineChars="200"/>
        <w:rPr>
          <w:rFonts w:ascii="宋体" w:hAnsi="宋体"/>
          <w:szCs w:val="21"/>
        </w:rPr>
      </w:pPr>
      <w:r>
        <w:rPr>
          <w:rFonts w:ascii="宋体" w:hAnsi="宋体"/>
          <w:szCs w:val="21"/>
        </w:rPr>
        <w:t>1）政策风险</w:t>
      </w:r>
    </w:p>
    <w:p>
      <w:pPr>
        <w:pStyle w:val="a-BR821136"/>
        <w:spacing w:line="360" w:lineRule="auto"/>
        <w:ind w:firstLine="420" w:firstLineChars="200"/>
        <w:rPr>
          <w:rFonts w:ascii="宋体" w:hAnsi="宋体"/>
          <w:szCs w:val="21"/>
        </w:rPr>
      </w:pPr>
      <w:r>
        <w:rPr>
          <w:rFonts w:ascii="宋体" w:hAnsi="宋体" w:hint="eastAsia"/>
          <w:szCs w:val="21"/>
        </w:rPr>
        <w:t>场外衍生品属于创新业务，监管部门可视业务的开展情况对相关政策和规定进行调整，引起场外衍生品业务相关规定、运作方式变化或者证券市场波动，从而给投资者带来损失的风险。</w:t>
      </w:r>
    </w:p>
    <w:p>
      <w:pPr>
        <w:pStyle w:val="a-BR821136"/>
        <w:spacing w:line="360" w:lineRule="auto"/>
        <w:ind w:firstLine="420" w:firstLineChars="200"/>
        <w:rPr>
          <w:rFonts w:ascii="宋体" w:hAnsi="宋体"/>
          <w:szCs w:val="21"/>
        </w:rPr>
      </w:pPr>
      <w:r>
        <w:rPr>
          <w:rFonts w:ascii="宋体" w:hAnsi="宋体"/>
          <w:szCs w:val="21"/>
        </w:rPr>
        <w:t>2）市场风险</w:t>
      </w:r>
    </w:p>
    <w:p>
      <w:pPr>
        <w:pStyle w:val="a-BR821136"/>
        <w:spacing w:line="360" w:lineRule="auto"/>
        <w:ind w:firstLine="420" w:firstLineChars="200"/>
        <w:rPr>
          <w:rFonts w:ascii="宋体" w:hAnsi="宋体"/>
          <w:szCs w:val="21"/>
        </w:rPr>
      </w:pPr>
      <w:r>
        <w:rPr>
          <w:rFonts w:ascii="宋体" w:hAnsi="宋体" w:hint="eastAsia"/>
          <w:szCs w:val="21"/>
        </w:rPr>
        <w:t>市场风险是指由于场外衍生品中挂钩标的的市场价格、市场利率、波动率或相关性等因素的变化，导致投资者收益不确定的风险。</w:t>
      </w:r>
    </w:p>
    <w:p>
      <w:pPr>
        <w:pStyle w:val="a-BR821136"/>
        <w:spacing w:line="360" w:lineRule="auto"/>
        <w:ind w:firstLine="420" w:firstLineChars="200"/>
        <w:rPr>
          <w:rFonts w:ascii="宋体" w:hAnsi="宋体"/>
          <w:szCs w:val="21"/>
        </w:rPr>
      </w:pPr>
      <w:r>
        <w:rPr>
          <w:rFonts w:ascii="宋体" w:hAnsi="宋体"/>
          <w:szCs w:val="21"/>
        </w:rPr>
        <w:t>3）交易对手不能履约的风险</w:t>
      </w:r>
    </w:p>
    <w:p>
      <w:pPr>
        <w:pStyle w:val="a-BR821136"/>
        <w:spacing w:line="360" w:lineRule="auto"/>
        <w:ind w:firstLine="420" w:firstLineChars="200"/>
        <w:rPr>
          <w:rFonts w:ascii="宋体" w:hAnsi="宋体"/>
          <w:szCs w:val="21"/>
        </w:rPr>
      </w:pPr>
      <w:r>
        <w:rPr>
          <w:rFonts w:ascii="宋体" w:hAnsi="宋体" w:hint="eastAsia"/>
          <w:szCs w:val="21"/>
        </w:rPr>
        <w:t>交易对手因停业、解散、撤销、破产，或者被有权机构撤销相关业务许可、责令停业整顿等原因不能履行场外衍生品中约定的义务，可能给投资者带来损失的风险。</w:t>
      </w:r>
    </w:p>
    <w:p>
      <w:pPr>
        <w:pStyle w:val="a-BR821136"/>
        <w:spacing w:line="360" w:lineRule="auto"/>
        <w:ind w:firstLine="420" w:firstLineChars="200"/>
        <w:rPr>
          <w:rFonts w:ascii="宋体" w:hAnsi="宋体"/>
          <w:szCs w:val="21"/>
        </w:rPr>
      </w:pPr>
      <w:r>
        <w:rPr>
          <w:rFonts w:ascii="宋体" w:hAnsi="宋体"/>
          <w:szCs w:val="21"/>
        </w:rPr>
        <w:t>4）杠杆风险</w:t>
      </w:r>
    </w:p>
    <w:p>
      <w:pPr>
        <w:pStyle w:val="a-BR821136"/>
        <w:spacing w:line="360" w:lineRule="auto"/>
        <w:ind w:firstLine="420" w:firstLineChars="200"/>
        <w:rPr>
          <w:rFonts w:ascii="宋体" w:hAnsi="宋体"/>
          <w:szCs w:val="21"/>
        </w:rPr>
      </w:pPr>
      <w:r>
        <w:rPr>
          <w:rFonts w:ascii="宋体" w:hAnsi="宋体" w:hint="eastAsia"/>
          <w:szCs w:val="21"/>
        </w:rPr>
        <w:t>场外衍生品作为一种保证金交易，其投资收益与风险具有杠杆效应，极端情况下，对外投资本金可能存在全部损失的风险。</w:t>
      </w:r>
      <w:bookmarkEnd w:id="14"/>
      <w:bookmarkEnd w:id="15"/>
      <w:bookmarkEnd w:id="17"/>
      <w:bookmarkEnd w:id="18"/>
    </w:p>
    <w:p>
      <w:pPr>
        <w:pStyle w:val="a-BR821136"/>
        <w:spacing w:line="360" w:lineRule="auto"/>
        <w:ind w:firstLine="420" w:firstLineChars="200"/>
        <w:rPr>
          <w:rFonts w:ascii="宋体" w:hAnsi="宋体"/>
          <w:b/>
          <w:szCs w:val="21"/>
        </w:rPr>
      </w:pPr>
      <w:r>
        <w:rPr>
          <w:rFonts w:ascii="宋体" w:hAnsi="宋体"/>
          <w:b/>
          <w:szCs w:val="21"/>
        </w:rPr>
        <w:t>5）</w:t>
      </w:r>
      <w:r>
        <w:rPr>
          <w:rFonts w:ascii="宋体" w:hAnsi="宋体" w:hint="eastAsia"/>
          <w:b/>
          <w:szCs w:val="21"/>
        </w:rPr>
        <w:t>流动性风险</w:t>
      </w:r>
    </w:p>
    <w:p>
      <w:pPr>
        <w:pStyle w:val="a-BR821136"/>
        <w:spacing w:line="360" w:lineRule="auto"/>
        <w:ind w:firstLine="420" w:firstLineChars="200"/>
        <w:rPr>
          <w:rFonts w:ascii="宋体" w:hAnsi="宋体"/>
          <w:szCs w:val="21"/>
        </w:rPr>
      </w:pPr>
      <w:r>
        <w:rPr>
          <w:rFonts w:ascii="宋体" w:hAnsi="宋体" w:hint="eastAsia"/>
          <w:szCs w:val="21"/>
        </w:rPr>
        <w:t>本基金可能在投资场外衍生品时，可能因估值材料、持仓比例等问题导致无法开放申购、赎回，详见“私募基金的申购、赎回和转让”章节。</w:t>
      </w:r>
    </w:p>
    <w:p>
      <w:pPr>
        <w:pStyle w:val="a-BR821136"/>
        <w:spacing w:line="360" w:lineRule="auto"/>
        <w:ind w:firstLine="420" w:firstLineChars="200"/>
        <w:contextualSpacing/>
        <w:rPr>
          <w:rFonts w:ascii="宋体" w:hAnsi="宋体"/>
          <w:szCs w:val="21"/>
        </w:rPr>
      </w:pPr>
      <w:r>
        <w:rPr>
          <w:rFonts w:ascii="宋体" w:hAnsi="宋体"/>
          <w:bCs/>
          <w:szCs w:val="21"/>
        </w:rPr>
        <w:t>9.8</w:t>
      </w:r>
      <w:r>
        <w:rPr>
          <w:rFonts w:ascii="宋体" w:hAnsi="宋体" w:hint="eastAsia"/>
          <w:szCs w:val="21"/>
        </w:rPr>
        <w:t>权证投资风险（如有）</w:t>
      </w:r>
    </w:p>
    <w:p>
      <w:pPr>
        <w:pStyle w:val="a-BR821136"/>
        <w:spacing w:line="360" w:lineRule="auto"/>
        <w:ind w:firstLine="420" w:firstLineChars="200"/>
        <w:contextualSpacing/>
        <w:rPr>
          <w:rFonts w:ascii="宋体" w:hAnsi="宋体"/>
          <w:szCs w:val="21"/>
        </w:rPr>
      </w:pPr>
      <w:r>
        <w:rPr>
          <w:rFonts w:ascii="宋体" w:hAnsi="宋体" w:hint="eastAsia"/>
          <w:szCs w:val="21"/>
        </w:rPr>
        <w:t>权证是一种高杠杆投资工具，在存续期间均会与标的证券的市场价格发生互动关系，标的证券市价的微小变化可能会引起权证价格的剧烈波动，进而可能使投资人权益受到影响。权证与绝大多数标的证券不同，有一定的存续期间，且时间价值会随着到期日的临近而递减，即使标的证券市场价格维持不变，权证价格仍有可能随着时间的变化而下跌甚至会变得毫无价值。</w:t>
      </w:r>
    </w:p>
    <w:p>
      <w:pPr>
        <w:pStyle w:val="a-BR821136"/>
        <w:spacing w:line="360" w:lineRule="auto"/>
        <w:ind w:firstLine="420" w:firstLineChars="200"/>
        <w:rPr>
          <w:rFonts w:ascii="宋体" w:hAnsi="宋体"/>
          <w:szCs w:val="21"/>
        </w:rPr>
      </w:pPr>
      <w:r>
        <w:rPr>
          <w:rFonts w:ascii="宋体" w:hAnsi="宋体"/>
          <w:bCs/>
          <w:szCs w:val="21"/>
        </w:rPr>
        <w:t>9.9</w:t>
      </w:r>
      <w:r>
        <w:rPr>
          <w:rFonts w:ascii="宋体" w:hAnsi="宋体"/>
          <w:szCs w:val="21"/>
        </w:rPr>
        <w:t>证券公司收益凭证风险</w:t>
      </w:r>
      <w:r>
        <w:rPr>
          <w:rFonts w:ascii="宋体" w:hAnsi="宋体" w:hint="eastAsia"/>
          <w:szCs w:val="21"/>
        </w:rPr>
        <w:t>（如有）</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1）收益凭证产品的相关风险</w:t>
      </w:r>
    </w:p>
    <w:p>
      <w:pPr>
        <w:pStyle w:val="a-BR821136"/>
        <w:spacing w:line="360" w:lineRule="auto"/>
        <w:ind w:firstLine="420" w:firstLineChars="200"/>
        <w:rPr>
          <w:rFonts w:ascii="宋体" w:hAnsi="宋体"/>
          <w:szCs w:val="21"/>
        </w:rPr>
      </w:pPr>
      <w:r>
        <w:rPr>
          <w:rFonts w:ascii="宋体" w:hAnsi="宋体"/>
          <w:szCs w:val="21"/>
        </w:rPr>
        <w:t>1）市场风险。市场风险是指利率、证券价格和外汇汇率等市场价格变动，影响收益凭证发行人收入或持有的金融工具的价值而形成的风险。</w:t>
      </w:r>
      <w:r>
        <w:rPr>
          <w:rFonts w:ascii="宋体" w:hAnsi="宋体" w:hint="eastAsia"/>
          <w:szCs w:val="21"/>
        </w:rPr>
        <w:t>如收益凭证产品挂钩特定标的，包括但不限于股权、债权、信用、基金、利率、汇率、指数、期货及基础商品，当收益凭证产品挂钩的特定标的市场价格发生剧烈波动时，可能导致本基金的收益凭证本金及收益发生损失。</w:t>
      </w:r>
    </w:p>
    <w:p>
      <w:pPr>
        <w:pStyle w:val="a-BR821136"/>
        <w:spacing w:line="360" w:lineRule="auto"/>
        <w:ind w:firstLine="420" w:firstLineChars="200"/>
        <w:rPr>
          <w:rFonts w:ascii="宋体" w:hAnsi="宋体"/>
          <w:szCs w:val="21"/>
        </w:rPr>
      </w:pPr>
      <w:r>
        <w:rPr>
          <w:rFonts w:ascii="宋体" w:hAnsi="宋体" w:hint="eastAsia"/>
          <w:szCs w:val="21"/>
        </w:rPr>
        <w:t>2</w:t>
      </w:r>
      <w:r>
        <w:rPr>
          <w:rFonts w:ascii="宋体" w:hAnsi="宋体"/>
          <w:szCs w:val="21"/>
        </w:rPr>
        <w:t>）流动性风险。在收益凭证产品到期前，</w:t>
      </w:r>
      <w:r>
        <w:rPr>
          <w:rFonts w:ascii="宋体" w:hAnsi="宋体" w:hint="eastAsia"/>
          <w:szCs w:val="21"/>
        </w:rPr>
        <w:t>本基金只能在认购协议约定的交易时间内通过收益凭证发行人柜台交易系统（或其他场所）进行转让，交易可能不活跃，导致本基金的转让需求可能无法满足；或者本期收益凭证产品未设赎回或交易条款，导致本基金在收益凭证产品到期前无法变现。</w:t>
      </w:r>
    </w:p>
    <w:p>
      <w:pPr>
        <w:pStyle w:val="a-BR821136"/>
        <w:spacing w:line="360" w:lineRule="auto"/>
        <w:ind w:firstLine="420" w:firstLineChars="200"/>
        <w:rPr>
          <w:rFonts w:ascii="宋体" w:hAnsi="宋体"/>
          <w:szCs w:val="21"/>
        </w:rPr>
      </w:pPr>
      <w:r>
        <w:rPr>
          <w:rFonts w:ascii="宋体" w:hAnsi="宋体" w:hint="eastAsia"/>
          <w:szCs w:val="21"/>
        </w:rPr>
        <w:t>3</w:t>
      </w:r>
      <w:r>
        <w:rPr>
          <w:rFonts w:ascii="宋体" w:hAnsi="宋体"/>
          <w:szCs w:val="21"/>
        </w:rPr>
        <w:t>）政策风险。收益凭证产品属于创新业务，监管部门可视业务的开展情况对相关政策和规定进行调整，引起收益凭证产品业务相关规定、运作方式变化或者证券市场波动，从而给投资者带来损失的风险。</w:t>
      </w:r>
    </w:p>
    <w:p>
      <w:pPr>
        <w:pStyle w:val="a-BR821136"/>
        <w:spacing w:line="360" w:lineRule="auto"/>
        <w:ind w:firstLine="420" w:firstLineChars="200"/>
        <w:rPr>
          <w:rFonts w:ascii="宋体" w:hAnsi="宋体"/>
          <w:szCs w:val="21"/>
        </w:rPr>
      </w:pPr>
      <w:r>
        <w:rPr>
          <w:rFonts w:ascii="宋体" w:hAnsi="宋体" w:hint="eastAsia"/>
          <w:szCs w:val="21"/>
        </w:rPr>
        <w:t>4）本基金投资非保本型收益凭证的，可能会遭受本金全部或部分亏损的风险。</w:t>
      </w:r>
    </w:p>
    <w:p>
      <w:pPr>
        <w:pStyle w:val="a-BR821136"/>
        <w:spacing w:line="360" w:lineRule="auto"/>
        <w:ind w:firstLine="420" w:firstLineChars="200"/>
        <w:rPr>
          <w:rFonts w:ascii="宋体" w:hAnsi="宋体"/>
          <w:szCs w:val="21"/>
        </w:rPr>
      </w:pPr>
      <w:r>
        <w:rPr>
          <w:rFonts w:ascii="宋体" w:hAnsi="宋体" w:hint="eastAsia"/>
        </w:rPr>
        <w:t>5）本基金可能在投资非保本型收益凭证时，可能因估值材料、持仓比例等问题导致无法开放申购、赎回，详见“私募基金的申购、赎回和转让”章节。</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2）与发行人有关的风险</w:t>
      </w:r>
    </w:p>
    <w:p>
      <w:pPr>
        <w:pStyle w:val="a-BR821136"/>
        <w:spacing w:line="360" w:lineRule="auto"/>
        <w:ind w:firstLine="420" w:firstLineChars="200"/>
        <w:rPr>
          <w:rFonts w:ascii="宋体" w:hAnsi="宋体"/>
          <w:szCs w:val="21"/>
        </w:rPr>
      </w:pPr>
      <w:r>
        <w:rPr>
          <w:rFonts w:ascii="宋体" w:hAnsi="宋体" w:hint="eastAsia"/>
          <w:szCs w:val="21"/>
        </w:rPr>
        <w:t>1</w:t>
      </w:r>
      <w:r>
        <w:rPr>
          <w:rFonts w:ascii="宋体" w:hAnsi="宋体"/>
          <w:szCs w:val="21"/>
        </w:rPr>
        <w:t>）流动性风险。</w:t>
      </w:r>
      <w:r>
        <w:rPr>
          <w:rFonts w:ascii="宋体" w:hAnsi="宋体" w:hint="eastAsia"/>
          <w:szCs w:val="21"/>
        </w:rPr>
        <w:t>如收益凭证发行人出现流动性短缺、无法及时获得充足资金的情况，在收益凭证产品到期时可能无法及时、全额支付，导致本基金的本金及收益发生损失。</w:t>
      </w:r>
    </w:p>
    <w:p>
      <w:pPr>
        <w:pStyle w:val="a-BR821136"/>
        <w:spacing w:line="360" w:lineRule="auto"/>
        <w:ind w:firstLine="420" w:firstLineChars="200"/>
        <w:rPr>
          <w:rFonts w:ascii="宋体" w:hAnsi="宋体"/>
          <w:szCs w:val="21"/>
        </w:rPr>
      </w:pPr>
      <w:r>
        <w:rPr>
          <w:rFonts w:ascii="宋体" w:hAnsi="宋体" w:hint="eastAsia"/>
          <w:szCs w:val="21"/>
        </w:rPr>
        <w:t>2</w:t>
      </w:r>
      <w:r>
        <w:rPr>
          <w:rFonts w:ascii="宋体" w:hAnsi="宋体"/>
          <w:szCs w:val="21"/>
        </w:rPr>
        <w:t>）信用风险。收益凭证产品以收益凭证发行人的信用发行。在收益凭证存续期间，收益凭证发行人可能发生解散、破产、无力清偿到期债务、资产被查封、冻结或强制执行等情形，将按照《破产法》规定的破产清算程序，在依法处置收益凭证发行人财产后，按照一</w:t>
      </w:r>
      <w:r>
        <w:rPr>
          <w:rFonts w:ascii="宋体" w:hAnsi="宋体" w:hint="eastAsia"/>
          <w:szCs w:val="21"/>
        </w:rPr>
        <w:t>般债权人顺序对本基金进行补偿，因此，在最不利情况下，本基金的收益凭证产品本金及收益可能无法按照认购协议约定偿付。</w:t>
      </w:r>
    </w:p>
    <w:p>
      <w:pPr>
        <w:pStyle w:val="a-BR821136"/>
        <w:spacing w:line="360" w:lineRule="auto"/>
        <w:ind w:firstLine="420" w:firstLineChars="200"/>
        <w:rPr>
          <w:rFonts w:ascii="宋体" w:hAnsi="宋体"/>
          <w:szCs w:val="21"/>
        </w:rPr>
      </w:pPr>
      <w:r>
        <w:rPr>
          <w:rFonts w:ascii="宋体" w:hAnsi="宋体" w:hint="eastAsia"/>
          <w:szCs w:val="21"/>
        </w:rPr>
        <w:t>3</w:t>
      </w:r>
      <w:r>
        <w:rPr>
          <w:rFonts w:ascii="宋体" w:hAnsi="宋体"/>
          <w:szCs w:val="21"/>
        </w:rPr>
        <w:t>）操作风险。由于收益凭证发行人内部管理流程缺陷、人员操作失误等事件，可能导致收益凭证认购、交易失败、资金划拨失败等，从而导致</w:t>
      </w:r>
      <w:r>
        <w:rPr>
          <w:rFonts w:ascii="宋体" w:hAnsi="宋体" w:hint="eastAsia"/>
          <w:szCs w:val="21"/>
        </w:rPr>
        <w:t>本基金的本金及收益发生损失。</w:t>
      </w:r>
    </w:p>
    <w:p>
      <w:pPr>
        <w:pStyle w:val="a-BR821136"/>
        <w:spacing w:line="360" w:lineRule="auto"/>
        <w:ind w:firstLine="420" w:firstLineChars="200"/>
        <w:rPr>
          <w:rFonts w:ascii="宋体" w:hAnsi="宋体"/>
          <w:szCs w:val="21"/>
        </w:rPr>
      </w:pPr>
      <w:r>
        <w:rPr>
          <w:rFonts w:ascii="宋体" w:hAnsi="宋体" w:hint="eastAsia"/>
          <w:szCs w:val="21"/>
        </w:rPr>
        <w:t>4</w:t>
      </w:r>
      <w:r>
        <w:rPr>
          <w:rFonts w:ascii="宋体" w:hAnsi="宋体"/>
          <w:szCs w:val="21"/>
        </w:rPr>
        <w:t>）信息技术系统风险。收益凭证发行人信息技术系统存在因不可抗力、软硬件故障、通讯系统中断、第三</w:t>
      </w:r>
      <w:r>
        <w:rPr>
          <w:rFonts w:ascii="宋体" w:hAnsi="宋体" w:hint="eastAsia"/>
          <w:szCs w:val="21"/>
        </w:rPr>
        <w:t>方服务不到位等原因无法正常运行的可能，从而可能影响其业务顺利开展；随着新业务的推出和公司业务规模的扩张，对信息技术系统的要求日益增强，收益凭证发行人可能存在因信息技术系统更新升级不及时对业务开展产生制约的风险。</w:t>
      </w:r>
    </w:p>
    <w:p>
      <w:pPr>
        <w:pStyle w:val="a-BR821136"/>
        <w:spacing w:line="360" w:lineRule="auto"/>
        <w:ind w:firstLine="420" w:firstLineChars="200"/>
        <w:rPr>
          <w:rFonts w:ascii="宋体" w:hAnsi="宋体"/>
          <w:szCs w:val="21"/>
        </w:rPr>
      </w:pPr>
      <w:r>
        <w:rPr>
          <w:rFonts w:ascii="宋体" w:hAnsi="宋体" w:hint="eastAsia"/>
          <w:szCs w:val="21"/>
        </w:rPr>
        <w:t>5</w:t>
      </w:r>
      <w:r>
        <w:rPr>
          <w:rFonts w:ascii="宋体" w:hAnsi="宋体"/>
          <w:szCs w:val="21"/>
        </w:rPr>
        <w:t>）不能履约风险。收益凭证发行人因停业、解散、撤销、破产，或者被有权机构撤销相关业务许可、责令停业整顿等原因不能履行收益品种产品相关协议中约定的义务，可能给投资者带来损失的风险。</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3）政策法律风险</w:t>
      </w:r>
    </w:p>
    <w:p>
      <w:pPr>
        <w:pStyle w:val="a-BR821136"/>
        <w:spacing w:line="360" w:lineRule="auto"/>
        <w:ind w:firstLine="420" w:firstLineChars="200"/>
        <w:rPr>
          <w:rFonts w:ascii="宋体" w:hAnsi="宋体"/>
          <w:szCs w:val="21"/>
        </w:rPr>
      </w:pPr>
      <w:r>
        <w:rPr>
          <w:rFonts w:ascii="宋体" w:hAnsi="宋体" w:hint="eastAsia"/>
          <w:szCs w:val="21"/>
        </w:rPr>
        <w:t>因国家宏观政策、金融政策、地方政府政策发生变化，或者现有法律缺位无法解决相关法律问题、个别地区执法环境不完善等，可能对收益凭证发行人产生不确定性影响，进而对收益凭证发行人正常的经营活动及收益凭证业务产生不利影响。</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4）不可抗力及意外事件风险</w:t>
      </w:r>
    </w:p>
    <w:p>
      <w:pPr>
        <w:pStyle w:val="a-BR821136"/>
        <w:spacing w:line="360" w:lineRule="auto"/>
        <w:ind w:firstLine="420" w:firstLineChars="200"/>
        <w:rPr>
          <w:rFonts w:ascii="宋体" w:hAnsi="宋体"/>
          <w:szCs w:val="21"/>
        </w:rPr>
      </w:pPr>
      <w:r>
        <w:rPr>
          <w:rFonts w:ascii="宋体" w:hAnsi="宋体" w:hint="eastAsia"/>
          <w:szCs w:val="21"/>
        </w:rPr>
        <w:t>自然灾害、社会动乱、战争等不能预见、不能避免、不能克服的不可抗力事件或监管部门暂停或停止交易等意外事件的出现，可能对收益凭证产品的成立、投资运作、资金返还、信息披露、公告通知等产生影响，导致收益凭证产品的本金及收益发生损失。对于不可抗力及意外事件风险导致的任何损失，投资者须自行承担。</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5）信息传递风险</w:t>
      </w:r>
    </w:p>
    <w:p>
      <w:pPr>
        <w:pStyle w:val="a-BR821136"/>
        <w:spacing w:line="360" w:lineRule="auto"/>
        <w:ind w:firstLine="420" w:firstLineChars="200"/>
        <w:rPr>
          <w:rFonts w:ascii="宋体" w:hAnsi="宋体"/>
          <w:szCs w:val="21"/>
        </w:rPr>
      </w:pPr>
      <w:r>
        <w:rPr>
          <w:rFonts w:ascii="宋体" w:hAnsi="宋体" w:hint="eastAsia"/>
          <w:szCs w:val="21"/>
        </w:rPr>
        <w:t>本基金可通过收益凭证发行人网站、收益凭证发行人柜台交易系统或中证机构间报价系统股份有限公司机构间私募产品报价与服务系统等，及时了解收益凭证产品的相关信息和公告，并充分理解相关交易规则及相关配套制度。如本基金未及时查询，或对交易规则和配套制度的理解不够准确，导致投资决策失误，可能导致本基金承担相应责任或风险。</w:t>
      </w:r>
    </w:p>
    <w:p>
      <w:pPr>
        <w:pStyle w:val="a-BR821136"/>
        <w:spacing w:line="360" w:lineRule="auto"/>
        <w:ind w:firstLine="420" w:firstLineChars="200"/>
        <w:contextualSpacing/>
        <w:rPr>
          <w:rFonts w:ascii="宋体"/>
          <w:szCs w:val="21"/>
        </w:rPr>
      </w:pPr>
      <w:r>
        <w:rPr>
          <w:rFonts w:ascii="宋体" w:hAnsi="宋体"/>
          <w:bCs/>
          <w:szCs w:val="21"/>
        </w:rPr>
        <w:t>9.10</w:t>
      </w:r>
      <w:r>
        <w:rPr>
          <w:rFonts w:ascii="宋体" w:hint="eastAsia"/>
          <w:szCs w:val="21"/>
        </w:rPr>
        <w:t>贵金属投资风险</w:t>
      </w:r>
      <w:r>
        <w:rPr>
          <w:rFonts w:ascii="宋体" w:hAnsi="宋体" w:hint="eastAsia"/>
          <w:szCs w:val="21"/>
        </w:rPr>
        <w:t>（如有）</w:t>
      </w:r>
    </w:p>
    <w:p>
      <w:pPr>
        <w:pStyle w:val="a-BR821136"/>
        <w:spacing w:line="360" w:lineRule="auto"/>
        <w:ind w:firstLine="420" w:firstLineChars="200"/>
        <w:rPr>
          <w:rFonts w:ascii="宋体"/>
          <w:szCs w:val="21"/>
        </w:rPr>
      </w:pPr>
      <w:r>
        <w:rPr>
          <w:rFonts w:ascii="宋体" w:hint="eastAsia"/>
          <w:szCs w:val="21"/>
        </w:rPr>
        <w:t>本产品可能投资贵金属，贵金属价格走势受到全球经济政策和经济发展影响，市场波动往往非常巨大，并且由于保证金交易的放大作用，很多投资者在瞬间就可能面临爆仓风险。</w:t>
      </w:r>
    </w:p>
    <w:p>
      <w:pPr>
        <w:pStyle w:val="a-BR821136"/>
        <w:spacing w:line="360" w:lineRule="auto"/>
        <w:ind w:firstLine="420" w:firstLineChars="200"/>
        <w:rPr>
          <w:rFonts w:ascii="宋体"/>
          <w:szCs w:val="21"/>
        </w:rPr>
      </w:pPr>
      <w:r>
        <w:rPr>
          <w:rFonts w:ascii="宋体"/>
          <w:bCs/>
          <w:szCs w:val="21"/>
        </w:rPr>
        <w:t>9.11</w:t>
      </w:r>
      <w:r>
        <w:rPr>
          <w:rFonts w:ascii="宋体" w:hint="eastAsia"/>
          <w:szCs w:val="21"/>
        </w:rPr>
        <w:t>转融通投资风险（如有）</w:t>
      </w:r>
    </w:p>
    <w:p>
      <w:pPr>
        <w:pStyle w:val="a-BR821136"/>
        <w:spacing w:line="360" w:lineRule="auto"/>
        <w:ind w:firstLine="420" w:firstLineChars="200"/>
        <w:rPr>
          <w:rFonts w:ascii="宋体"/>
          <w:szCs w:val="21"/>
        </w:rPr>
      </w:pPr>
      <w:r>
        <w:rPr>
          <w:rFonts w:ascii="宋体" w:hint="eastAsia"/>
          <w:szCs w:val="21"/>
        </w:rPr>
        <w:t>（</w:t>
      </w:r>
      <w:r>
        <w:rPr>
          <w:rFonts w:ascii="宋体"/>
          <w:szCs w:val="21"/>
        </w:rPr>
        <w:t>1</w:t>
      </w:r>
      <w:r>
        <w:rPr>
          <w:rFonts w:ascii="宋体" w:hint="eastAsia"/>
          <w:szCs w:val="21"/>
        </w:rPr>
        <w:t>）证券出借交易可能存在的信用风险、市场风险、流动性风险、权益补偿风险、操作风险、政策风险、技术风险等各类风险；</w:t>
      </w:r>
    </w:p>
    <w:p>
      <w:pPr>
        <w:pStyle w:val="a-BR821136"/>
        <w:spacing w:line="360" w:lineRule="auto"/>
        <w:ind w:firstLine="420" w:firstLineChars="200"/>
        <w:rPr>
          <w:rFonts w:ascii="宋体"/>
          <w:szCs w:val="21"/>
        </w:rPr>
      </w:pPr>
      <w:r>
        <w:rPr>
          <w:rFonts w:ascii="宋体" w:hint="eastAsia"/>
          <w:szCs w:val="21"/>
        </w:rPr>
        <w:t>（</w:t>
      </w:r>
      <w:r>
        <w:rPr>
          <w:rFonts w:ascii="宋体"/>
          <w:szCs w:val="21"/>
        </w:rPr>
        <w:t>2</w:t>
      </w:r>
      <w:r>
        <w:rPr>
          <w:rFonts w:ascii="宋体" w:hint="eastAsia"/>
          <w:szCs w:val="21"/>
        </w:rPr>
        <w:t>）证券出借后，无法在合约到期前提前收回出借证券，从而可能影响基金财产的使用；</w:t>
      </w:r>
    </w:p>
    <w:p>
      <w:pPr>
        <w:pStyle w:val="a-BR821136"/>
        <w:spacing w:line="360" w:lineRule="auto"/>
        <w:ind w:firstLine="420" w:firstLineChars="200"/>
        <w:rPr>
          <w:rFonts w:ascii="宋体"/>
          <w:szCs w:val="21"/>
        </w:rPr>
      </w:pPr>
      <w:r>
        <w:rPr>
          <w:rFonts w:ascii="宋体" w:hint="eastAsia"/>
          <w:szCs w:val="21"/>
        </w:rPr>
        <w:t>（</w:t>
      </w:r>
      <w:r>
        <w:rPr>
          <w:rFonts w:ascii="宋体"/>
          <w:szCs w:val="21"/>
        </w:rPr>
        <w:t>3</w:t>
      </w:r>
      <w:r>
        <w:rPr>
          <w:rFonts w:ascii="宋体" w:hint="eastAsia"/>
          <w:szCs w:val="21"/>
        </w:rPr>
        <w:t>）证券出借期间，如果发生标的证券暂停交易或者终止上市等情况，基金可能面临合约提前了结或者延迟了结等风险；</w:t>
      </w:r>
    </w:p>
    <w:p>
      <w:pPr>
        <w:pStyle w:val="a-BR821136"/>
        <w:spacing w:line="360" w:lineRule="auto"/>
        <w:ind w:firstLine="420" w:firstLineChars="200"/>
        <w:rPr>
          <w:rFonts w:ascii="宋体"/>
          <w:szCs w:val="21"/>
        </w:rPr>
      </w:pPr>
      <w:r>
        <w:rPr>
          <w:rFonts w:ascii="宋体" w:hint="eastAsia"/>
          <w:szCs w:val="21"/>
        </w:rPr>
        <w:t>（</w:t>
      </w:r>
      <w:r>
        <w:rPr>
          <w:rFonts w:ascii="宋体"/>
          <w:szCs w:val="21"/>
        </w:rPr>
        <w:t>4</w:t>
      </w:r>
      <w:r>
        <w:rPr>
          <w:rFonts w:ascii="宋体" w:hint="eastAsia"/>
          <w:szCs w:val="21"/>
        </w:rPr>
        <w:t>）基金出借的证券，可能存在到期不能归还、相应权益补偿和借券费用不能支付等风险。</w:t>
      </w:r>
    </w:p>
    <w:p>
      <w:pPr>
        <w:pStyle w:val="a-BR821136"/>
        <w:spacing w:line="360" w:lineRule="auto"/>
        <w:ind w:firstLine="420" w:firstLineChars="200"/>
        <w:rPr>
          <w:rFonts w:ascii="宋体" w:hAnsi="宋体"/>
          <w:szCs w:val="21"/>
        </w:rPr>
      </w:pPr>
      <w:r>
        <w:rPr>
          <w:rFonts w:ascii="宋体"/>
          <w:bCs/>
          <w:szCs w:val="21"/>
        </w:rPr>
        <w:t>9.12</w:t>
      </w:r>
      <w:r>
        <w:rPr>
          <w:rFonts w:ascii="宋体" w:hAnsi="宋体" w:hint="eastAsia"/>
          <w:szCs w:val="21"/>
        </w:rPr>
        <w:t>场外资产管理产品投资及净值波动风险（如有）</w:t>
      </w:r>
    </w:p>
    <w:p>
      <w:pPr>
        <w:pStyle w:val="a-BR821136"/>
        <w:autoSpaceDE w:val="0"/>
        <w:autoSpaceDN w:val="0"/>
        <w:adjustRightInd w:val="0"/>
        <w:spacing w:line="360" w:lineRule="auto"/>
        <w:ind w:firstLine="420"/>
        <w:rPr>
          <w:rFonts w:ascii="宋体" w:hAnsi="宋体"/>
          <w:szCs w:val="21"/>
        </w:rPr>
      </w:pPr>
      <w:r>
        <w:rPr>
          <w:rFonts w:ascii="宋体" w:hAnsi="宋体" w:hint="eastAsia"/>
          <w:szCs w:val="21"/>
        </w:rPr>
        <w:t>本基金可能投资于公开募集基金、银行理财产品、信托计划、证券公司及其子公司资产管理计划、保险公司及其子公司资产管理计划、期货公司及其子公司资产管理计划、基金公司及其子公司资产管理计划、于中国证券投资基金业协会官方网站公示已登记的私募基金管理人发行的私募基金等产品。</w:t>
      </w:r>
    </w:p>
    <w:p>
      <w:pPr>
        <w:pStyle w:val="a-BR821136"/>
        <w:autoSpaceDE w:val="0"/>
        <w:autoSpaceDN w:val="0"/>
        <w:adjustRightInd w:val="0"/>
        <w:spacing w:line="360" w:lineRule="auto"/>
        <w:ind w:firstLine="420"/>
        <w:rPr>
          <w:rFonts w:ascii="宋体" w:hAnsi="宋体"/>
          <w:szCs w:val="21"/>
        </w:rPr>
      </w:pPr>
      <w:r>
        <w:rPr>
          <w:rFonts w:ascii="宋体" w:hAnsi="宋体" w:hint="eastAsia"/>
          <w:szCs w:val="21"/>
        </w:rPr>
        <w:t>（1）私募基金管理人依据本合同约定行使因基金财产投资所产生的权利，当投资标的的产品要素（如投资范围、投资限制、预警止损、费用等）发生变更时，由私募基金管理人代表本基金签署同意或拒绝标的产品变更事项的文件，但可能出现本基金的基金份额持有人未能及时知悉相关情况的风险。</w:t>
      </w:r>
    </w:p>
    <w:p>
      <w:pPr>
        <w:pStyle w:val="a-BR821136"/>
        <w:spacing w:line="360" w:lineRule="auto"/>
        <w:ind w:firstLine="420" w:firstLineChars="200"/>
        <w:rPr>
          <w:rFonts w:ascii="宋体" w:hAnsi="宋体"/>
          <w:szCs w:val="21"/>
        </w:rPr>
      </w:pPr>
      <w:r>
        <w:rPr>
          <w:rFonts w:ascii="宋体" w:hAnsi="宋体" w:hint="eastAsia"/>
          <w:szCs w:val="21"/>
        </w:rPr>
        <w:t>（2）</w:t>
      </w:r>
      <w:r>
        <w:rPr>
          <w:rFonts w:ascii="宋体" w:hAnsi="宋体"/>
          <w:szCs w:val="21"/>
        </w:rPr>
        <w:t>此外</w:t>
      </w:r>
      <w:r>
        <w:rPr>
          <w:rFonts w:ascii="宋体" w:hAnsi="宋体" w:hint="eastAsia"/>
          <w:szCs w:val="21"/>
        </w:rPr>
        <w:t>，投资上述产品出现如下情形之一时，将可能导致本基金出现净值波动风险：</w:t>
      </w:r>
    </w:p>
    <w:p>
      <w:pPr>
        <w:pStyle w:val="a-BR821136"/>
        <w:spacing w:line="360" w:lineRule="auto"/>
        <w:ind w:firstLine="420" w:firstLineChars="200"/>
        <w:rPr>
          <w:rFonts w:ascii="宋体" w:hAnsi="宋体"/>
          <w:szCs w:val="21"/>
        </w:rPr>
      </w:pPr>
      <w:r>
        <w:rPr>
          <w:rFonts w:ascii="宋体" w:hAnsi="宋体"/>
          <w:szCs w:val="21"/>
        </w:rPr>
        <w:t>1）估值日无法及时获取上述投资品种的最新估值价格；</w:t>
      </w:r>
    </w:p>
    <w:p>
      <w:pPr>
        <w:pStyle w:val="a-BR821136"/>
        <w:spacing w:line="360" w:lineRule="auto"/>
        <w:ind w:firstLine="420" w:firstLineChars="200"/>
        <w:rPr>
          <w:rFonts w:ascii="宋体" w:hAnsi="宋体"/>
          <w:szCs w:val="21"/>
        </w:rPr>
      </w:pPr>
      <w:r>
        <w:rPr>
          <w:rFonts w:ascii="宋体" w:hAnsi="宋体"/>
          <w:szCs w:val="21"/>
        </w:rPr>
        <w:t>2）投资上述品种后无法及时确认，上述投资品种在投资确认前估值价格波动；</w:t>
      </w:r>
    </w:p>
    <w:p>
      <w:pPr>
        <w:pStyle w:val="a-BR821136"/>
        <w:spacing w:line="360" w:lineRule="auto"/>
        <w:ind w:firstLine="420" w:firstLineChars="200"/>
        <w:rPr>
          <w:rFonts w:ascii="宋体" w:hAnsi="宋体"/>
          <w:szCs w:val="21"/>
        </w:rPr>
      </w:pPr>
      <w:r>
        <w:rPr>
          <w:rFonts w:ascii="宋体" w:hAnsi="宋体"/>
          <w:szCs w:val="21"/>
        </w:rPr>
        <w:t>3）估值日取得的上述投资品种的最新估值价格没有或无法排除影响估值价格的因素（例如在估值日无法排除业绩报酬对估值价格的影响）</w:t>
      </w:r>
      <w:r>
        <w:rPr>
          <w:rFonts w:ascii="宋体" w:hAnsi="宋体" w:hint="eastAsia"/>
          <w:szCs w:val="21"/>
        </w:rPr>
        <w:t>。</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本基金投资的公募基金、银行理财产品、资产管理计划、信托计划、私募基金等产品可能由于其管理人的投资失误、买入标的市场表现不佳、风险控制失效等原因造成产品净值的下降，从而造成本基金净值的下降，最终导致本基金份额持有人资产损失。</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4</w:t>
      </w:r>
      <w:r>
        <w:rPr>
          <w:rFonts w:ascii="宋体" w:hAnsi="宋体" w:hint="eastAsia"/>
          <w:szCs w:val="21"/>
        </w:rPr>
        <w:t>）本基金的募集期、清算期与所投资的公募基金、银行理财产品、资产管理计划、信托计划、私募基金等产品的开放期可能不完全匹配，基金财产可能存在闲置情况。</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本基金投资的公募基金、银行理财产品、资产管理计划、信托计划、私募基金等产品，可能存在估值时间不一致、披露时间不一致的情况，本基金按照上述产品的最近的单位净值或本合同约定的其他方法进行估值。在本基金存续期间，本基金的估值可能无法反映真实投资管理情况。</w:t>
      </w:r>
    </w:p>
    <w:p>
      <w:pPr>
        <w:pStyle w:val="a-BR821136"/>
        <w:spacing w:line="360" w:lineRule="auto"/>
        <w:ind w:firstLine="420" w:firstLineChars="200"/>
        <w:rPr>
          <w:rFonts w:ascii="宋体" w:hAnsi="宋体"/>
          <w:szCs w:val="21"/>
        </w:rPr>
      </w:pPr>
      <w:r>
        <w:rPr>
          <w:rFonts w:ascii="宋体" w:hAnsi="宋体" w:hint="eastAsia"/>
          <w:szCs w:val="21"/>
        </w:rPr>
        <w:t>（</w:t>
      </w:r>
      <w:r>
        <w:rPr>
          <w:rFonts w:ascii="宋体" w:hAnsi="宋体"/>
          <w:szCs w:val="21"/>
        </w:rPr>
        <w:t>6</w:t>
      </w:r>
      <w:r>
        <w:rPr>
          <w:rFonts w:ascii="宋体" w:hAnsi="宋体" w:hint="eastAsia"/>
          <w:szCs w:val="21"/>
        </w:rPr>
        <w:t>）本基金的份额持有人需要承担双层费用，即本基金费用及本基金所投资的公募基金、银行理财产品、资产管理计划、信托计划、私募基金等产品自身需要承担的费用，例如认购费（参与费）、赎回费（退出费）、管理费、投资顾问费用（如有）、托管费及业绩报酬（如有）等，以上费用在计提时将会扣减本基金投资的上述</w:t>
      </w:r>
      <w:bookmarkEnd w:id="19"/>
      <w:r>
        <w:rPr>
          <w:rFonts w:ascii="宋体" w:hAnsi="宋体" w:hint="eastAsia"/>
          <w:szCs w:val="21"/>
        </w:rPr>
        <w:t>产品的净值，从而造成本基金净值下降。</w:t>
      </w:r>
    </w:p>
    <w:p>
      <w:pPr>
        <w:pStyle w:val="a-BR821136"/>
        <w:spacing w:line="360" w:lineRule="auto"/>
        <w:ind w:firstLine="420" w:firstLineChars="200"/>
        <w:rPr>
          <w:rFonts w:ascii="宋体" w:hAnsi="宋体"/>
          <w:szCs w:val="21"/>
        </w:rPr>
      </w:pPr>
      <w:r>
        <w:rPr>
          <w:rFonts w:ascii="宋体" w:hAnsi="宋体" w:hint="eastAsia"/>
          <w:szCs w:val="21"/>
        </w:rPr>
        <w:t>9</w:t>
      </w:r>
      <w:r>
        <w:rPr>
          <w:rFonts w:ascii="宋体" w:hAnsi="宋体"/>
          <w:szCs w:val="21"/>
        </w:rPr>
        <w:t>.13</w:t>
      </w:r>
      <w:r>
        <w:rPr>
          <w:rFonts w:ascii="宋体" w:hAnsi="宋体" w:hint="eastAsia"/>
          <w:szCs w:val="21"/>
        </w:rPr>
        <w:t>债券投资风险（如有）</w:t>
      </w:r>
    </w:p>
    <w:p>
      <w:pPr>
        <w:pStyle w:val="a-BR821136"/>
        <w:spacing w:line="360" w:lineRule="auto"/>
        <w:ind w:firstLine="420" w:firstLineChars="200"/>
        <w:rPr>
          <w:rFonts w:ascii="宋体" w:hAnsi="宋体"/>
          <w:szCs w:val="21"/>
        </w:rPr>
      </w:pPr>
      <w:r>
        <w:rPr>
          <w:rFonts w:ascii="宋体" w:hAnsi="宋体" w:hint="eastAsia"/>
          <w:szCs w:val="21"/>
        </w:rPr>
        <w:t>债券投资具有信用风险、市场风险、流动性风险、放大交易风险、标准券欠库风险、违约风险及其他各类风险。</w:t>
      </w:r>
    </w:p>
    <w:p>
      <w:pPr>
        <w:pStyle w:val="a-BR821136"/>
        <w:spacing w:line="360" w:lineRule="auto"/>
        <w:ind w:firstLine="420" w:firstLineChars="200"/>
        <w:rPr>
          <w:rFonts w:ascii="宋体" w:hAnsi="宋体"/>
          <w:szCs w:val="21"/>
        </w:rPr>
      </w:pPr>
      <w:r>
        <w:rPr>
          <w:rFonts w:ascii="宋体" w:hAnsi="宋体" w:hint="eastAsia"/>
          <w:szCs w:val="21"/>
        </w:rPr>
        <w:t>（1）信用风险，指债券发行人无法按期还本付息的风险。如果私募基金购买或持有资信评级较低的信用债，将面临显著的信用风险。</w:t>
      </w:r>
    </w:p>
    <w:p>
      <w:pPr>
        <w:pStyle w:val="a-BR821136"/>
        <w:spacing w:line="360" w:lineRule="auto"/>
        <w:ind w:firstLine="420" w:firstLineChars="200"/>
        <w:rPr>
          <w:rFonts w:ascii="宋体" w:hAnsi="宋体"/>
          <w:szCs w:val="21"/>
        </w:rPr>
      </w:pPr>
      <w:r>
        <w:rPr>
          <w:rFonts w:ascii="宋体" w:hAnsi="宋体" w:hint="eastAsia"/>
          <w:szCs w:val="21"/>
        </w:rPr>
        <w:t>（2）流动性风险，是指私募基金在短期内无法以合理价格买入或卖出债券，从而遭受损失的风险。</w:t>
      </w:r>
    </w:p>
    <w:p>
      <w:pPr>
        <w:pStyle w:val="a-BR821136"/>
        <w:spacing w:line="360" w:lineRule="auto"/>
        <w:ind w:firstLine="420" w:firstLineChars="200"/>
        <w:rPr>
          <w:rFonts w:ascii="宋体" w:hAnsi="宋体"/>
          <w:szCs w:val="21"/>
        </w:rPr>
      </w:pPr>
      <w:r>
        <w:rPr>
          <w:rFonts w:ascii="宋体" w:hAnsi="宋体" w:hint="eastAsia"/>
          <w:szCs w:val="21"/>
        </w:rPr>
        <w:t>（3）市场风险，由于市场环境或供求关系等因素导致的债券价格波动的风险。债券市场不同期限、不同类属债券之间的利差变动导致相应期限和类属债券价格变化的风险。</w:t>
      </w:r>
    </w:p>
    <w:p>
      <w:pPr>
        <w:pStyle w:val="a-BR821136"/>
        <w:spacing w:line="360" w:lineRule="auto"/>
        <w:ind w:firstLine="420" w:firstLineChars="200"/>
        <w:rPr>
          <w:rFonts w:ascii="宋体" w:hAnsi="宋体"/>
          <w:szCs w:val="21"/>
        </w:rPr>
      </w:pPr>
      <w:r>
        <w:rPr>
          <w:rFonts w:ascii="宋体" w:hAnsi="宋体" w:hint="eastAsia"/>
          <w:szCs w:val="21"/>
        </w:rPr>
        <w:t>（4）放大交易风险，私募基金利用现券和回购两个品种进行债券投资的放大操作，从而放大投资损失的风险。</w:t>
      </w:r>
    </w:p>
    <w:p>
      <w:pPr>
        <w:pStyle w:val="a-BR821136"/>
        <w:spacing w:line="360" w:lineRule="auto"/>
        <w:ind w:firstLine="420" w:firstLineChars="200"/>
        <w:rPr>
          <w:rFonts w:ascii="宋体" w:hAnsi="宋体"/>
          <w:szCs w:val="21"/>
        </w:rPr>
      </w:pPr>
      <w:r>
        <w:rPr>
          <w:rFonts w:ascii="宋体" w:hAnsi="宋体" w:hint="eastAsia"/>
          <w:szCs w:val="21"/>
        </w:rPr>
        <w:t>（5）标准券欠库风险，私募基金在回购期间需要保证回购标准券足额。如果回购期间债券价格下跌，标准券折算率相应下调，融资方面临标准券欠库风险。融资方需要及时补充质押券避免标准券不足。</w:t>
      </w:r>
    </w:p>
    <w:p>
      <w:pPr>
        <w:pStyle w:val="a-BR821136"/>
        <w:spacing w:line="360" w:lineRule="auto"/>
        <w:ind w:firstLine="420" w:firstLineChars="200"/>
        <w:rPr>
          <w:rFonts w:ascii="宋体" w:hAnsi="宋体"/>
          <w:szCs w:val="21"/>
        </w:rPr>
      </w:pPr>
      <w:r>
        <w:rPr>
          <w:rFonts w:ascii="宋体" w:hAnsi="宋体" w:hint="eastAsia"/>
          <w:szCs w:val="21"/>
        </w:rPr>
        <w:t>（6）违约风险，私募基金在回购期间因回购标准券使用率、回购放大倍数或资金交收等行为违反交易所规则及证券公司约定时，证券公司有权直接对投资者帐户内资金或证券进行处分，包括但不限于：限制交易和限制取款、冻结、强制平仓、扣划资金等，由此可能给私募基金造成经济损失。</w:t>
      </w:r>
    </w:p>
    <w:p>
      <w:pPr>
        <w:pStyle w:val="a-BR821136"/>
        <w:spacing w:line="360" w:lineRule="auto"/>
        <w:ind w:firstLine="420" w:firstLineChars="200"/>
        <w:rPr>
          <w:rFonts w:ascii="宋体" w:hAnsi="宋体"/>
          <w:szCs w:val="21"/>
        </w:rPr>
      </w:pPr>
      <w:r>
        <w:rPr>
          <w:rFonts w:ascii="宋体" w:hAnsi="宋体" w:hint="eastAsia"/>
          <w:szCs w:val="21"/>
        </w:rPr>
        <w:t>（7</w:t>
      </w:r>
      <w:r>
        <w:rPr>
          <w:rFonts w:ascii="宋体" w:hAnsi="宋体"/>
          <w:szCs w:val="21"/>
        </w:rPr>
        <w:t>）非公开发行债券的风险</w:t>
      </w:r>
    </w:p>
    <w:p>
      <w:pPr>
        <w:pStyle w:val="a-BR821136"/>
        <w:spacing w:line="360" w:lineRule="auto"/>
        <w:ind w:firstLine="420" w:firstLineChars="200"/>
        <w:rPr>
          <w:rFonts w:ascii="宋体" w:hAnsi="宋体"/>
          <w:szCs w:val="21"/>
        </w:rPr>
      </w:pPr>
      <w:r>
        <w:rPr>
          <w:rFonts w:ascii="宋体" w:hAnsi="宋体"/>
          <w:szCs w:val="21"/>
        </w:rPr>
        <w:t>1）由于非公开发行债券采取非公开发行的方式发行，即使在市场流动性比较好的情况下，个别债券的流动性可能较差，从而使得</w:t>
      </w:r>
      <w:r>
        <w:rPr>
          <w:rFonts w:ascii="宋体" w:hAnsi="宋体" w:hint="eastAsia"/>
          <w:szCs w:val="21"/>
        </w:rPr>
        <w:t>本基金在进行个券操作时，可能难以按计划买入或卖出相应的数量，或买入卖出行为对价格产生比较大的影响，增加个券的建仓成本或变现成本。</w:t>
      </w:r>
    </w:p>
    <w:p>
      <w:pPr>
        <w:pStyle w:val="a-BR821136"/>
        <w:spacing w:line="360" w:lineRule="auto"/>
        <w:ind w:firstLine="420" w:firstLineChars="200"/>
        <w:rPr>
          <w:rFonts w:ascii="宋体" w:hAnsi="宋体"/>
          <w:szCs w:val="21"/>
        </w:rPr>
      </w:pPr>
      <w:r>
        <w:rPr>
          <w:rFonts w:ascii="宋体" w:hAnsi="宋体"/>
          <w:szCs w:val="21"/>
        </w:rPr>
        <w:t>2）非公开发行债券的信用等级较一般债券较低，存在着发行人不能按时足额还本付息的风险，此外，当发行人信用评级降低时，</w:t>
      </w:r>
      <w:r>
        <w:rPr>
          <w:rFonts w:ascii="宋体" w:hAnsi="宋体" w:hint="eastAsia"/>
          <w:szCs w:val="21"/>
        </w:rPr>
        <w:t>本基金所投资的债券可能面临价格下跌风险。</w:t>
      </w:r>
    </w:p>
    <w:p>
      <w:pPr>
        <w:pStyle w:val="a-BR821136"/>
        <w:spacing w:line="360" w:lineRule="auto"/>
        <w:ind w:firstLine="420" w:firstLineChars="200"/>
        <w:rPr>
          <w:rFonts w:ascii="宋体" w:hAnsi="宋体"/>
          <w:szCs w:val="21"/>
        </w:rPr>
      </w:pPr>
      <w:r>
        <w:rPr>
          <w:rFonts w:ascii="宋体" w:hAnsi="宋体" w:hint="eastAsia"/>
          <w:szCs w:val="21"/>
        </w:rPr>
        <w:t>（8</w:t>
      </w:r>
      <w:r>
        <w:rPr>
          <w:rFonts w:ascii="宋体" w:hAnsi="宋体"/>
          <w:szCs w:val="21"/>
        </w:rPr>
        <w:t>）波动性风险：波动性风险主要存在于可转债的投资中，具体表现为可转债的价格受到其相对应股票价格波动的影响，同时可转</w:t>
      </w:r>
      <w:r>
        <w:rPr>
          <w:rFonts w:ascii="宋体" w:hAnsi="宋体" w:hint="eastAsia"/>
          <w:szCs w:val="21"/>
        </w:rPr>
        <w:t>债还有信用风险。</w:t>
      </w:r>
    </w:p>
    <w:p>
      <w:pPr>
        <w:pStyle w:val="a-BR821136"/>
        <w:spacing w:line="360" w:lineRule="auto"/>
        <w:ind w:firstLine="420" w:firstLineChars="200"/>
        <w:contextualSpacing/>
        <w:rPr>
          <w:rFonts w:asciiTheme="minorEastAsia" w:eastAsiaTheme="minorEastAsia" w:hAnsiTheme="minorEastAsia"/>
          <w:szCs w:val="21"/>
        </w:rPr>
      </w:pPr>
      <w:r>
        <w:rPr>
          <w:rFonts w:ascii="宋体" w:hAnsi="宋体"/>
          <w:szCs w:val="21"/>
        </w:rPr>
        <w:t>9.14</w:t>
      </w:r>
      <w:r>
        <w:rPr>
          <w:rFonts w:ascii="宋体" w:hAnsi="宋体" w:hint="eastAsia"/>
          <w:szCs w:val="21"/>
        </w:rPr>
        <w:t>投资于证券投资基金（公募）的风险（如有）</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1）流动性风险</w:t>
      </w:r>
    </w:p>
    <w:p>
      <w:pPr>
        <w:pStyle w:val="a-BR821136"/>
        <w:spacing w:line="360" w:lineRule="auto"/>
        <w:ind w:firstLine="420" w:firstLineChars="200"/>
        <w:contextualSpacing/>
        <w:rPr>
          <w:rFonts w:ascii="宋体" w:hAnsi="宋体"/>
          <w:szCs w:val="21"/>
        </w:rPr>
      </w:pPr>
      <w:r>
        <w:rPr>
          <w:rFonts w:ascii="宋体" w:hAnsi="宋体" w:hint="eastAsia"/>
          <w:szCs w:val="21"/>
        </w:rPr>
        <w:t>任何一种投资工具都存在流动性风险，亦即投资人在需要卖出时面临的变现困难和不能在适当价格上变现的风险。例如开放式基金在正常情况下投资者不存在由于在适当价位找不到买家的流动性风险，但当基金面临巨额赎回或暂停赎回的极端情况时，基金投资人有可能会承担无法赎回或因净值下跌而低价赎回的风险。</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2）基金投资风险</w:t>
      </w:r>
    </w:p>
    <w:p>
      <w:pPr>
        <w:pStyle w:val="a-BR821136"/>
        <w:spacing w:line="360" w:lineRule="auto"/>
        <w:ind w:firstLine="420" w:firstLineChars="200"/>
        <w:contextualSpacing/>
        <w:rPr>
          <w:rFonts w:asciiTheme="minorEastAsia" w:eastAsiaTheme="minorEastAsia" w:hAnsiTheme="minorEastAsia"/>
          <w:szCs w:val="21"/>
        </w:rPr>
      </w:pPr>
      <w:r>
        <w:rPr>
          <w:rFonts w:ascii="宋体" w:hAnsi="宋体" w:hint="eastAsia"/>
          <w:szCs w:val="21"/>
        </w:rPr>
        <w:t>证券投资基金本身的风险程度，因所确定的投资方向和所追求的目标不同而有所差异。如有的证券投资基金主要投资于成长潜力较强的小型股票，其风险程度就较高；</w:t>
      </w:r>
      <w:r>
        <w:rPr>
          <w:rFonts w:ascii="宋体" w:hAnsi="宋体"/>
          <w:szCs w:val="21"/>
        </w:rPr>
        <w:t>如有的证券投资基金主要投资于业绩稳定的股票或债券市场，其收益较稳定，风险相对较小。</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3）机构管理风险</w:t>
      </w:r>
    </w:p>
    <w:p>
      <w:pPr>
        <w:pStyle w:val="a-BR821136"/>
        <w:spacing w:line="360" w:lineRule="auto"/>
        <w:ind w:firstLine="420" w:firstLineChars="200"/>
        <w:contextualSpacing/>
        <w:rPr>
          <w:rFonts w:ascii="宋体" w:hAnsi="宋体"/>
          <w:szCs w:val="21"/>
        </w:rPr>
      </w:pPr>
      <w:r>
        <w:rPr>
          <w:rFonts w:ascii="宋体" w:hAnsi="宋体" w:hint="eastAsia"/>
          <w:szCs w:val="21"/>
        </w:rPr>
        <w:t>由于参与基金的成立、运作涉及不同的机构，如托管人、会计师事务所、基金管理人等，存在机构管理、运作上的风险。</w:t>
      </w:r>
    </w:p>
    <w:p>
      <w:pPr>
        <w:pStyle w:val="a-BR821136"/>
        <w:spacing w:line="360" w:lineRule="auto"/>
        <w:ind w:firstLine="420" w:firstLineChars="200"/>
        <w:contextualSpacing/>
        <w:rPr>
          <w:rFonts w:asciiTheme="minorEastAsia" w:eastAsiaTheme="minorEastAsia" w:hAnsiTheme="minorEastAsia"/>
          <w:szCs w:val="21"/>
        </w:rPr>
      </w:pPr>
      <w:r>
        <w:rPr>
          <w:rFonts w:ascii="宋体" w:hAnsi="宋体" w:hint="eastAsia"/>
          <w:szCs w:val="21"/>
        </w:rPr>
        <w:t>（</w:t>
      </w:r>
      <w:r>
        <w:rPr>
          <w:rFonts w:ascii="宋体" w:hAnsi="宋体"/>
          <w:szCs w:val="21"/>
        </w:rPr>
        <w:t>4）证券市场的各种风险</w:t>
      </w:r>
    </w:p>
    <w:p>
      <w:pPr>
        <w:pStyle w:val="a-BR821136"/>
        <w:spacing w:line="360" w:lineRule="auto"/>
        <w:ind w:firstLine="420" w:firstLineChars="200"/>
        <w:contextualSpacing/>
        <w:rPr>
          <w:rFonts w:ascii="宋体" w:hAnsi="宋体"/>
          <w:szCs w:val="21"/>
        </w:rPr>
      </w:pPr>
      <w:r>
        <w:rPr>
          <w:rFonts w:ascii="宋体" w:hAnsi="宋体" w:hint="eastAsia"/>
          <w:szCs w:val="21"/>
        </w:rPr>
        <w:t>国内国际政治、经济政策的变化都会引起证券市场价格波动，这些风险直接影响着证券市场，从而也影响到基金的收益和价格。</w:t>
      </w:r>
    </w:p>
    <w:p>
      <w:pPr>
        <w:pStyle w:val="a-BR821136"/>
        <w:spacing w:line="360" w:lineRule="auto"/>
        <w:ind w:firstLine="420" w:firstLineChars="200"/>
        <w:contextualSpacing/>
        <w:rPr>
          <w:rFonts w:ascii="宋体" w:hAnsi="宋体"/>
          <w:szCs w:val="21"/>
        </w:rPr>
      </w:pPr>
      <w:r>
        <w:rPr>
          <w:rFonts w:ascii="宋体" w:hAnsi="宋体" w:hint="eastAsia"/>
          <w:szCs w:val="21"/>
        </w:rPr>
        <w:t>（</w:t>
      </w:r>
      <w:r>
        <w:rPr>
          <w:rFonts w:ascii="宋体" w:hAnsi="宋体"/>
          <w:szCs w:val="21"/>
        </w:rPr>
        <w:t>5）不同种类基金的不同风险</w:t>
      </w:r>
    </w:p>
    <w:p>
      <w:pPr>
        <w:pStyle w:val="a-BR821136"/>
        <w:spacing w:line="360" w:lineRule="auto"/>
        <w:ind w:firstLine="420" w:firstLineChars="200"/>
        <w:contextualSpacing/>
        <w:rPr>
          <w:rFonts w:ascii="宋体" w:hAnsi="宋体"/>
          <w:szCs w:val="21"/>
        </w:rPr>
      </w:pPr>
      <w:r>
        <w:rPr>
          <w:rFonts w:ascii="宋体" w:hAnsi="宋体" w:hint="eastAsia"/>
          <w:szCs w:val="21"/>
        </w:rPr>
        <w:t>对于开放式基金，存在申购、赎回价格未知的风险。投资人在当日进行申购、赎回基金单位时，所参考的单位资产净值是基金上一个交易日的数据。而对于基金单位资产净值在自上一交易日至交易当日所发生的变化，投资人无法预知，因此投资人在申购、赎回时无法知道会以何价格成交。这种风险就是开放式基金的申购、赎回价格未知的风险。</w:t>
      </w:r>
    </w:p>
    <w:p>
      <w:pPr>
        <w:pStyle w:val="a-BR821136"/>
        <w:spacing w:line="360" w:lineRule="auto"/>
        <w:ind w:firstLine="420" w:firstLineChars="200"/>
        <w:contextualSpacing/>
        <w:rPr>
          <w:rFonts w:asciiTheme="minorEastAsia" w:eastAsiaTheme="minorEastAsia" w:hAnsiTheme="minorEastAsia"/>
          <w:szCs w:val="21"/>
        </w:rPr>
      </w:pPr>
      <w:r>
        <w:rPr>
          <w:rFonts w:ascii="宋体" w:hAnsi="宋体" w:hint="eastAsia"/>
          <w:szCs w:val="21"/>
        </w:rPr>
        <w:t>封闭式基金存在到期风险，封闭型基金到期清盘价便是基金到期时净资产值，市盈率对其没有任何意义。</w:t>
      </w:r>
    </w:p>
    <w:p>
      <w:pPr>
        <w:pStyle w:val="a-BR821136"/>
        <w:widowControl/>
        <w:spacing w:line="360" w:lineRule="auto"/>
        <w:ind w:firstLine="372" w:firstLineChars="177"/>
        <w:jc w:val="left"/>
        <w:rPr>
          <w:rFonts w:ascii="宋体" w:hAnsi="宋体"/>
          <w:szCs w:val="21"/>
        </w:rPr>
      </w:pPr>
      <w:r>
        <w:rPr>
          <w:rFonts w:ascii="宋体" w:hAnsi="宋体" w:hint="eastAsia"/>
          <w:szCs w:val="21"/>
        </w:rPr>
        <w:t>9</w:t>
      </w:r>
      <w:r>
        <w:rPr>
          <w:rFonts w:ascii="宋体" w:hAnsi="宋体"/>
          <w:szCs w:val="21"/>
        </w:rPr>
        <w:t>.15</w:t>
      </w:r>
      <w:r>
        <w:rPr>
          <w:rFonts w:ascii="宋体" w:hAnsi="宋体" w:hint="eastAsia"/>
          <w:szCs w:val="21"/>
        </w:rPr>
        <w:t>投资于债券正回购的风险（如有）</w:t>
      </w:r>
    </w:p>
    <w:p>
      <w:pPr>
        <w:pStyle w:val="a-BR821136"/>
        <w:spacing w:line="360" w:lineRule="auto"/>
        <w:ind w:firstLine="420" w:firstLineChars="200"/>
        <w:contextualSpacing/>
        <w:rPr>
          <w:rFonts w:asciiTheme="minorEastAsia" w:eastAsiaTheme="minorEastAsia" w:hAnsiTheme="minorEastAsia"/>
          <w:szCs w:val="21"/>
        </w:rPr>
      </w:pPr>
      <w:r>
        <w:rPr>
          <w:rFonts w:ascii="宋体" w:hAnsi="宋体" w:hint="eastAsia"/>
          <w:szCs w:val="21"/>
        </w:rPr>
        <w:t>本基金可参与债券正回购交易，在放大投资收益的同时也放大了投资风险，同时还须支付相应的利息和费用，由此承担的风险可能远远超过普通债券交易。</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（三）私募基金的其他风险</w:t>
      </w:r>
    </w:p>
    <w:p>
      <w:pPr>
        <w:pStyle w:val="a-BR821136"/>
        <w:tabs>
          <w:tab w:val="left" w:pos="1260"/>
        </w:tabs>
        <w:spacing w:line="360" w:lineRule="auto"/>
        <w:ind w:firstLine="420" w:firstLineChars="200"/>
        <w:rPr>
          <w:rFonts w:ascii="宋体" w:hAnsi="宋体"/>
          <w:szCs w:val="21"/>
        </w:rPr>
      </w:pPr>
      <w:r>
        <w:rPr>
          <w:rFonts w:ascii="宋体" w:hAnsi="宋体"/>
          <w:szCs w:val="21"/>
        </w:rPr>
        <w:t>1、操作或技术风险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相关当事人在业务各环节操作过程中，因内部控制存在缺陷或者人为因素造成操作失误或违反操作规程等引致的风险，例如，越权违规交易、会计部门欺诈、交易错误、</w:t>
      </w:r>
      <w:r>
        <w:rPr>
          <w:rFonts w:ascii="宋体" w:hAnsi="宋体"/>
          <w:szCs w:val="21"/>
        </w:rPr>
        <w:t>IT</w:t>
      </w:r>
      <w:r>
        <w:rPr>
          <w:rFonts w:ascii="宋体" w:hAnsi="宋体" w:hint="eastAsia"/>
          <w:szCs w:val="21"/>
        </w:rPr>
        <w:t>系统故障等风险。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在基金的各种交易行为或者后台运作中，可能因为技术系统的故障或者差错而影响交易的正常进行或者导致基金份额持有人的利益受到影响。这种技术风险可能来自私募基金管理人、基金份额登记机构、证券</w:t>
      </w:r>
      <w:r>
        <w:rPr>
          <w:rFonts w:ascii="宋体" w:hAnsi="宋体"/>
          <w:szCs w:val="21"/>
        </w:rPr>
        <w:t>/</w:t>
      </w:r>
      <w:r>
        <w:rPr>
          <w:rFonts w:ascii="宋体" w:hAnsi="宋体" w:hint="eastAsia"/>
          <w:szCs w:val="21"/>
        </w:rPr>
        <w:t>期货经纪机构、募集机构、证券交易所、登记结算机构等。</w:t>
      </w:r>
    </w:p>
    <w:p>
      <w:pPr>
        <w:pStyle w:val="a-BR821136"/>
        <w:tabs>
          <w:tab w:val="left" w:pos="1260"/>
        </w:tabs>
        <w:spacing w:line="360" w:lineRule="auto"/>
        <w:ind w:firstLine="420" w:firstLineChars="200"/>
        <w:rPr>
          <w:rFonts w:ascii="宋体" w:hAnsi="宋体"/>
          <w:szCs w:val="21"/>
        </w:rPr>
      </w:pPr>
      <w:r>
        <w:rPr>
          <w:rFonts w:ascii="宋体" w:hAnsi="宋体"/>
          <w:szCs w:val="21"/>
        </w:rPr>
        <w:t>2、相关机构的经营风险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）私募基金管理人经营风险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如在基金存续期间私募基金管理人无法</w:t>
      </w:r>
      <w:r>
        <w:rPr>
          <w:rFonts w:ascii="宋体" w:hAnsi="宋体" w:hint="eastAsia"/>
          <w:b/>
          <w:szCs w:val="21"/>
        </w:rPr>
        <w:t>正常</w:t>
      </w:r>
      <w:r>
        <w:rPr>
          <w:rFonts w:ascii="宋体" w:hAnsi="宋体" w:hint="eastAsia"/>
          <w:szCs w:val="21"/>
        </w:rPr>
        <w:t>经营基金业务，则可能会对基金产生不利影响</w:t>
      </w:r>
      <w:r>
        <w:rPr>
          <w:rFonts w:ascii="宋体" w:hAnsi="宋体" w:hint="eastAsia"/>
          <w:b/>
          <w:szCs w:val="21"/>
        </w:rPr>
        <w:t>，包括但不限于无法正常为投资者办理赎回业务、无法对基金资产进行估值、无法正常进行投资操作、无法按照合同约定发起正常清算操作、无法正常对基金资产进行变现以及无法正常履行本合同项下的其他义务等</w:t>
      </w:r>
      <w:r>
        <w:rPr>
          <w:rFonts w:ascii="宋体" w:hAnsi="宋体" w:hint="eastAsia"/>
          <w:szCs w:val="21"/>
        </w:rPr>
        <w:t>。</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）私募基金托管人经营风险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如在基金存续期间私募基金托管人无法继续从事托管业务，则可能会对基金产生不利影响。</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w:t>
      </w:r>
      <w:r>
        <w:rPr>
          <w:rFonts w:ascii="宋体" w:hAnsi="宋体"/>
          <w:szCs w:val="21"/>
        </w:rPr>
        <w:t>3</w:t>
      </w:r>
      <w:r>
        <w:rPr>
          <w:rFonts w:ascii="宋体" w:hAnsi="宋体" w:hint="eastAsia"/>
          <w:szCs w:val="21"/>
        </w:rPr>
        <w:t>）证券</w:t>
      </w:r>
      <w:r>
        <w:rPr>
          <w:rFonts w:ascii="宋体" w:hAnsi="宋体"/>
          <w:szCs w:val="21"/>
        </w:rPr>
        <w:t>/</w:t>
      </w:r>
      <w:r>
        <w:rPr>
          <w:rFonts w:ascii="宋体" w:hAnsi="宋体" w:hint="eastAsia"/>
          <w:szCs w:val="21"/>
        </w:rPr>
        <w:t>期货经纪机构经营风险</w:t>
      </w:r>
    </w:p>
    <w:p>
      <w:pPr>
        <w:pStyle w:val="a-BR821136"/>
        <w:tabs>
          <w:tab w:val="left" w:pos="1260"/>
        </w:tabs>
        <w:spacing w:line="360" w:lineRule="auto"/>
        <w:ind w:firstLine="420" w:firstLineChars="200"/>
        <w:rPr>
          <w:rFonts w:ascii="宋体" w:hAnsi="宋体"/>
          <w:szCs w:val="21"/>
        </w:rPr>
      </w:pPr>
      <w:r>
        <w:rPr>
          <w:rFonts w:ascii="宋体" w:hAnsi="宋体" w:hint="eastAsia"/>
          <w:szCs w:val="21"/>
        </w:rPr>
        <w:t>如在基金存续期间证券</w:t>
      </w:r>
      <w:r>
        <w:rPr>
          <w:rFonts w:ascii="宋体" w:hAnsi="宋体"/>
          <w:szCs w:val="21"/>
        </w:rPr>
        <w:t>/</w:t>
      </w:r>
      <w:r>
        <w:rPr>
          <w:rFonts w:ascii="宋体" w:hAnsi="宋体" w:hint="eastAsia"/>
          <w:szCs w:val="21"/>
        </w:rPr>
        <w:t>期货经纪机构无法继续从事证券</w:t>
      </w:r>
      <w:r>
        <w:rPr>
          <w:rFonts w:ascii="宋体" w:hAnsi="宋体"/>
          <w:szCs w:val="21"/>
        </w:rPr>
        <w:t>/</w:t>
      </w:r>
      <w:r>
        <w:rPr>
          <w:rFonts w:ascii="宋体" w:hAnsi="宋体" w:hint="eastAsia"/>
          <w:szCs w:val="21"/>
        </w:rPr>
        <w:t>期货业务，则可能会对基金产生不利影响。</w:t>
      </w:r>
    </w:p>
    <w:p>
      <w:pPr>
        <w:pStyle w:val="a-BR821136"/>
        <w:tabs>
          <w:tab w:val="left" w:pos="1260"/>
        </w:tabs>
        <w:spacing w:line="360" w:lineRule="auto"/>
        <w:ind w:firstLine="420" w:firstLineChars="200"/>
        <w:rPr>
          <w:rFonts w:ascii="宋体" w:hAnsi="宋体"/>
          <w:szCs w:val="21"/>
        </w:rPr>
      </w:pPr>
      <w:r>
        <w:rPr>
          <w:rFonts w:ascii="宋体" w:hAnsi="宋体" w:hint="eastAsia"/>
        </w:rPr>
        <w:t>证券及期货经纪服务机构由</w:t>
      </w:r>
      <w:r>
        <w:rPr>
          <w:rFonts w:ascii="宋体" w:hAnsi="宋体" w:hint="eastAsia"/>
          <w:szCs w:val="21"/>
        </w:rPr>
        <w:t>私募基金</w:t>
      </w:r>
      <w:r>
        <w:rPr>
          <w:rFonts w:ascii="宋体" w:hAnsi="宋体" w:hint="eastAsia"/>
        </w:rPr>
        <w:t>管理人自行聘任，私募基金管理人委托其向私募基金托管人提供基金参与证券、期货交易的相关数据及凭证。若因私募基金管理人、经纪服务机构或交易所、登记公司、股转系统等原因导致私募基金托管人未能及时、完整、准确获得交易数据或凭证，影响私募基金托管人履行投资监督、估值核算、账目核对等职责的，可能造成</w:t>
      </w:r>
      <w:r>
        <w:rPr>
          <w:rFonts w:ascii="宋体" w:hAnsi="宋体" w:hint="eastAsia"/>
          <w:szCs w:val="21"/>
        </w:rPr>
        <w:t>基金份额持有人</w:t>
      </w:r>
      <w:r>
        <w:rPr>
          <w:rFonts w:ascii="宋体" w:hAnsi="宋体" w:hint="eastAsia"/>
        </w:rPr>
        <w:t>财产损失，私募基金托管人不承担责任。</w:t>
      </w:r>
    </w:p>
    <w:p>
      <w:pPr>
        <w:pStyle w:val="a-BR821136"/>
        <w:tabs>
          <w:tab w:val="left" w:pos="1260"/>
        </w:tabs>
        <w:spacing w:line="360" w:lineRule="auto"/>
        <w:ind w:firstLine="420" w:firstLineChars="200"/>
        <w:rPr>
          <w:rFonts w:ascii="宋体" w:hAnsi="宋体"/>
          <w:szCs w:val="21"/>
        </w:rPr>
      </w:pPr>
      <w:r>
        <w:rPr>
          <w:rFonts w:ascii="宋体" w:hAnsi="宋体"/>
          <w:szCs w:val="21"/>
        </w:rPr>
        <w:t>3、战争、自然灾害等不可抗力因素的出现，将会严重影响证券市场的运行，可能导致基金财产的损失。</w:t>
      </w:r>
    </w:p>
    <w:p>
      <w:pPr>
        <w:pStyle w:val="a-BR821136"/>
        <w:tabs>
          <w:tab w:val="left" w:pos="1260"/>
        </w:tabs>
        <w:spacing w:line="360" w:lineRule="auto"/>
        <w:ind w:firstLine="420" w:firstLineChars="200"/>
        <w:rPr>
          <w:rFonts w:ascii="宋体" w:hAnsi="宋体"/>
          <w:szCs w:val="21"/>
        </w:rPr>
      </w:pPr>
      <w:r>
        <w:rPr>
          <w:rFonts w:ascii="宋体" w:hAnsi="宋体"/>
          <w:szCs w:val="21"/>
        </w:rPr>
        <w:t>4、金融市场危机、行业竞争、代理商违约等超出私募基金管理人自身直接控制能力之外的风险，也可能导致基金投资者利益受损。</w:t>
      </w:r>
    </w:p>
    <w:p>
      <w:pPr>
        <w:pStyle w:val="a-BR821136"/>
        <w:tabs>
          <w:tab w:val="left" w:pos="1260"/>
        </w:tabs>
        <w:spacing w:line="360" w:lineRule="auto"/>
        <w:ind w:firstLine="420" w:firstLineChars="200"/>
        <w:rPr>
          <w:rFonts w:ascii="宋体" w:hAnsi="宋体"/>
          <w:szCs w:val="21"/>
        </w:rPr>
      </w:pPr>
      <w:r>
        <w:rPr>
          <w:rFonts w:ascii="宋体" w:hAnsi="宋体"/>
          <w:szCs w:val="21"/>
        </w:rPr>
        <w:t>5、法律法规、监管政策、业务规则风险。本基金存续期限内，立法机构、监管机构、行业协会、交易所、证券登记结算机构等可能对现行有效的法律、法规、规章、规范性文件、监管政策、行业规定、自律规则、业务规则等进行调整、修订、增删、废止、解释，或发布新的私募投资基金监管规范、行业规定等，则本基金合同及相关基金运作规则可能需进行相应的调整，可能对投资者权益产生影响。就上述对基金合同或基金运作规则的调整，私募基金管理人经与私募基金托管人协商一致后有权实施，私募基金管理人应将调整事项和内容及时通知基金投资者。</w:t>
      </w:r>
    </w:p>
    <w:p>
      <w:pPr>
        <w:pStyle w:val="a-BR821136"/>
        <w:tabs>
          <w:tab w:val="left" w:pos="1260"/>
        </w:tabs>
        <w:spacing w:line="360" w:lineRule="auto"/>
        <w:ind w:firstLine="420" w:firstLineChars="200"/>
        <w:rPr>
          <w:szCs w:val="21"/>
        </w:rPr>
      </w:pPr>
      <w:r>
        <w:rPr>
          <w:szCs w:val="21"/>
        </w:rPr>
        <w:t>6</w:t>
      </w:r>
      <w:r>
        <w:rPr>
          <w:rFonts w:hint="eastAsia"/>
          <w:szCs w:val="21"/>
        </w:rPr>
        <w:t>、本基金可能面临其他不可预知、不可防范的风险。</w:t>
      </w:r>
    </w:p>
    <w:p>
      <w:pPr>
        <w:pStyle w:val="a7-BR375040"/>
        <w:rPr>
          <w:sz w:val="21"/>
          <w:szCs w:val="21"/>
        </w:rPr>
      </w:pPr>
      <w:bookmarkStart w:id="36" w:name="_Toc256000020"/>
      <w:r>
        <w:rPr>
          <w:rFonts w:hint="eastAsia"/>
          <w:sz w:val="21"/>
          <w:szCs w:val="21"/>
        </w:rPr>
        <w:t>二十、基金有关文件档案的保存</w:t>
      </w:r>
      <w:bookmarkEnd w:id="36"/>
    </w:p>
    <w:p>
      <w:pPr>
        <w:pStyle w:val="a-BR375040"/>
        <w:tabs>
          <w:tab w:val="left" w:pos="1260"/>
        </w:tabs>
        <w:spacing w:line="360" w:lineRule="auto"/>
        <w:ind w:firstLine="420" w:firstLineChars="200"/>
        <w:rPr>
          <w:rFonts w:ascii="宋体" w:hAnsi="宋体"/>
          <w:kern w:val="0"/>
          <w:szCs w:val="21"/>
        </w:rPr>
      </w:pPr>
      <w:r>
        <w:rPr>
          <w:rFonts w:ascii="宋体" w:hAnsi="宋体" w:hint="eastAsia"/>
          <w:kern w:val="0"/>
          <w:szCs w:val="21"/>
        </w:rPr>
        <w:t>私募基金管理人和私募基金托管人应按各自职责完整保存重要资料等，保存期限参照现行有效的法律法规规定执行。</w:t>
      </w:r>
    </w:p>
    <w:p>
      <w:pPr>
        <w:pStyle w:val="a-BR375040"/>
        <w:tabs>
          <w:tab w:val="left" w:pos="1260"/>
        </w:tabs>
        <w:spacing w:line="360" w:lineRule="auto"/>
        <w:ind w:firstLine="420" w:firstLineChars="200"/>
        <w:rPr>
          <w:rFonts w:ascii="宋体" w:hAnsi="宋体"/>
          <w:kern w:val="0"/>
          <w:szCs w:val="21"/>
        </w:rPr>
      </w:pPr>
      <w:r>
        <w:rPr>
          <w:rFonts w:ascii="宋体" w:hAnsi="宋体" w:hint="eastAsia"/>
          <w:kern w:val="0"/>
          <w:szCs w:val="21"/>
        </w:rPr>
        <w:t>1、相关投资材料原件由私募基金管理人负责保管。</w:t>
      </w:r>
    </w:p>
    <w:p>
      <w:pPr>
        <w:pStyle w:val="a-BR375040"/>
        <w:tabs>
          <w:tab w:val="left" w:pos="1260"/>
        </w:tabs>
        <w:spacing w:line="360" w:lineRule="auto"/>
        <w:ind w:firstLine="420" w:firstLineChars="200"/>
        <w:rPr>
          <w:rFonts w:ascii="宋体" w:hAnsi="宋体"/>
          <w:kern w:val="0"/>
          <w:szCs w:val="21"/>
        </w:rPr>
      </w:pPr>
      <w:r>
        <w:rPr>
          <w:rFonts w:ascii="宋体" w:hAnsi="宋体" w:hint="eastAsia"/>
          <w:kern w:val="0"/>
          <w:szCs w:val="21"/>
        </w:rPr>
        <w:t>2、基金投资的有关实物、实物证券、银行存款定期存单等有价凭证的保管</w:t>
      </w:r>
    </w:p>
    <w:p>
      <w:pPr>
        <w:pStyle w:val="a-BR375040"/>
        <w:tabs>
          <w:tab w:val="left" w:pos="1260"/>
        </w:tabs>
        <w:spacing w:line="360" w:lineRule="auto"/>
        <w:ind w:firstLine="420" w:firstLineChars="200"/>
        <w:rPr>
          <w:rFonts w:ascii="宋体" w:hAnsi="宋体"/>
          <w:b/>
          <w:bCs/>
          <w:kern w:val="0"/>
          <w:szCs w:val="21"/>
        </w:rPr>
      </w:pPr>
      <w:r>
        <w:rPr>
          <w:rFonts w:ascii="宋体" w:hAnsi="宋体" w:hint="eastAsia"/>
          <w:kern w:val="0"/>
          <w:szCs w:val="21"/>
        </w:rPr>
        <w:t>实物、实物证券由私募基金托管人存放于私募基金托管人或其他私募基金管理人与私募基金托管人协商一致的第三方机构的保管库。银行存款</w:t>
      </w:r>
      <w:r>
        <w:rPr>
          <w:rFonts w:ascii="宋体" w:hAnsi="宋体"/>
          <w:kern w:val="0"/>
          <w:szCs w:val="21"/>
        </w:rPr>
        <w:t>定期存单等有价凭证由私募基金托管人</w:t>
      </w:r>
      <w:r>
        <w:rPr>
          <w:rFonts w:ascii="宋体" w:hAnsi="宋体" w:hint="eastAsia"/>
          <w:kern w:val="0"/>
          <w:szCs w:val="21"/>
        </w:rPr>
        <w:t>保管</w:t>
      </w:r>
      <w:r>
        <w:rPr>
          <w:rFonts w:ascii="宋体" w:hAnsi="宋体"/>
          <w:kern w:val="0"/>
          <w:szCs w:val="21"/>
        </w:rPr>
        <w:t>。</w:t>
      </w:r>
      <w:r>
        <w:rPr>
          <w:rFonts w:ascii="宋体" w:hAnsi="宋体" w:hint="eastAsia"/>
          <w:b/>
          <w:bCs/>
          <w:kern w:val="0"/>
          <w:szCs w:val="21"/>
        </w:rPr>
        <w:t>私募基金托管人对存放或存管在私募基金托管人以外机构的基金资产不承担保管责任。</w:t>
      </w:r>
    </w:p>
    <w:p>
      <w:pPr>
        <w:pStyle w:val="a-BR375040"/>
        <w:tabs>
          <w:tab w:val="left" w:pos="1260"/>
        </w:tabs>
        <w:spacing w:line="360" w:lineRule="auto"/>
        <w:ind w:firstLine="420" w:firstLineChars="200"/>
        <w:rPr>
          <w:rFonts w:ascii="宋体" w:hAnsi="宋体"/>
          <w:kern w:val="0"/>
          <w:szCs w:val="21"/>
        </w:rPr>
      </w:pPr>
      <w:r>
        <w:rPr>
          <w:rFonts w:ascii="宋体" w:hAnsi="宋体"/>
          <w:kern w:val="0"/>
          <w:szCs w:val="21"/>
        </w:rPr>
        <w:t>3</w:t>
      </w:r>
      <w:r>
        <w:rPr>
          <w:rFonts w:ascii="宋体" w:hAnsi="宋体" w:hint="eastAsia"/>
          <w:kern w:val="0"/>
          <w:szCs w:val="21"/>
        </w:rPr>
        <w:t>、与基金有关的重大合同的保管</w:t>
      </w:r>
    </w:p>
    <w:p>
      <w:pPr>
        <w:pStyle w:val="a-BR375040"/>
        <w:tabs>
          <w:tab w:val="left" w:pos="1260"/>
        </w:tabs>
        <w:spacing w:line="360" w:lineRule="auto"/>
        <w:ind w:firstLine="420" w:firstLineChars="200"/>
        <w:rPr>
          <w:rFonts w:ascii="宋体" w:hAnsi="宋体"/>
          <w:kern w:val="0"/>
          <w:szCs w:val="21"/>
        </w:rPr>
      </w:pPr>
      <w:r>
        <w:rPr>
          <w:rFonts w:ascii="宋体" w:hAnsi="宋体" w:hint="eastAsia"/>
          <w:kern w:val="0"/>
          <w:szCs w:val="21"/>
        </w:rPr>
        <w:t>由私募基金管理人代表基金签署的与基金有关的重大合同的原件由私募基金管理人保管。私募基金管理人应向私募基金托管人提供合同原件的</w:t>
      </w:r>
      <w:r>
        <w:rPr>
          <w:rFonts w:ascii="宋体" w:hAnsi="宋体"/>
          <w:kern w:val="0"/>
          <w:szCs w:val="21"/>
        </w:rPr>
        <w:t>复印</w:t>
      </w:r>
      <w:r>
        <w:rPr>
          <w:rFonts w:ascii="宋体" w:hAnsi="宋体" w:hint="eastAsia"/>
          <w:kern w:val="0"/>
          <w:szCs w:val="21"/>
        </w:rPr>
        <w:t>件或原件的扫描件。</w:t>
      </w:r>
    </w:p>
    <w:p>
      <w:pPr>
        <w:pStyle w:val="a-BR375040"/>
        <w:tabs>
          <w:tab w:val="left" w:pos="1260"/>
        </w:tabs>
        <w:spacing w:line="360" w:lineRule="auto"/>
        <w:ind w:firstLine="420" w:firstLineChars="200"/>
        <w:rPr>
          <w:rFonts w:ascii="宋体" w:hAnsi="宋体"/>
          <w:kern w:val="0"/>
          <w:szCs w:val="21"/>
        </w:rPr>
      </w:pPr>
      <w:r>
        <w:rPr>
          <w:rFonts w:ascii="宋体" w:hAnsi="宋体" w:hint="eastAsia"/>
          <w:kern w:val="0"/>
          <w:szCs w:val="21"/>
        </w:rPr>
        <w:t>因私募基金管理人未按本合同约定及时向私募基金托管人移交重大合同</w:t>
      </w:r>
      <w:r>
        <w:rPr>
          <w:rFonts w:ascii="宋体" w:hAnsi="宋体"/>
          <w:kern w:val="0"/>
          <w:szCs w:val="21"/>
        </w:rPr>
        <w:t>复印</w:t>
      </w:r>
      <w:r>
        <w:rPr>
          <w:rFonts w:ascii="宋体" w:hAnsi="宋体" w:hint="eastAsia"/>
          <w:kern w:val="0"/>
          <w:szCs w:val="21"/>
        </w:rPr>
        <w:t>件或</w:t>
      </w:r>
      <w:r>
        <w:rPr>
          <w:rFonts w:ascii="宋体" w:hAnsi="宋体"/>
          <w:kern w:val="0"/>
          <w:szCs w:val="21"/>
        </w:rPr>
        <w:t>扫描件</w:t>
      </w:r>
      <w:r>
        <w:rPr>
          <w:rFonts w:ascii="宋体" w:hAnsi="宋体" w:hint="eastAsia"/>
          <w:kern w:val="0"/>
          <w:szCs w:val="21"/>
        </w:rPr>
        <w:t>导致的法律责任，由私募基金管理人自行承担。</w:t>
      </w:r>
    </w:p>
    <w:p>
      <w:pPr>
        <w:pStyle w:val="a-BR375040"/>
        <w:spacing w:line="360" w:lineRule="auto"/>
        <w:ind w:firstLine="420" w:firstLineChars="200"/>
        <w:rPr>
          <w:b/>
          <w:bCs/>
          <w:szCs w:val="21"/>
        </w:rPr>
      </w:pPr>
      <w:r>
        <w:rPr>
          <w:rFonts w:ascii="宋体" w:hAnsi="宋体" w:hint="eastAsia"/>
          <w:kern w:val="0"/>
          <w:szCs w:val="21"/>
        </w:rPr>
        <w:t>4、资产管理产品权属证明的保管</w:t>
      </w:r>
    </w:p>
    <w:p>
      <w:pPr>
        <w:pStyle w:val="a-BR375040"/>
        <w:spacing w:line="360" w:lineRule="auto"/>
        <w:ind w:firstLine="420" w:firstLineChars="200"/>
        <w:rPr>
          <w:bCs/>
          <w:szCs w:val="21"/>
        </w:rPr>
      </w:pPr>
      <w:r>
        <w:rPr>
          <w:rFonts w:hint="eastAsia"/>
          <w:bCs/>
          <w:szCs w:val="21"/>
        </w:rPr>
        <w:t>本基金投资于资产管理产品的，私募基金管理人应当要求资产管理产品的管理人及时出具权属证明，妥善保存权属证明原件，并及时向私募基金托管人提供复印件或扫描件。</w:t>
      </w:r>
    </w:p>
    <w:p>
      <w:pPr>
        <w:pStyle w:val="a-BR375040"/>
        <w:spacing w:line="360" w:lineRule="auto"/>
        <w:ind w:firstLine="420" w:firstLineChars="200"/>
        <w:rPr>
          <w:bCs/>
          <w:szCs w:val="21"/>
        </w:rPr>
      </w:pPr>
      <w:r>
        <w:rPr>
          <w:rFonts w:hint="eastAsia"/>
          <w:bCs/>
          <w:szCs w:val="21"/>
        </w:rPr>
        <w:t>5、其他资产证明文件的保管</w:t>
      </w:r>
    </w:p>
    <w:p>
      <w:pPr>
        <w:pStyle w:val="a-BR375040"/>
        <w:spacing w:line="360" w:lineRule="auto"/>
        <w:ind w:firstLine="420" w:firstLineChars="200"/>
        <w:rPr>
          <w:bCs/>
          <w:szCs w:val="21"/>
        </w:rPr>
      </w:pPr>
      <w:r>
        <w:rPr>
          <w:rFonts w:hint="eastAsia"/>
          <w:bCs/>
          <w:szCs w:val="21"/>
        </w:rPr>
        <w:t>本基金因投资活动需要获得其他资产证明文件的，私募基金管理人应当要求相关证明文件提供义务方及时出具资产证明文件，妥善保存该等文件原件，并及时向私募基金托管人提供复印件或扫描件。</w:t>
      </w:r>
    </w:p>
    <w:p>
      <w:pPr>
        <w:pStyle w:val="a-BR375040"/>
        <w:spacing w:line="360" w:lineRule="auto"/>
        <w:ind w:firstLine="420" w:firstLineChars="200"/>
        <w:rPr>
          <w:bCs/>
          <w:szCs w:val="21"/>
        </w:rPr>
      </w:pPr>
      <w:r>
        <w:rPr>
          <w:rFonts w:hint="eastAsia"/>
          <w:bCs/>
          <w:szCs w:val="21"/>
        </w:rPr>
        <w:t>6、资产权属变动证明文件的保管</w:t>
      </w:r>
    </w:p>
    <w:p>
      <w:pPr>
        <w:pStyle w:val="a-BR375040"/>
        <w:tabs>
          <w:tab w:val="left" w:pos="1260"/>
        </w:tabs>
        <w:spacing w:line="360" w:lineRule="auto"/>
        <w:ind w:firstLine="420" w:firstLineChars="200"/>
        <w:rPr>
          <w:rFonts w:ascii="宋体" w:hAnsi="宋体"/>
          <w:kern w:val="0"/>
          <w:szCs w:val="21"/>
        </w:rPr>
      </w:pPr>
      <w:r>
        <w:rPr>
          <w:rFonts w:hint="eastAsia"/>
          <w:bCs/>
          <w:szCs w:val="21"/>
        </w:rPr>
        <w:t>本基金的相关资产权属发生变动的，私募基金管理人应当要求相关证明文件提供义务方及时出具资产权属变动证明文件，妥善保管该等文件原件，并及时向私募基金托管人提供复印件或扫描件。</w:t>
      </w:r>
    </w:p>
    <w:p>
      <w:pPr>
        <w:pStyle w:val="a-BR375040"/>
        <w:tabs>
          <w:tab w:val="left" w:pos="1260"/>
        </w:tabs>
        <w:spacing w:line="360" w:lineRule="auto"/>
        <w:ind w:firstLine="420" w:firstLineChars="200"/>
        <w:rPr>
          <w:rFonts w:ascii="宋体" w:hAnsi="宋体"/>
          <w:kern w:val="0"/>
          <w:szCs w:val="21"/>
        </w:rPr>
      </w:pPr>
      <w:r>
        <w:rPr>
          <w:rFonts w:ascii="宋体" w:hAnsi="宋体" w:hint="eastAsia"/>
          <w:kern w:val="0"/>
          <w:szCs w:val="21"/>
        </w:rPr>
        <w:t>私募基金管理人应及时将与本基金账务处理、资金划拨等有关的合同、协议以电子邮件或其他私募基金管理人同私募基金托管人协商一致的方式</w:t>
      </w:r>
      <w:r>
        <w:rPr>
          <w:rFonts w:ascii="宋体" w:hAnsi="宋体" w:cs="宋体" w:hint="eastAsia"/>
          <w:kern w:val="0"/>
          <w:szCs w:val="21"/>
        </w:rPr>
        <w:t>发送</w:t>
      </w:r>
      <w:r>
        <w:rPr>
          <w:rFonts w:ascii="宋体" w:hAnsi="宋体" w:hint="eastAsia"/>
          <w:kern w:val="0"/>
          <w:szCs w:val="21"/>
        </w:rPr>
        <w:t>给私募基金托管人。</w:t>
      </w:r>
    </w:p>
    <w:p>
      <w:pPr>
        <w:pStyle w:val="a-BR375040"/>
        <w:tabs>
          <w:tab w:val="left" w:pos="1260"/>
        </w:tabs>
        <w:spacing w:line="360" w:lineRule="auto"/>
        <w:ind w:firstLine="420" w:firstLineChars="200"/>
        <w:rPr>
          <w:rFonts w:ascii="宋体" w:hAnsi="宋体"/>
          <w:kern w:val="0"/>
          <w:szCs w:val="21"/>
        </w:rPr>
      </w:pPr>
      <w:r>
        <w:rPr>
          <w:rFonts w:ascii="宋体" w:hAnsi="宋体" w:hint="eastAsia"/>
          <w:kern w:val="0"/>
          <w:szCs w:val="21"/>
        </w:rPr>
        <w:t>私募基金管理人或私募基金托管人变更后，未变更的一方有义务协助接任人接收基金的有关文件。</w:t>
      </w:r>
    </w:p>
    <w:p>
      <w:pPr>
        <w:pStyle w:val="a7-BR656878"/>
        <w:rPr>
          <w:sz w:val="21"/>
          <w:szCs w:val="21"/>
        </w:rPr>
      </w:pPr>
      <w:bookmarkStart w:id="37" w:name="_Toc256000021"/>
      <w:r>
        <w:rPr>
          <w:rFonts w:hint="eastAsia"/>
          <w:sz w:val="21"/>
          <w:szCs w:val="21"/>
        </w:rPr>
        <w:t>二十一、基金合同的效力、变更、解除及终止</w:t>
      </w:r>
      <w:bookmarkEnd w:id="37"/>
    </w:p>
    <w:p>
      <w:pPr>
        <w:pStyle w:val="a-BR656878"/>
        <w:spacing w:line="360" w:lineRule="auto"/>
        <w:ind w:firstLine="420" w:firstLineChars="200"/>
        <w:rPr>
          <w:rFonts w:ascii="宋体" w:hAnsi="宋体"/>
          <w:szCs w:val="21"/>
        </w:rPr>
      </w:pPr>
      <w:r>
        <w:rPr>
          <w:rFonts w:ascii="宋体" w:hAnsi="宋体" w:hint="eastAsia"/>
          <w:szCs w:val="21"/>
        </w:rPr>
        <w:t>（一）合同的成立、生效及有效期</w:t>
      </w:r>
    </w:p>
    <w:p>
      <w:pPr>
        <w:pStyle w:val="a-BR656878"/>
        <w:spacing w:line="360" w:lineRule="auto"/>
        <w:ind w:firstLine="420" w:firstLineChars="200"/>
        <w:rPr>
          <w:rFonts w:ascii="宋体" w:hAnsi="宋体"/>
          <w:szCs w:val="21"/>
        </w:rPr>
      </w:pPr>
      <w:r>
        <w:rPr>
          <w:rFonts w:ascii="宋体" w:hAnsi="宋体"/>
          <w:szCs w:val="21"/>
        </w:rPr>
        <w:t>1</w:t>
      </w:r>
      <w:r>
        <w:rPr>
          <w:rFonts w:ascii="宋体" w:hAnsi="宋体" w:hint="eastAsia"/>
          <w:szCs w:val="21"/>
        </w:rPr>
        <w:t>、合同成立</w:t>
      </w:r>
    </w:p>
    <w:p>
      <w:pPr>
        <w:pStyle w:val="a-BR656878"/>
        <w:spacing w:line="360" w:lineRule="auto"/>
        <w:ind w:firstLine="420" w:firstLineChars="200"/>
        <w:rPr>
          <w:rFonts w:ascii="宋体" w:hAnsi="宋体"/>
          <w:szCs w:val="21"/>
        </w:rPr>
      </w:pPr>
      <w:r>
        <w:rPr>
          <w:rFonts w:ascii="宋体" w:hAnsi="宋体" w:hint="eastAsia"/>
          <w:szCs w:val="21"/>
        </w:rPr>
        <w:t>基金合同自私募基金管理人、私募基金托管人、基金投资者通过纸质合同方式签署或以电子签名方式签署后即告成立。</w:t>
      </w:r>
      <w:r>
        <w:rPr>
          <w:rFonts w:ascii="宋体" w:hAnsi="宋体" w:hint="eastAsia"/>
          <w:b/>
          <w:bCs/>
          <w:szCs w:val="21"/>
        </w:rPr>
        <w:t>采用电子签名签署方式的，该等电子签名与纸质合同上手写签名或盖章具有同等法律效力，无需再另行签署纸质合同。</w:t>
      </w:r>
    </w:p>
    <w:p>
      <w:pPr>
        <w:pStyle w:val="a-BR656878"/>
        <w:spacing w:line="360" w:lineRule="auto"/>
        <w:ind w:firstLine="420" w:firstLineChars="200"/>
        <w:rPr>
          <w:rFonts w:ascii="宋体" w:hAnsi="宋体"/>
          <w:szCs w:val="21"/>
        </w:rPr>
      </w:pPr>
      <w:r>
        <w:rPr>
          <w:rFonts w:ascii="宋体" w:hAnsi="宋体"/>
          <w:szCs w:val="21"/>
        </w:rPr>
        <w:t>2</w:t>
      </w:r>
      <w:r>
        <w:rPr>
          <w:rFonts w:ascii="宋体" w:hAnsi="宋体" w:hint="eastAsia"/>
          <w:szCs w:val="21"/>
        </w:rPr>
        <w:t>、合同生效</w:t>
      </w:r>
    </w:p>
    <w:p>
      <w:pPr>
        <w:pStyle w:val="a-BR656878"/>
        <w:spacing w:line="360" w:lineRule="auto"/>
        <w:ind w:firstLine="420" w:firstLineChars="200"/>
        <w:rPr>
          <w:rFonts w:ascii="宋体" w:hAnsi="宋体"/>
          <w:szCs w:val="21"/>
        </w:rPr>
      </w:pPr>
      <w:r>
        <w:rPr>
          <w:rFonts w:ascii="宋体" w:hAnsi="宋体" w:hint="eastAsia"/>
          <w:szCs w:val="21"/>
        </w:rPr>
        <w:t>本合同生效应当同时满足如下条件：</w:t>
      </w:r>
    </w:p>
    <w:p>
      <w:pPr>
        <w:pStyle w:val="a-BR65687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）本合同经基金投资者、私募基金管理人与私募基金托管人合法签署；</w:t>
      </w:r>
    </w:p>
    <w:p>
      <w:pPr>
        <w:pStyle w:val="a-BR656878"/>
        <w:spacing w:line="360" w:lineRule="auto"/>
        <w:ind w:firstLine="420" w:firstLineChars="200"/>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）基金投资者认购或申购资金实际交付并经份额登记机构确认成功，基金投资者获得基金份额。</w:t>
      </w:r>
    </w:p>
    <w:p>
      <w:pPr>
        <w:pStyle w:val="a-BR656878"/>
        <w:spacing w:line="360" w:lineRule="auto"/>
        <w:ind w:firstLine="420" w:firstLineChars="200"/>
        <w:rPr>
          <w:rFonts w:ascii="宋体" w:hAnsi="宋体"/>
          <w:szCs w:val="21"/>
        </w:rPr>
      </w:pPr>
      <w:r>
        <w:rPr>
          <w:rFonts w:ascii="宋体" w:hAnsi="宋体" w:hint="eastAsia"/>
          <w:szCs w:val="21"/>
        </w:rPr>
        <w:t>本合同生效后，任何一方都不得单方解除。基金合同自生效之日起对私募基金管理人、私募基金托管人、投资者具有同等的法律约束力。</w:t>
      </w:r>
    </w:p>
    <w:p>
      <w:pPr>
        <w:pStyle w:val="a-BR656878"/>
        <w:spacing w:line="360" w:lineRule="auto"/>
        <w:ind w:firstLine="420" w:firstLineChars="200"/>
        <w:rPr>
          <w:rFonts w:ascii="宋体" w:hAnsi="宋体"/>
          <w:szCs w:val="21"/>
        </w:rPr>
      </w:pPr>
      <w:r>
        <w:rPr>
          <w:rFonts w:ascii="宋体" w:hAnsi="宋体" w:hint="eastAsia"/>
          <w:szCs w:val="21"/>
        </w:rPr>
        <w:t>在本基金存续期，基金投资者自全部赎回其持有基金份额之日起，不再是本基金的份额持有人和基金合同的当事人。</w:t>
      </w:r>
    </w:p>
    <w:p>
      <w:pPr>
        <w:pStyle w:val="a-BR656878"/>
        <w:spacing w:line="360" w:lineRule="auto"/>
        <w:ind w:firstLine="420" w:firstLineChars="200"/>
        <w:rPr>
          <w:rFonts w:ascii="宋体" w:hAnsi="宋体"/>
          <w:szCs w:val="21"/>
        </w:rPr>
      </w:pPr>
      <w:r>
        <w:rPr>
          <w:rFonts w:ascii="宋体" w:hAnsi="宋体"/>
          <w:szCs w:val="21"/>
        </w:rPr>
        <w:t>3、基金合同的有效期</w:t>
      </w:r>
    </w:p>
    <w:p>
      <w:pPr>
        <w:pStyle w:val="a-BR656878"/>
        <w:spacing w:line="360" w:lineRule="auto"/>
        <w:ind w:firstLine="420" w:firstLineChars="200"/>
        <w:rPr>
          <w:rFonts w:ascii="宋体" w:hAnsi="宋体"/>
          <w:szCs w:val="21"/>
        </w:rPr>
      </w:pPr>
      <w:r>
        <w:rPr>
          <w:rFonts w:ascii="宋体" w:hAnsi="宋体" w:hint="eastAsia"/>
          <w:szCs w:val="21"/>
        </w:rPr>
        <w:t>基金合同的有效期为基金合同生效日至基金合同终止日。</w:t>
      </w:r>
    </w:p>
    <w:p>
      <w:pPr>
        <w:pStyle w:val="a-BR656878"/>
        <w:spacing w:line="360" w:lineRule="auto"/>
        <w:ind w:firstLine="420" w:firstLineChars="200"/>
        <w:rPr>
          <w:rFonts w:ascii="宋体" w:hAnsi="宋体"/>
          <w:szCs w:val="21"/>
        </w:rPr>
      </w:pPr>
      <w:r>
        <w:rPr>
          <w:rFonts w:ascii="宋体" w:hAnsi="宋体" w:hint="eastAsia"/>
          <w:szCs w:val="21"/>
        </w:rPr>
        <w:t>（二）合同的变更</w:t>
      </w:r>
    </w:p>
    <w:p>
      <w:pPr>
        <w:pStyle w:val="a-BR656878"/>
        <w:spacing w:line="360" w:lineRule="auto"/>
        <w:ind w:firstLine="420" w:firstLineChars="200"/>
        <w:rPr>
          <w:rFonts w:ascii="宋体" w:hAnsi="宋体"/>
          <w:szCs w:val="21"/>
        </w:rPr>
      </w:pPr>
      <w:r>
        <w:rPr>
          <w:rFonts w:ascii="宋体" w:hAnsi="宋体"/>
          <w:szCs w:val="21"/>
        </w:rPr>
        <w:t>1、</w:t>
      </w:r>
      <w:r>
        <w:rPr>
          <w:rFonts w:ascii="宋体" w:hAnsi="宋体"/>
        </w:rPr>
        <w:t>非因法律法规</w:t>
      </w:r>
      <w:r>
        <w:rPr>
          <w:rFonts w:ascii="宋体" w:hAnsi="宋体" w:hint="eastAsia"/>
        </w:rPr>
        <w:t>、中国证监会相关规定、行业指引、自律规则及有关政策发生变化的原因而导致合同变更时，可采用以下三种方式中的一种进行基金合同变更。</w:t>
      </w:r>
    </w:p>
    <w:p>
      <w:pPr>
        <w:pStyle w:val="a-BR656878"/>
        <w:tabs>
          <w:tab w:val="left" w:pos="0"/>
        </w:tabs>
        <w:spacing w:line="360" w:lineRule="auto"/>
        <w:ind w:firstLine="420" w:firstLineChars="200"/>
        <w:rPr>
          <w:rFonts w:ascii="宋体" w:hAnsi="宋体"/>
          <w:bCs/>
          <w:szCs w:val="21"/>
        </w:rPr>
      </w:pPr>
      <w:r>
        <w:rPr>
          <w:rFonts w:ascii="宋体" w:hAnsi="宋体" w:hint="eastAsia"/>
          <w:bCs/>
          <w:szCs w:val="21"/>
        </w:rPr>
        <w:t>（</w:t>
      </w:r>
      <w:r>
        <w:rPr>
          <w:rFonts w:ascii="宋体" w:hAnsi="宋体"/>
          <w:bCs/>
          <w:szCs w:val="21"/>
        </w:rPr>
        <w:t>1</w:t>
      </w:r>
      <w:r>
        <w:rPr>
          <w:rFonts w:ascii="宋体" w:hAnsi="宋体" w:hint="eastAsia"/>
          <w:bCs/>
          <w:szCs w:val="21"/>
        </w:rPr>
        <w:t>）</w:t>
      </w:r>
      <w:r>
        <w:rPr>
          <w:rFonts w:ascii="宋体" w:hAnsi="宋体" w:hint="eastAsia"/>
        </w:rPr>
        <w:t>如基金合同的变更不涉及本基金合同当事人权利义务发生变化或对基金份额持有人利益无实质不利影响的或本合同另行约定的，私募基金管理人可与私募基金托管人协商一致后修改基金合同，并由私募基金管理人按照本合同的约定向基金份额持有人披露变更的具体内容。</w:t>
      </w:r>
    </w:p>
    <w:p>
      <w:pPr>
        <w:pStyle w:val="a-BR656878"/>
        <w:tabs>
          <w:tab w:val="left" w:pos="0"/>
        </w:tabs>
        <w:spacing w:line="360" w:lineRule="auto"/>
        <w:ind w:firstLine="420" w:firstLineChars="200"/>
        <w:rPr>
          <w:rFonts w:ascii="宋体" w:hAnsi="宋体"/>
          <w:szCs w:val="21"/>
        </w:rPr>
      </w:pPr>
      <w:r>
        <w:rPr>
          <w:rFonts w:ascii="宋体" w:hAnsi="宋体" w:hint="eastAsia"/>
          <w:bCs/>
          <w:szCs w:val="21"/>
        </w:rPr>
        <w:t>（</w:t>
      </w:r>
      <w:r>
        <w:rPr>
          <w:rFonts w:ascii="宋体" w:hAnsi="宋体"/>
          <w:bCs/>
          <w:szCs w:val="21"/>
        </w:rPr>
        <w:t>2</w:t>
      </w:r>
      <w:r>
        <w:rPr>
          <w:rFonts w:ascii="宋体" w:hAnsi="宋体" w:hint="eastAsia"/>
          <w:bCs/>
          <w:szCs w:val="21"/>
        </w:rPr>
        <w:t>）</w:t>
      </w:r>
      <w:r>
        <w:rPr>
          <w:rFonts w:ascii="宋体" w:hAnsi="宋体" w:hint="eastAsia"/>
          <w:szCs w:val="21"/>
        </w:rPr>
        <w:t>全体基金份额持有人、私募基金管理人和私募基金托管人协商一致并签署补充协议后对本合同内容进行变更。</w:t>
      </w:r>
    </w:p>
    <w:p>
      <w:pPr>
        <w:pStyle w:val="a-BR656878"/>
        <w:tabs>
          <w:tab w:val="left" w:pos="0"/>
        </w:tabs>
        <w:spacing w:line="360" w:lineRule="auto"/>
        <w:ind w:firstLine="420" w:firstLineChars="200"/>
        <w:rPr>
          <w:rFonts w:ascii="宋体" w:hAnsi="宋体"/>
          <w:bCs/>
          <w:szCs w:val="21"/>
        </w:rPr>
      </w:pPr>
      <w:r>
        <w:rPr>
          <w:rFonts w:ascii="宋体" w:hAnsi="宋体" w:hint="eastAsia"/>
          <w:bCs/>
          <w:szCs w:val="21"/>
        </w:rPr>
        <w:t>当本合同各方当事人完成补充协议签署后，私募基金管理人应当出具书面函件通知私募基金托管人。经私募基金托管人确认后，补充协议生效。</w:t>
      </w:r>
      <w:r>
        <w:rPr>
          <w:rFonts w:ascii="宋体" w:hAnsi="宋体" w:hint="eastAsia"/>
          <w:b/>
          <w:szCs w:val="21"/>
        </w:rPr>
        <w:t>因私募基金托管人未及时收悉书面函件，导致合同变更未及时生效的，私募基金托管人对由此造成的基金财产损失不承担赔偿责任</w:t>
      </w:r>
      <w:r>
        <w:rPr>
          <w:rFonts w:ascii="宋体" w:hAnsi="宋体" w:hint="eastAsia"/>
          <w:bCs/>
          <w:szCs w:val="21"/>
        </w:rPr>
        <w:t>。</w:t>
      </w:r>
    </w:p>
    <w:p>
      <w:pPr>
        <w:pStyle w:val="a-BR656878"/>
        <w:tabs>
          <w:tab w:val="left" w:pos="0"/>
        </w:tabs>
        <w:spacing w:line="360" w:lineRule="auto"/>
        <w:ind w:firstLine="420" w:firstLineChars="200"/>
        <w:rPr>
          <w:rFonts w:ascii="宋体" w:hAnsi="宋体"/>
          <w:szCs w:val="21"/>
        </w:rPr>
      </w:pPr>
      <w:r>
        <w:rPr>
          <w:rFonts w:ascii="宋体" w:hAnsi="宋体" w:hint="eastAsia"/>
          <w:bCs/>
          <w:szCs w:val="21"/>
        </w:rPr>
        <w:t>补充协议生效时，私募基金管理人有义务确保全体基金份额持有人均已签署补充协议并且相关签署真实、有效，私募基金托管人对此不承担任何审核、监督义务。</w:t>
      </w:r>
      <w:r>
        <w:rPr>
          <w:rFonts w:ascii="宋体" w:hAnsi="宋体" w:hint="eastAsia"/>
          <w:b/>
          <w:szCs w:val="21"/>
        </w:rPr>
        <w:t>若发生任何基金份额持有人未签署或其签署的真实性、有效性存在问题，对本基金、任何基金份额持有人或私募基金管理人造成损失的，私募基金托管人不承担赔偿责任</w:t>
      </w:r>
      <w:r>
        <w:rPr>
          <w:rFonts w:ascii="宋体" w:hAnsi="宋体" w:hint="eastAsia"/>
          <w:bCs/>
          <w:szCs w:val="21"/>
        </w:rPr>
        <w:t>。</w:t>
      </w:r>
    </w:p>
    <w:p>
      <w:pPr>
        <w:pStyle w:val="a-BR656878"/>
        <w:tabs>
          <w:tab w:val="left" w:pos="0"/>
        </w:tabs>
        <w:spacing w:line="360" w:lineRule="auto"/>
        <w:ind w:firstLine="420" w:firstLineChars="200"/>
        <w:rPr>
          <w:rFonts w:ascii="宋体" w:hAnsi="宋体"/>
          <w:bCs/>
          <w:szCs w:val="21"/>
        </w:rPr>
      </w:pPr>
      <w:r>
        <w:rPr>
          <w:rFonts w:ascii="宋体" w:hAnsi="宋体" w:hint="eastAsia"/>
          <w:bCs/>
          <w:szCs w:val="21"/>
        </w:rPr>
        <w:t>（</w:t>
      </w:r>
      <w:r>
        <w:rPr>
          <w:rFonts w:ascii="宋体" w:hAnsi="宋体"/>
          <w:bCs/>
          <w:szCs w:val="21"/>
        </w:rPr>
        <w:t>3</w:t>
      </w:r>
      <w:r>
        <w:rPr>
          <w:rFonts w:ascii="宋体" w:hAnsi="宋体" w:hint="eastAsia"/>
          <w:bCs/>
          <w:szCs w:val="21"/>
        </w:rPr>
        <w:t>）私募基金管理人、私募基金托管人首先就本合同拟变更事项及变更方式达成一致。私募基金管理人就本合同变更事项以书面或电子方式向基金份额持有人发送合同变更征询意见函（或通知），但是该合同变更征询意见函（或通知）的内容须事先征得私募基金托管人同意。基金份额持有人应在征询意见函（或通知）指定的日期内按指定的形式回复意见。具体规则应以征询意见函（或通知）约定为准。</w:t>
      </w:r>
    </w:p>
    <w:p>
      <w:pPr>
        <w:pStyle w:val="a-BR656878"/>
        <w:tabs>
          <w:tab w:val="left" w:pos="0"/>
        </w:tabs>
        <w:spacing w:line="360" w:lineRule="auto"/>
        <w:ind w:firstLine="420" w:firstLineChars="200"/>
        <w:rPr>
          <w:rFonts w:ascii="宋体" w:hAnsi="宋体"/>
          <w:bCs/>
          <w:szCs w:val="21"/>
        </w:rPr>
      </w:pPr>
      <w:r>
        <w:rPr>
          <w:rFonts w:ascii="宋体" w:hAnsi="宋体" w:hint="eastAsia"/>
          <w:bCs/>
          <w:szCs w:val="21"/>
        </w:rPr>
        <w:t>征询意见期满，由私募基金管理人安排临时开放日并强制赎回所有不同意合同变更的基金份额持有人所持全部份额（本条约定不受本合同“私募基金的申购、赎回和转让”中关于基金赎回的期限限制，具体赎回规则以私募管理人通知为准），向私募基金托管人出具盖章的合同变更生效通知，并于变更生效之日起三个工作日内通知全体份额持有人变更生效。</w:t>
      </w:r>
    </w:p>
    <w:p>
      <w:pPr>
        <w:pStyle w:val="a-BR656878"/>
        <w:tabs>
          <w:tab w:val="left" w:pos="0"/>
        </w:tabs>
        <w:spacing w:line="360" w:lineRule="auto"/>
        <w:ind w:firstLine="420" w:firstLineChars="200"/>
        <w:rPr>
          <w:rFonts w:ascii="宋体" w:hAnsi="宋体"/>
          <w:bCs/>
          <w:szCs w:val="21"/>
        </w:rPr>
      </w:pPr>
      <w:r>
        <w:rPr>
          <w:rFonts w:ascii="宋体" w:hAnsi="宋体" w:hint="eastAsia"/>
          <w:bCs/>
          <w:szCs w:val="21"/>
        </w:rPr>
        <w:t>自合同变更生效之日起，对合同各方均具有法律效力。私募基金管理人应按法律法规及中国证券投资基金业协会的规定及时办理相关备案手续。</w:t>
      </w:r>
    </w:p>
    <w:p>
      <w:pPr>
        <w:pStyle w:val="a-BR656878"/>
        <w:tabs>
          <w:tab w:val="left" w:pos="0"/>
        </w:tabs>
        <w:autoSpaceDE w:val="0"/>
        <w:autoSpaceDN w:val="0"/>
        <w:adjustRightInd w:val="0"/>
        <w:spacing w:line="360" w:lineRule="auto"/>
        <w:ind w:firstLine="420"/>
        <w:rPr>
          <w:rFonts w:ascii="宋体" w:hAnsi="宋体"/>
          <w:bCs/>
          <w:szCs w:val="21"/>
        </w:rPr>
      </w:pPr>
      <w:r>
        <w:rPr>
          <w:rFonts w:ascii="宋体" w:hAnsi="宋体"/>
          <w:bCs/>
          <w:szCs w:val="21"/>
        </w:rPr>
        <w:t>2、</w:t>
      </w:r>
      <w:r>
        <w:rPr>
          <w:rFonts w:ascii="宋体" w:hAnsi="宋体" w:hint="eastAsia"/>
        </w:rPr>
        <w:t>因法律法规、中国证监会相关规定、行业指引、自律规则及有关政策发生变化需要对本合同进行变更的，私募基金管理人可与私募基金托管人协商一致后直接修改基金合同，并由私募基金管理人按照本合同的约定向基金份额持有人披露变更的具体内容。</w:t>
      </w:r>
    </w:p>
    <w:p>
      <w:pPr>
        <w:pStyle w:val="a-BR656878"/>
        <w:tabs>
          <w:tab w:val="left" w:pos="0"/>
        </w:tabs>
        <w:autoSpaceDE w:val="0"/>
        <w:autoSpaceDN w:val="0"/>
        <w:adjustRightInd w:val="0"/>
        <w:spacing w:line="360" w:lineRule="auto"/>
        <w:ind w:firstLine="420"/>
        <w:rPr>
          <w:rFonts w:ascii="宋体" w:hAnsi="宋体"/>
          <w:bCs/>
          <w:szCs w:val="21"/>
        </w:rPr>
      </w:pPr>
      <w:r>
        <w:rPr>
          <w:rFonts w:ascii="宋体" w:hAnsi="宋体"/>
          <w:bCs/>
          <w:szCs w:val="21"/>
        </w:rPr>
        <w:t>3、</w:t>
      </w:r>
      <w:r>
        <w:rPr>
          <w:rFonts w:ascii="宋体" w:hAnsi="宋体" w:hint="eastAsia"/>
          <w:bCs/>
          <w:szCs w:val="21"/>
        </w:rPr>
        <w:t>如本基金合同根据前述条款约定发生任何变更，且存在新增投资者拟申购本基金份额，私募基金管理人应当确保新增投资者签署变更后的基金合同或附有变更文件的原基金合同。如果新增投资者签署的基金合同条款与变更后的基金合同不一致，</w:t>
      </w:r>
      <w:r>
        <w:rPr>
          <w:rFonts w:ascii="宋体" w:hAnsi="宋体" w:hint="eastAsia"/>
          <w:szCs w:val="21"/>
        </w:rPr>
        <w:t>私募基金托管人对此不承担任何责任</w:t>
      </w:r>
      <w:r>
        <w:rPr>
          <w:rFonts w:ascii="宋体" w:hAnsi="宋体" w:hint="eastAsia"/>
          <w:bCs/>
          <w:szCs w:val="21"/>
        </w:rPr>
        <w:t>。</w:t>
      </w:r>
    </w:p>
    <w:p>
      <w:pPr>
        <w:pStyle w:val="a-BR656878"/>
        <w:tabs>
          <w:tab w:val="left" w:pos="0"/>
        </w:tabs>
        <w:autoSpaceDE w:val="0"/>
        <w:autoSpaceDN w:val="0"/>
        <w:adjustRightInd w:val="0"/>
        <w:spacing w:line="360" w:lineRule="auto"/>
        <w:ind w:firstLine="420"/>
        <w:rPr>
          <w:rFonts w:ascii="宋体" w:hAnsi="宋体"/>
          <w:bCs/>
          <w:szCs w:val="21"/>
        </w:rPr>
      </w:pPr>
      <w:r>
        <w:rPr>
          <w:rFonts w:ascii="宋体" w:hAnsi="宋体"/>
          <w:bCs/>
          <w:szCs w:val="21"/>
        </w:rPr>
        <w:t>4、基金合同重大事项发生变更的，私募基金管理人应按照中国基金业协会要求及时向中国基金业协会备案。</w:t>
      </w:r>
    </w:p>
    <w:p>
      <w:pPr>
        <w:pStyle w:val="a-BR656878"/>
        <w:tabs>
          <w:tab w:val="left" w:pos="0"/>
        </w:tabs>
        <w:autoSpaceDE w:val="0"/>
        <w:autoSpaceDN w:val="0"/>
        <w:adjustRightInd w:val="0"/>
        <w:spacing w:line="360" w:lineRule="auto"/>
        <w:ind w:firstLine="420"/>
        <w:rPr>
          <w:rFonts w:ascii="宋体" w:hAnsi="宋体"/>
          <w:bCs/>
          <w:szCs w:val="21"/>
        </w:rPr>
      </w:pPr>
      <w:r>
        <w:rPr>
          <w:rFonts w:ascii="宋体" w:hAnsi="宋体" w:hint="eastAsia"/>
          <w:bCs/>
          <w:szCs w:val="21"/>
        </w:rPr>
        <w:t>（三）基金合同的解除、终止</w:t>
      </w:r>
    </w:p>
    <w:p>
      <w:pPr>
        <w:pStyle w:val="a-BR656878"/>
        <w:tabs>
          <w:tab w:val="left" w:pos="0"/>
        </w:tabs>
        <w:autoSpaceDE w:val="0"/>
        <w:autoSpaceDN w:val="0"/>
        <w:adjustRightInd w:val="0"/>
        <w:spacing w:line="360" w:lineRule="auto"/>
        <w:ind w:firstLine="420"/>
        <w:rPr>
          <w:rFonts w:ascii="宋体" w:hAnsi="宋体"/>
          <w:bCs/>
          <w:szCs w:val="21"/>
        </w:rPr>
      </w:pPr>
      <w:r>
        <w:rPr>
          <w:rFonts w:ascii="宋体" w:hAnsi="宋体" w:hint="eastAsia"/>
          <w:bCs/>
          <w:szCs w:val="21"/>
        </w:rPr>
        <w:t>1、</w:t>
      </w:r>
      <w:r>
        <w:rPr>
          <w:rFonts w:ascii="宋体" w:hAnsi="宋体"/>
          <w:bCs/>
          <w:szCs w:val="21"/>
        </w:rPr>
        <w:t>基金合同</w:t>
      </w:r>
      <w:r>
        <w:rPr>
          <w:rFonts w:ascii="宋体" w:hAnsi="宋体" w:hint="eastAsia"/>
          <w:bCs/>
          <w:szCs w:val="21"/>
        </w:rPr>
        <w:t>的</w:t>
      </w:r>
      <w:r>
        <w:rPr>
          <w:rFonts w:ascii="宋体" w:hAnsi="宋体"/>
          <w:bCs/>
          <w:szCs w:val="21"/>
        </w:rPr>
        <w:t>解除</w:t>
      </w:r>
    </w:p>
    <w:p>
      <w:pPr>
        <w:pStyle w:val="a-BR656878"/>
        <w:spacing w:line="360" w:lineRule="auto"/>
        <w:ind w:firstLine="420"/>
        <w:rPr>
          <w:rFonts w:ascii="宋体" w:hAnsi="宋体"/>
          <w:szCs w:val="21"/>
        </w:rPr>
      </w:pPr>
      <w:r>
        <w:rPr>
          <w:rFonts w:ascii="宋体" w:hAnsi="宋体" w:hint="eastAsia"/>
          <w:szCs w:val="21"/>
        </w:rPr>
        <w:t>（1）本基金通过</w:t>
      </w:r>
      <w:r>
        <w:rPr>
          <w:rFonts w:ascii="宋体" w:hAnsi="宋体"/>
          <w:szCs w:val="21"/>
        </w:rPr>
        <w:t>私募</w:t>
      </w:r>
      <w:r>
        <w:rPr>
          <w:rFonts w:ascii="宋体" w:hAnsi="宋体" w:hint="eastAsia"/>
          <w:szCs w:val="21"/>
        </w:rPr>
        <w:t>基金管理人直接募集的，</w:t>
      </w:r>
      <w:r>
        <w:rPr>
          <w:rFonts w:ascii="宋体" w:hAnsi="宋体"/>
          <w:szCs w:val="21"/>
        </w:rPr>
        <w:t>本基金</w:t>
      </w:r>
      <w:r>
        <w:rPr>
          <w:rFonts w:ascii="宋体" w:hAnsi="宋体" w:hint="eastAsia"/>
          <w:szCs w:val="21"/>
        </w:rPr>
        <w:t>为</w:t>
      </w:r>
      <w:r>
        <w:rPr>
          <w:rFonts w:ascii="宋体" w:hAnsi="宋体"/>
          <w:szCs w:val="21"/>
        </w:rPr>
        <w:t>投资者</w:t>
      </w:r>
      <w:r>
        <w:rPr>
          <w:rFonts w:ascii="宋体" w:hAnsi="宋体" w:hint="eastAsia"/>
          <w:szCs w:val="21"/>
        </w:rPr>
        <w:t>设置二十四小时的投资冷静期，冷静期自基金合同签署完毕且投资者交纳认购</w:t>
      </w:r>
      <w:r>
        <w:rPr>
          <w:rFonts w:ascii="宋体" w:hAnsi="宋体"/>
          <w:szCs w:val="21"/>
        </w:rPr>
        <w:t>/申购</w:t>
      </w:r>
      <w:r>
        <w:rPr>
          <w:rFonts w:ascii="宋体" w:hAnsi="宋体" w:hint="eastAsia"/>
          <w:szCs w:val="21"/>
        </w:rPr>
        <w:t>基金的款项之时起算，投资者</w:t>
      </w:r>
      <w:r>
        <w:rPr>
          <w:rFonts w:ascii="宋体" w:hAnsi="宋体"/>
          <w:szCs w:val="21"/>
        </w:rPr>
        <w:t>在冷静期内有权解除基金合同</w:t>
      </w:r>
      <w:r>
        <w:rPr>
          <w:rFonts w:ascii="宋体" w:hAnsi="宋体" w:hint="eastAsia"/>
          <w:szCs w:val="21"/>
        </w:rPr>
        <w:t>。出现前述情形时，募集机构应当按合同</w:t>
      </w:r>
      <w:r>
        <w:rPr>
          <w:rFonts w:ascii="宋体" w:hAnsi="宋体"/>
          <w:szCs w:val="21"/>
        </w:rPr>
        <w:t>约定</w:t>
      </w:r>
      <w:r>
        <w:rPr>
          <w:rFonts w:ascii="宋体" w:hAnsi="宋体" w:hint="eastAsia"/>
          <w:szCs w:val="21"/>
        </w:rPr>
        <w:t>及时无息退还投资者的全部认购</w:t>
      </w:r>
      <w:r>
        <w:rPr>
          <w:rFonts w:ascii="宋体" w:hAnsi="宋体"/>
          <w:szCs w:val="21"/>
        </w:rPr>
        <w:t>或申购</w:t>
      </w:r>
      <w:r>
        <w:rPr>
          <w:rFonts w:ascii="宋体" w:hAnsi="宋体" w:hint="eastAsia"/>
          <w:szCs w:val="21"/>
        </w:rPr>
        <w:t>款项。</w:t>
      </w:r>
    </w:p>
    <w:p>
      <w:pPr>
        <w:pStyle w:val="a-BR656878"/>
        <w:tabs>
          <w:tab w:val="left" w:pos="0"/>
        </w:tabs>
        <w:autoSpaceDE w:val="0"/>
        <w:autoSpaceDN w:val="0"/>
        <w:adjustRightInd w:val="0"/>
        <w:spacing w:line="360" w:lineRule="auto"/>
        <w:ind w:firstLine="420"/>
        <w:rPr>
          <w:rFonts w:ascii="宋体" w:hAnsi="宋体"/>
          <w:szCs w:val="21"/>
        </w:rPr>
      </w:pPr>
      <w:r>
        <w:rPr>
          <w:rFonts w:ascii="宋体" w:hAnsi="宋体" w:hint="eastAsia"/>
          <w:b/>
          <w:szCs w:val="21"/>
        </w:rPr>
        <w:t>基金份额持有人追加认购/申购基金份额的，对于其已经持有的基金份额不适用于前款关于基金合同解除的约定。对于追加认购/申购部分的基金份额，基金份额持有人在冷静期内有权撤销相应的追加认购/申购申请，募集机构应当按合同约定及时无息退还投资者追加认购/申购基金的款项。</w:t>
      </w:r>
    </w:p>
    <w:p>
      <w:pPr>
        <w:pStyle w:val="a-BR656878"/>
        <w:tabs>
          <w:tab w:val="left" w:pos="0"/>
        </w:tabs>
        <w:autoSpaceDE w:val="0"/>
        <w:autoSpaceDN w:val="0"/>
        <w:adjustRightInd w:val="0"/>
        <w:spacing w:line="360" w:lineRule="auto"/>
        <w:ind w:firstLine="420"/>
      </w:pPr>
      <w:r>
        <w:rPr>
          <w:rFonts w:ascii="宋体" w:hAnsi="宋体" w:hint="eastAsia"/>
          <w:bCs/>
          <w:szCs w:val="21"/>
        </w:rPr>
        <w:t>（2）本基金通过</w:t>
      </w:r>
      <w:r>
        <w:rPr>
          <w:rFonts w:ascii="宋体" w:hAnsi="宋体" w:hint="eastAsia"/>
          <w:kern w:val="0"/>
          <w:szCs w:val="21"/>
        </w:rPr>
        <w:t>代理销售</w:t>
      </w:r>
      <w:r>
        <w:rPr>
          <w:rFonts w:ascii="宋体" w:hAnsi="宋体" w:hint="eastAsia"/>
          <w:bCs/>
          <w:szCs w:val="21"/>
        </w:rPr>
        <w:t>机构募集的（如有），具体以</w:t>
      </w:r>
      <w:r>
        <w:rPr>
          <w:rFonts w:ascii="宋体" w:hAnsi="宋体" w:hint="eastAsia"/>
          <w:kern w:val="0"/>
          <w:szCs w:val="21"/>
        </w:rPr>
        <w:t>代理销售</w:t>
      </w:r>
      <w:r>
        <w:rPr>
          <w:rFonts w:ascii="宋体" w:hAnsi="宋体" w:hint="eastAsia"/>
          <w:bCs/>
          <w:szCs w:val="21"/>
        </w:rPr>
        <w:t>机构业务规则为准。</w:t>
      </w:r>
    </w:p>
    <w:p>
      <w:pPr>
        <w:pStyle w:val="a-BR656878"/>
        <w:tabs>
          <w:tab w:val="left" w:pos="0"/>
        </w:tabs>
        <w:autoSpaceDE w:val="0"/>
        <w:autoSpaceDN w:val="0"/>
        <w:adjustRightInd w:val="0"/>
        <w:spacing w:line="360" w:lineRule="auto"/>
        <w:ind w:firstLine="420"/>
        <w:rPr>
          <w:rFonts w:ascii="宋体" w:hAnsi="宋体"/>
          <w:bCs/>
          <w:szCs w:val="21"/>
        </w:rPr>
      </w:pPr>
      <w:r>
        <w:rPr>
          <w:rFonts w:ascii="宋体" w:hAnsi="宋体"/>
          <w:bCs/>
          <w:szCs w:val="21"/>
        </w:rPr>
        <w:t>2</w:t>
      </w:r>
      <w:r>
        <w:rPr>
          <w:rFonts w:ascii="宋体" w:hAnsi="宋体" w:hint="eastAsia"/>
          <w:bCs/>
          <w:szCs w:val="21"/>
        </w:rPr>
        <w:t>、</w:t>
      </w:r>
      <w:r>
        <w:rPr>
          <w:rFonts w:ascii="宋体" w:hAnsi="宋体"/>
          <w:bCs/>
          <w:szCs w:val="21"/>
        </w:rPr>
        <w:t>基金合同</w:t>
      </w:r>
      <w:r>
        <w:rPr>
          <w:rFonts w:ascii="宋体" w:hAnsi="宋体" w:hint="eastAsia"/>
          <w:bCs/>
          <w:szCs w:val="21"/>
        </w:rPr>
        <w:t>的</w:t>
      </w:r>
      <w:r>
        <w:rPr>
          <w:rFonts w:ascii="宋体" w:hAnsi="宋体"/>
          <w:bCs/>
          <w:szCs w:val="21"/>
        </w:rPr>
        <w:t>终止</w:t>
      </w:r>
    </w:p>
    <w:p>
      <w:pPr>
        <w:pStyle w:val="a-BR656878"/>
        <w:tabs>
          <w:tab w:val="left" w:pos="0"/>
        </w:tabs>
        <w:autoSpaceDE w:val="0"/>
        <w:autoSpaceDN w:val="0"/>
        <w:adjustRightInd w:val="0"/>
        <w:spacing w:line="360" w:lineRule="auto"/>
        <w:ind w:firstLine="420"/>
        <w:rPr>
          <w:rFonts w:ascii="宋体" w:hAnsi="宋体"/>
          <w:bCs/>
          <w:szCs w:val="21"/>
        </w:rPr>
      </w:pPr>
      <w:r>
        <w:rPr>
          <w:rFonts w:ascii="宋体" w:hAnsi="宋体"/>
          <w:bCs/>
          <w:szCs w:val="21"/>
        </w:rPr>
        <w:t>在本基金按照本合同</w:t>
      </w:r>
      <w:r>
        <w:rPr>
          <w:rFonts w:ascii="宋体" w:hAnsi="宋体" w:hint="eastAsia"/>
          <w:bCs/>
          <w:szCs w:val="21"/>
        </w:rPr>
        <w:t>“私募基金的清算”章节的约定完成清算活动后，基金合同终止。</w:t>
      </w:r>
    </w:p>
    <w:p>
      <w:pPr>
        <w:pStyle w:val="a7-BR015361"/>
        <w:rPr>
          <w:sz w:val="21"/>
          <w:szCs w:val="21"/>
          <w:lang w:val="en-US"/>
        </w:rPr>
      </w:pPr>
      <w:bookmarkStart w:id="38" w:name="_Toc256000022"/>
      <w:r>
        <w:rPr>
          <w:rFonts w:hint="eastAsia"/>
          <w:sz w:val="21"/>
          <w:szCs w:val="21"/>
        </w:rPr>
        <w:t>二十二、私募基金的清算</w:t>
      </w:r>
      <w:bookmarkEnd w:id="38"/>
    </w:p>
    <w:p>
      <w:pPr>
        <w:pStyle w:val="a-BR015361"/>
        <w:spacing w:line="360" w:lineRule="auto"/>
        <w:ind w:firstLine="420" w:firstLineChars="200"/>
        <w:rPr>
          <w:rFonts w:ascii="宋体" w:hAnsi="宋体"/>
          <w:szCs w:val="21"/>
        </w:rPr>
      </w:pPr>
      <w:r>
        <w:rPr>
          <w:rFonts w:ascii="宋体" w:hAnsi="宋体" w:hint="eastAsia"/>
          <w:szCs w:val="21"/>
        </w:rPr>
        <w:t>（一）基金的终止</w:t>
      </w:r>
    </w:p>
    <w:p>
      <w:pPr>
        <w:pStyle w:val="a-BR015361"/>
        <w:spacing w:line="360" w:lineRule="auto"/>
        <w:ind w:firstLine="420" w:firstLineChars="200"/>
        <w:rPr>
          <w:rFonts w:ascii="宋体" w:hAnsi="宋体"/>
          <w:szCs w:val="21"/>
        </w:rPr>
      </w:pPr>
      <w:r>
        <w:rPr>
          <w:rFonts w:ascii="宋体" w:hAnsi="宋体" w:hint="eastAsia"/>
          <w:szCs w:val="21"/>
        </w:rPr>
        <w:t>发生以下情形的，本基金终止：</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bCs/>
          <w:szCs w:val="21"/>
        </w:rPr>
        <w:t>1</w:t>
      </w:r>
      <w:r>
        <w:rPr>
          <w:rFonts w:ascii="宋体" w:hAnsi="宋体" w:hint="eastAsia"/>
          <w:bCs/>
          <w:szCs w:val="21"/>
        </w:rPr>
        <w:t>、本基金的存续期限届满而未延期的；</w:t>
      </w:r>
    </w:p>
    <w:p>
      <w:pPr>
        <w:pStyle w:val="a-BR015361"/>
        <w:tabs>
          <w:tab w:val="left" w:pos="0"/>
        </w:tabs>
        <w:autoSpaceDE w:val="0"/>
        <w:autoSpaceDN w:val="0"/>
        <w:adjustRightInd w:val="0"/>
        <w:spacing w:line="360" w:lineRule="auto"/>
        <w:ind w:firstLine="420"/>
        <w:rPr>
          <w:rFonts w:ascii="宋体" w:hAnsi="宋体" w:cs="宋体"/>
          <w:bCs/>
          <w:szCs w:val="21"/>
        </w:rPr>
      </w:pPr>
      <w:r>
        <w:rPr>
          <w:rFonts w:ascii="宋体" w:hAnsi="宋体"/>
          <w:bCs/>
          <w:szCs w:val="21"/>
        </w:rPr>
        <w:t>2、基金份额持有人大会决定终止</w:t>
      </w:r>
      <w:r>
        <w:rPr>
          <w:rFonts w:ascii="宋体" w:hAnsi="宋体" w:hint="eastAsia"/>
          <w:bCs/>
          <w:szCs w:val="21"/>
        </w:rPr>
        <w:t>的；</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bCs/>
          <w:szCs w:val="21"/>
        </w:rPr>
        <w:t>3</w:t>
      </w:r>
      <w:r>
        <w:rPr>
          <w:rFonts w:ascii="宋体" w:hAnsi="宋体" w:hint="eastAsia"/>
          <w:bCs/>
          <w:szCs w:val="21"/>
        </w:rPr>
        <w:t>、</w:t>
      </w:r>
      <w:r>
        <w:rPr>
          <w:rFonts w:ascii="宋体" w:hAnsi="宋体"/>
          <w:bCs/>
          <w:szCs w:val="21"/>
        </w:rPr>
        <w:t>私募基金托管人依法解散、被依法撤销、被依法宣告破产的或被依法取消基金托管资格等原因导致职责终止，在六个月内没有新基金托管人承接</w:t>
      </w:r>
      <w:r>
        <w:rPr>
          <w:rFonts w:ascii="宋体" w:hAnsi="宋体" w:hint="eastAsia"/>
          <w:bCs/>
          <w:szCs w:val="21"/>
        </w:rPr>
        <w:t>的</w:t>
      </w:r>
      <w:r>
        <w:rPr>
          <w:rFonts w:ascii="宋体" w:hAnsi="宋体"/>
          <w:bCs/>
          <w:szCs w:val="21"/>
        </w:rPr>
        <w:t>；</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bCs/>
          <w:szCs w:val="21"/>
        </w:rPr>
        <w:t>4</w:t>
      </w:r>
      <w:r>
        <w:rPr>
          <w:rFonts w:ascii="宋体" w:hAnsi="宋体" w:hint="eastAsia"/>
          <w:bCs/>
          <w:szCs w:val="21"/>
        </w:rPr>
        <w:t>、</w:t>
      </w:r>
      <w:r>
        <w:rPr>
          <w:rFonts w:ascii="宋体" w:hAnsi="宋体"/>
          <w:bCs/>
          <w:szCs w:val="21"/>
        </w:rPr>
        <w:t>经全体基金份额持有人、私募基金管理人、私募基金托管人协商一致而提前终止的；</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bCs/>
          <w:szCs w:val="21"/>
        </w:rPr>
        <w:t>5</w:t>
      </w:r>
      <w:r>
        <w:rPr>
          <w:rFonts w:ascii="宋体" w:hAnsi="宋体" w:hint="eastAsia"/>
          <w:bCs/>
          <w:szCs w:val="21"/>
        </w:rPr>
        <w:t>、</w:t>
      </w:r>
      <w:r>
        <w:rPr>
          <w:rFonts w:ascii="宋体" w:hAnsi="宋体"/>
          <w:bCs/>
          <w:szCs w:val="21"/>
        </w:rPr>
        <w:t>本基金达到止损线</w:t>
      </w:r>
      <w:r>
        <w:rPr>
          <w:rFonts w:ascii="宋体" w:hAnsi="宋体" w:hint="eastAsia"/>
          <w:bCs/>
          <w:szCs w:val="21"/>
        </w:rPr>
        <w:t>且私募基金管理人完成平仓操作，将可变现的非现金资产全部变现的；</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bCs/>
          <w:szCs w:val="21"/>
        </w:rPr>
        <w:t>6</w:t>
      </w:r>
      <w:r>
        <w:rPr>
          <w:rFonts w:ascii="宋体" w:hAnsi="宋体" w:hint="eastAsia"/>
          <w:bCs/>
          <w:szCs w:val="21"/>
        </w:rPr>
        <w:t>、如本基金全体份额持有人申请赎回所持有的基金份额，致使所有基金份额被赎回，且无在途申购申请的（如本基金无赎回机制的，则本条款不适用）；</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bCs/>
          <w:szCs w:val="21"/>
        </w:rPr>
        <w:t>7、本基金备案失败的；</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hint="eastAsia"/>
          <w:bCs/>
          <w:szCs w:val="21"/>
        </w:rPr>
        <w:t>8、私募基金管理人已经客观上丧失继续管理本基金的能力，根据</w:t>
      </w:r>
      <w:r>
        <w:rPr>
          <w:rFonts w:ascii="宋体" w:hAnsi="宋体"/>
          <w:bCs/>
          <w:szCs w:val="21"/>
        </w:rPr>
        <w:t>“</w:t>
      </w:r>
      <w:r>
        <w:rPr>
          <w:rFonts w:ascii="宋体" w:hAnsi="宋体" w:hint="eastAsia"/>
          <w:bCs/>
          <w:szCs w:val="21"/>
        </w:rPr>
        <w:t>本基金的运作维持机制”条款约定终止基金的；</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bCs/>
          <w:szCs w:val="21"/>
        </w:rPr>
        <w:t>9、法律法规</w:t>
      </w:r>
      <w:r>
        <w:rPr>
          <w:rFonts w:ascii="宋体" w:hAnsi="宋体" w:hint="eastAsia"/>
          <w:bCs/>
          <w:szCs w:val="21"/>
        </w:rPr>
        <w:t>规定</w:t>
      </w:r>
      <w:r>
        <w:rPr>
          <w:rFonts w:ascii="宋体" w:hAnsi="宋体"/>
          <w:bCs/>
          <w:szCs w:val="21"/>
        </w:rPr>
        <w:t>和本合同</w:t>
      </w:r>
      <w:r>
        <w:rPr>
          <w:rFonts w:ascii="宋体" w:hAnsi="宋体" w:hint="eastAsia"/>
          <w:bCs/>
          <w:szCs w:val="21"/>
        </w:rPr>
        <w:t>约定</w:t>
      </w:r>
      <w:r>
        <w:rPr>
          <w:rFonts w:ascii="宋体" w:hAnsi="宋体"/>
          <w:bCs/>
          <w:szCs w:val="21"/>
        </w:rPr>
        <w:t>的其他情形。</w:t>
      </w:r>
    </w:p>
    <w:p>
      <w:pPr>
        <w:pStyle w:val="a-BR015361"/>
        <w:tabs>
          <w:tab w:val="left" w:pos="0"/>
        </w:tabs>
        <w:autoSpaceDE w:val="0"/>
        <w:autoSpaceDN w:val="0"/>
        <w:adjustRightInd w:val="0"/>
        <w:spacing w:line="360" w:lineRule="auto"/>
        <w:ind w:firstLine="420"/>
        <w:rPr>
          <w:rFonts w:ascii="宋体" w:hAnsi="宋体"/>
          <w:bCs/>
          <w:szCs w:val="21"/>
        </w:rPr>
      </w:pPr>
      <w:r>
        <w:rPr>
          <w:rFonts w:ascii="宋体" w:hAnsi="宋体" w:hint="eastAsia"/>
          <w:szCs w:val="21"/>
        </w:rPr>
        <w:t>除私募基金管理人、私募基金托管人及全体基金份额持有人另有约定外，自基金终止的情形发生之日起本基金终止。基金终止后按本合同“私募基金的清算”章节的约定进行清算。</w:t>
      </w:r>
    </w:p>
    <w:p>
      <w:pPr>
        <w:pStyle w:val="a-BR015361"/>
        <w:spacing w:line="360" w:lineRule="auto"/>
        <w:ind w:firstLine="420" w:firstLineChars="200"/>
        <w:rPr>
          <w:rFonts w:ascii="宋体" w:hAnsi="宋体"/>
          <w:szCs w:val="21"/>
        </w:rPr>
      </w:pPr>
      <w:r>
        <w:rPr>
          <w:rFonts w:ascii="宋体" w:hAnsi="宋体" w:hint="eastAsia"/>
          <w:szCs w:val="21"/>
        </w:rPr>
        <w:t>（二）清算小组</w:t>
      </w:r>
    </w:p>
    <w:p>
      <w:pPr>
        <w:pStyle w:val="a-BR015361"/>
        <w:spacing w:line="360" w:lineRule="auto"/>
        <w:ind w:firstLine="420" w:firstLineChars="200"/>
        <w:rPr>
          <w:rFonts w:ascii="宋体" w:hAnsi="宋体"/>
          <w:szCs w:val="21"/>
        </w:rPr>
      </w:pPr>
      <w:r>
        <w:rPr>
          <w:rFonts w:ascii="宋体" w:hAnsi="宋体"/>
          <w:kern w:val="0"/>
          <w:szCs w:val="21"/>
        </w:rPr>
        <w:t>1</w:t>
      </w:r>
      <w:r>
        <w:rPr>
          <w:rFonts w:ascii="宋体" w:hAnsi="宋体" w:hint="eastAsia"/>
          <w:kern w:val="0"/>
          <w:szCs w:val="21"/>
        </w:rPr>
        <w:t>、本</w:t>
      </w:r>
      <w:r>
        <w:rPr>
          <w:rFonts w:ascii="宋体" w:hAnsi="宋体" w:hint="eastAsia"/>
          <w:szCs w:val="21"/>
        </w:rPr>
        <w:t>基金终止情形发生之日（以下简称“基金终止日”）私募基金管理人应立即通知私募基金托管人本基金终止，并在基金终止日起五个交易日内通知全体份额持有人并向私募基金托管人送达书面通知，通知中应注明基金清算日（简称“</w:t>
      </w:r>
      <w:r>
        <w:rPr>
          <w:rFonts w:ascii="宋体" w:hAnsi="宋体" w:hint="eastAsia"/>
          <w:b/>
          <w:szCs w:val="21"/>
        </w:rPr>
        <w:t>基金清算日</w:t>
      </w:r>
      <w:r>
        <w:rPr>
          <w:rFonts w:ascii="宋体" w:hAnsi="宋体" w:hint="eastAsia"/>
          <w:szCs w:val="21"/>
        </w:rPr>
        <w:t>”）。若存在多次清算的情况，则</w:t>
      </w:r>
      <w:r>
        <w:rPr>
          <w:rFonts w:ascii="宋体" w:hAnsi="宋体"/>
          <w:szCs w:val="21"/>
        </w:rPr>
        <w:t>私募基金</w:t>
      </w:r>
      <w:r>
        <w:rPr>
          <w:rFonts w:ascii="宋体" w:hAnsi="宋体" w:hint="eastAsia"/>
          <w:szCs w:val="21"/>
        </w:rPr>
        <w:t>管理人需及时书面通知私募基金托管人和全体份额持有人后续每个具体清算日期。自</w:t>
      </w:r>
      <w:r>
        <w:rPr>
          <w:rFonts w:ascii="宋体" w:hAnsi="宋体"/>
          <w:szCs w:val="21"/>
        </w:rPr>
        <w:t>基金</w:t>
      </w:r>
      <w:r>
        <w:rPr>
          <w:rFonts w:ascii="宋体" w:hAnsi="宋体" w:hint="eastAsia"/>
          <w:szCs w:val="21"/>
        </w:rPr>
        <w:t>终止</w:t>
      </w:r>
      <w:r>
        <w:rPr>
          <w:rFonts w:ascii="宋体" w:hAnsi="宋体"/>
          <w:szCs w:val="21"/>
        </w:rPr>
        <w:t>日起，</w:t>
      </w:r>
      <w:r>
        <w:rPr>
          <w:rFonts w:ascii="宋体" w:hAnsi="宋体" w:hint="eastAsia"/>
          <w:szCs w:val="21"/>
        </w:rPr>
        <w:t>本基金不得进行任何新增投资行为。基金终止日后私募基金管理人仍然新增投资并因此造成份额持有人损失的，私募基金管理人应当承担相应赔偿责任，私募基金托管人对此不承担监督责任。</w:t>
      </w:r>
    </w:p>
    <w:p>
      <w:pPr>
        <w:pStyle w:val="a-BR015361"/>
        <w:spacing w:line="360" w:lineRule="auto"/>
        <w:ind w:firstLine="420" w:firstLineChars="200"/>
        <w:rPr>
          <w:rFonts w:ascii="宋体" w:hAnsi="宋体"/>
          <w:szCs w:val="21"/>
        </w:rPr>
      </w:pPr>
      <w:r>
        <w:rPr>
          <w:rFonts w:ascii="宋体" w:hAnsi="宋体" w:hint="eastAsia"/>
          <w:szCs w:val="21"/>
        </w:rPr>
        <w:t>私募基金管理人应当负责及时按照本合同的约定启动清算程序，如因私募基金管理人未及时启动清算程序造成份额持有人损失的，私募基金管理人应当承担全部赔偿责任。全体份额持有人已经知悉并认可：由于私募基金托管人缺少对托管资金账户资金以外的基金资产的变现、交易等操作权限，私募基金托管人无法启动基金的清算程序，并且无法在清算过程中决定基金其他资产变现的价格、时间、方式等要素，因此</w:t>
      </w:r>
      <w:r>
        <w:rPr>
          <w:rFonts w:ascii="宋体" w:hAnsi="宋体" w:hint="eastAsia"/>
          <w:b/>
          <w:bCs/>
          <w:szCs w:val="21"/>
        </w:rPr>
        <w:t>就本基金的清算事宜，私募基金托管人仅负责对托管资金账户资金进行保管和对分配方案进行复核。</w:t>
      </w:r>
    </w:p>
    <w:p>
      <w:pPr>
        <w:pStyle w:val="a-BR015361"/>
        <w:spacing w:line="360" w:lineRule="auto"/>
        <w:ind w:firstLine="420" w:firstLineChars="200"/>
        <w:rPr>
          <w:rFonts w:ascii="宋体" w:hAnsi="宋体"/>
          <w:szCs w:val="21"/>
        </w:rPr>
      </w:pPr>
      <w:r>
        <w:rPr>
          <w:rFonts w:ascii="宋体" w:hAnsi="宋体"/>
          <w:szCs w:val="21"/>
        </w:rPr>
        <w:t>2、本基金终止之日</w:t>
      </w:r>
      <w:r>
        <w:rPr>
          <w:rFonts w:ascii="宋体" w:hAnsi="宋体" w:hint="eastAsia"/>
          <w:szCs w:val="21"/>
        </w:rPr>
        <w:t>起</w:t>
      </w:r>
      <w:r>
        <w:rPr>
          <w:rFonts w:ascii="宋体" w:hAnsi="宋体"/>
          <w:szCs w:val="21"/>
        </w:rPr>
        <w:t>30</w:t>
      </w:r>
      <w:r>
        <w:rPr>
          <w:rFonts w:ascii="宋体" w:hAnsi="宋体" w:hint="eastAsia"/>
          <w:szCs w:val="21"/>
        </w:rPr>
        <w:t>个交易日内由私募基金管理人组织成立清算小组，开始清算程序。</w:t>
      </w:r>
    </w:p>
    <w:p>
      <w:pPr>
        <w:pStyle w:val="a-BR015361"/>
        <w:spacing w:line="360" w:lineRule="auto"/>
        <w:ind w:firstLine="420" w:firstLineChars="200"/>
        <w:rPr>
          <w:rFonts w:ascii="宋体" w:hAnsi="宋体"/>
          <w:szCs w:val="21"/>
        </w:rPr>
      </w:pPr>
      <w:r>
        <w:rPr>
          <w:rFonts w:ascii="宋体" w:hAnsi="宋体"/>
          <w:kern w:val="0"/>
          <w:szCs w:val="21"/>
        </w:rPr>
        <w:t>3</w:t>
      </w:r>
      <w:r>
        <w:rPr>
          <w:rFonts w:ascii="宋体" w:hAnsi="宋体" w:hint="eastAsia"/>
          <w:kern w:val="0"/>
          <w:szCs w:val="21"/>
        </w:rPr>
        <w:t>、</w:t>
      </w:r>
      <w:r>
        <w:rPr>
          <w:rFonts w:ascii="宋体" w:hAnsi="宋体" w:hint="eastAsia"/>
          <w:szCs w:val="21"/>
        </w:rPr>
        <w:t>清算小组成员由私募基金管理人、私募基金托管人等相关人员组成。清算小组可以聘用必要的工作人员。首次</w:t>
      </w:r>
      <w:r>
        <w:rPr>
          <w:rFonts w:ascii="宋体" w:hAnsi="宋体"/>
          <w:szCs w:val="21"/>
        </w:rPr>
        <w:t>清</w:t>
      </w:r>
      <w:r>
        <w:rPr>
          <w:rFonts w:ascii="宋体" w:hAnsi="宋体" w:hint="eastAsia"/>
          <w:szCs w:val="21"/>
        </w:rPr>
        <w:t>算</w:t>
      </w:r>
      <w:r>
        <w:rPr>
          <w:rFonts w:ascii="宋体" w:hAnsi="宋体"/>
          <w:szCs w:val="21"/>
        </w:rPr>
        <w:t>报告</w:t>
      </w:r>
      <w:r>
        <w:rPr>
          <w:rFonts w:ascii="宋体" w:hAnsi="宋体" w:hint="eastAsia"/>
          <w:szCs w:val="21"/>
        </w:rPr>
        <w:t>上</w:t>
      </w:r>
      <w:r>
        <w:rPr>
          <w:rFonts w:ascii="宋体" w:hAnsi="宋体"/>
          <w:szCs w:val="21"/>
        </w:rPr>
        <w:t>载明的资产负债表日</w:t>
      </w:r>
      <w:r>
        <w:rPr>
          <w:rFonts w:ascii="宋体" w:hAnsi="宋体" w:hint="eastAsia"/>
          <w:szCs w:val="21"/>
        </w:rPr>
        <w:t>以基金清算日为准，若存在多次清算的情况则后续清算报告上的资产负债表日以此类推。</w:t>
      </w:r>
    </w:p>
    <w:p>
      <w:pPr>
        <w:pStyle w:val="a-BR015361"/>
        <w:spacing w:line="360" w:lineRule="auto"/>
        <w:ind w:firstLine="420" w:firstLineChars="200"/>
        <w:rPr>
          <w:rFonts w:ascii="宋体" w:hAnsi="宋体"/>
          <w:szCs w:val="21"/>
        </w:rPr>
      </w:pPr>
      <w:r>
        <w:rPr>
          <w:rFonts w:ascii="宋体" w:hAnsi="宋体"/>
          <w:kern w:val="0"/>
          <w:szCs w:val="21"/>
        </w:rPr>
        <w:t>4</w:t>
      </w:r>
      <w:r>
        <w:rPr>
          <w:rFonts w:ascii="宋体" w:hAnsi="宋体" w:hint="eastAsia"/>
          <w:kern w:val="0"/>
          <w:szCs w:val="21"/>
        </w:rPr>
        <w:t>、</w:t>
      </w:r>
      <w:r>
        <w:rPr>
          <w:rFonts w:ascii="宋体" w:hAnsi="宋体" w:hint="eastAsia"/>
          <w:szCs w:val="21"/>
        </w:rPr>
        <w:t>清算小组可以依法以基金的名义进行必要的民事活动。</w:t>
      </w:r>
    </w:p>
    <w:p>
      <w:pPr>
        <w:pStyle w:val="a-BR015361"/>
        <w:spacing w:line="360" w:lineRule="auto"/>
        <w:ind w:firstLine="420" w:firstLineChars="200"/>
        <w:rPr>
          <w:rFonts w:ascii="宋体" w:hAnsi="宋体"/>
          <w:szCs w:val="21"/>
        </w:rPr>
      </w:pPr>
      <w:r>
        <w:rPr>
          <w:rFonts w:ascii="宋体" w:hAnsi="宋体"/>
          <w:szCs w:val="21"/>
        </w:rPr>
        <w:t>5、清算小组中，私募基金管理人负责对非现金类基金清算资产的保管、清理、估价、变现并制定分配方案；私募基金托管人负责对现金类基金</w:t>
      </w:r>
      <w:r>
        <w:rPr>
          <w:rFonts w:hint="eastAsia"/>
        </w:rPr>
        <w:t>清算资产</w:t>
      </w:r>
      <w:r>
        <w:rPr>
          <w:rFonts w:ascii="宋体" w:hAnsi="宋体"/>
          <w:szCs w:val="21"/>
        </w:rPr>
        <w:t>进行保管并</w:t>
      </w:r>
      <w:r>
        <w:rPr>
          <w:rFonts w:ascii="宋体" w:hAnsi="宋体" w:hint="eastAsia"/>
          <w:szCs w:val="21"/>
        </w:rPr>
        <w:t>按照</w:t>
      </w:r>
      <w:r>
        <w:rPr>
          <w:rFonts w:ascii="宋体" w:hAnsi="宋体"/>
          <w:szCs w:val="21"/>
        </w:rPr>
        <w:t>分配方案进行</w:t>
      </w:r>
      <w:r>
        <w:rPr>
          <w:rFonts w:ascii="宋体" w:hAnsi="宋体" w:hint="eastAsia"/>
          <w:szCs w:val="21"/>
        </w:rPr>
        <w:t>资金划拨</w:t>
      </w:r>
      <w:r>
        <w:rPr>
          <w:rFonts w:ascii="宋体" w:hAnsi="宋体"/>
          <w:szCs w:val="21"/>
        </w:rPr>
        <w:t>。</w:t>
      </w:r>
    </w:p>
    <w:p>
      <w:pPr>
        <w:pStyle w:val="a-BR015361"/>
        <w:spacing w:line="360" w:lineRule="auto"/>
        <w:ind w:firstLine="420" w:firstLineChars="200"/>
        <w:rPr>
          <w:rFonts w:ascii="宋体" w:hAnsi="宋体"/>
          <w:szCs w:val="21"/>
        </w:rPr>
      </w:pPr>
      <w:r>
        <w:rPr>
          <w:rFonts w:ascii="宋体" w:hAnsi="宋体"/>
          <w:szCs w:val="21"/>
        </w:rPr>
        <w:t>6、清算小组成员依据本合同或各方签署的、与清算有关文件的约定履行职责，可以通过书面或非书面形式决定清算的相关事宜。</w:t>
      </w:r>
    </w:p>
    <w:p>
      <w:pPr>
        <w:pStyle w:val="a-BR015361"/>
        <w:spacing w:line="360" w:lineRule="auto"/>
        <w:ind w:firstLine="420" w:firstLineChars="200"/>
        <w:rPr>
          <w:rFonts w:ascii="宋体" w:hAnsi="宋体"/>
          <w:szCs w:val="21"/>
        </w:rPr>
      </w:pPr>
      <w:r>
        <w:rPr>
          <w:rFonts w:ascii="宋体" w:hAnsi="宋体" w:hint="eastAsia"/>
          <w:szCs w:val="21"/>
        </w:rPr>
        <w:t>（三）清算程序</w:t>
      </w:r>
    </w:p>
    <w:p>
      <w:pPr>
        <w:pStyle w:val="a-BR015361"/>
        <w:spacing w:line="360" w:lineRule="auto"/>
        <w:ind w:firstLine="420" w:firstLineChars="200"/>
        <w:rPr>
          <w:rFonts w:ascii="宋体" w:hAnsi="宋体"/>
          <w:szCs w:val="21"/>
        </w:rPr>
      </w:pPr>
      <w:r>
        <w:rPr>
          <w:rFonts w:ascii="宋体" w:hAnsi="宋体"/>
          <w:szCs w:val="21"/>
        </w:rPr>
        <w:t>1</w:t>
      </w:r>
      <w:r>
        <w:rPr>
          <w:rFonts w:ascii="宋体" w:hAnsi="宋体" w:hint="eastAsia"/>
          <w:szCs w:val="21"/>
        </w:rPr>
        <w:t>、清算小组成立后，由私募基金管理人负责接管非现金类基金财产；由私募基金托管人接管现金类基金财产；</w:t>
      </w:r>
    </w:p>
    <w:p>
      <w:pPr>
        <w:pStyle w:val="a-BR015361"/>
        <w:spacing w:line="360" w:lineRule="auto"/>
        <w:ind w:firstLine="420" w:firstLineChars="200"/>
        <w:rPr>
          <w:rFonts w:ascii="宋体" w:hAnsi="宋体"/>
          <w:szCs w:val="21"/>
        </w:rPr>
      </w:pPr>
      <w:r>
        <w:rPr>
          <w:rFonts w:ascii="宋体" w:hAnsi="宋体"/>
          <w:szCs w:val="21"/>
        </w:rPr>
        <w:t>2</w:t>
      </w:r>
      <w:r>
        <w:rPr>
          <w:rFonts w:ascii="宋体" w:hAnsi="宋体" w:hint="eastAsia"/>
          <w:szCs w:val="21"/>
        </w:rPr>
        <w:t>、由私募基金管理人对基金财产和债权债务进行清理和确认；</w:t>
      </w:r>
    </w:p>
    <w:p>
      <w:pPr>
        <w:pStyle w:val="a-BR015361"/>
        <w:spacing w:line="360" w:lineRule="auto"/>
        <w:ind w:firstLine="420" w:firstLineChars="200"/>
        <w:rPr>
          <w:rFonts w:ascii="宋体" w:hAnsi="宋体"/>
          <w:szCs w:val="21"/>
        </w:rPr>
      </w:pPr>
      <w:r>
        <w:rPr>
          <w:rFonts w:ascii="宋体" w:hAnsi="宋体"/>
          <w:szCs w:val="21"/>
        </w:rPr>
        <w:t>3</w:t>
      </w:r>
      <w:r>
        <w:rPr>
          <w:rFonts w:ascii="宋体" w:hAnsi="宋体" w:hint="eastAsia"/>
          <w:szCs w:val="21"/>
        </w:rPr>
        <w:t>、由私募基金管理人对基金财产进行估值和变现。除非取得全体基金份额持有人、私募基金托管人书面同意，私募基金管理人应当在基金资产处于可变现状态时及时完成资产的全部变现，私募基金托管人对此不承担监督义务。如因私募基金管理人未及时将基金资产变现造成份额持有人损失的，私募基金管理人应当承担全部赔偿责任；</w:t>
      </w:r>
    </w:p>
    <w:p>
      <w:pPr>
        <w:pStyle w:val="a-BR015361"/>
        <w:spacing w:line="360" w:lineRule="auto"/>
        <w:ind w:firstLine="420" w:firstLineChars="200"/>
        <w:rPr>
          <w:rFonts w:ascii="宋体" w:hAnsi="宋体"/>
          <w:szCs w:val="21"/>
        </w:rPr>
      </w:pPr>
      <w:r>
        <w:rPr>
          <w:rFonts w:ascii="宋体" w:hAnsi="宋体"/>
          <w:szCs w:val="21"/>
        </w:rPr>
        <w:t>4</w:t>
      </w:r>
      <w:r>
        <w:rPr>
          <w:rFonts w:ascii="宋体" w:hAnsi="宋体" w:hint="eastAsia"/>
          <w:szCs w:val="21"/>
        </w:rPr>
        <w:t>、由私募基金管理人制作清算报告；</w:t>
      </w:r>
    </w:p>
    <w:p>
      <w:pPr>
        <w:pStyle w:val="a-BR015361"/>
        <w:spacing w:line="360" w:lineRule="auto"/>
        <w:ind w:firstLine="420" w:firstLineChars="200"/>
        <w:rPr>
          <w:rFonts w:ascii="宋体" w:hAnsi="宋体"/>
          <w:szCs w:val="21"/>
        </w:rPr>
      </w:pPr>
      <w:r>
        <w:rPr>
          <w:rFonts w:ascii="宋体" w:hAnsi="宋体"/>
          <w:szCs w:val="21"/>
        </w:rPr>
        <w:t>5</w:t>
      </w:r>
      <w:r>
        <w:rPr>
          <w:rFonts w:ascii="宋体" w:hAnsi="宋体" w:hint="eastAsia"/>
          <w:szCs w:val="21"/>
        </w:rPr>
        <w:t>、由私募基金管理人对基金财产进行分配；</w:t>
      </w:r>
    </w:p>
    <w:p>
      <w:pPr>
        <w:pStyle w:val="a-BR015361"/>
        <w:spacing w:line="360" w:lineRule="auto"/>
        <w:ind w:firstLine="420" w:firstLineChars="200"/>
        <w:rPr>
          <w:rFonts w:ascii="宋体" w:hAnsi="宋体"/>
          <w:szCs w:val="21"/>
        </w:rPr>
      </w:pPr>
      <w:r>
        <w:rPr>
          <w:rFonts w:ascii="宋体" w:hAnsi="宋体"/>
          <w:szCs w:val="21"/>
        </w:rPr>
        <w:t>6、由私募基金管理人负责及时通知基金份额持有人清算财产变现情况</w:t>
      </w:r>
      <w:r>
        <w:rPr>
          <w:rFonts w:ascii="宋体" w:hAnsi="宋体" w:hint="eastAsia"/>
          <w:szCs w:val="21"/>
        </w:rPr>
        <w:t>；</w:t>
      </w:r>
    </w:p>
    <w:p>
      <w:pPr>
        <w:pStyle w:val="a-BR015361"/>
        <w:spacing w:line="360" w:lineRule="auto"/>
        <w:ind w:firstLine="420" w:firstLineChars="200"/>
        <w:rPr>
          <w:rFonts w:ascii="宋体" w:hAnsi="宋体"/>
          <w:szCs w:val="21"/>
        </w:rPr>
      </w:pPr>
      <w:r>
        <w:rPr>
          <w:rFonts w:ascii="宋体" w:hAnsi="宋体"/>
          <w:szCs w:val="21"/>
        </w:rPr>
        <w:t>7、基金清算完毕，基金合同终止。</w:t>
      </w:r>
    </w:p>
    <w:p>
      <w:pPr>
        <w:pStyle w:val="a-BR015361"/>
        <w:spacing w:line="360" w:lineRule="auto"/>
        <w:ind w:firstLine="420" w:firstLineChars="200"/>
        <w:rPr>
          <w:rFonts w:ascii="宋体" w:hAnsi="宋体"/>
          <w:szCs w:val="21"/>
        </w:rPr>
      </w:pPr>
      <w:r>
        <w:rPr>
          <w:rFonts w:ascii="宋体" w:hAnsi="宋体" w:hint="eastAsia"/>
          <w:szCs w:val="21"/>
        </w:rPr>
        <w:t>（四）清算费用</w:t>
      </w:r>
    </w:p>
    <w:p>
      <w:pPr>
        <w:pStyle w:val="a-BR015361"/>
        <w:spacing w:line="360" w:lineRule="auto"/>
        <w:ind w:firstLine="420" w:firstLineChars="200"/>
        <w:rPr>
          <w:rFonts w:ascii="宋体" w:hAnsi="宋体"/>
          <w:szCs w:val="21"/>
        </w:rPr>
      </w:pPr>
      <w:r>
        <w:rPr>
          <w:rFonts w:ascii="宋体" w:hAnsi="宋体" w:hint="eastAsia"/>
          <w:szCs w:val="21"/>
        </w:rPr>
        <w:t>清算费用是指清算小组在进行基金财产清算过程中发生的所有合理费用，清算费用由清算小组优先从基金资产中支付。</w:t>
      </w:r>
    </w:p>
    <w:p>
      <w:pPr>
        <w:pStyle w:val="a-BR015361"/>
        <w:spacing w:line="360" w:lineRule="auto"/>
        <w:ind w:firstLine="420" w:firstLineChars="200"/>
        <w:rPr>
          <w:rFonts w:ascii="宋体" w:hAnsi="宋体"/>
          <w:szCs w:val="21"/>
        </w:rPr>
      </w:pPr>
      <w:r>
        <w:rPr>
          <w:rFonts w:ascii="宋体" w:hAnsi="宋体" w:hint="eastAsia"/>
          <w:szCs w:val="21"/>
        </w:rPr>
        <w:t>（五）基金财产清算过程中剩余资产的分配</w:t>
      </w:r>
    </w:p>
    <w:p>
      <w:pPr>
        <w:pStyle w:val="a-BR015361"/>
        <w:spacing w:line="360" w:lineRule="auto"/>
        <w:ind w:firstLine="420" w:firstLineChars="200"/>
        <w:rPr>
          <w:rFonts w:ascii="宋体" w:hAnsi="宋体"/>
          <w:szCs w:val="21"/>
        </w:rPr>
      </w:pPr>
      <w:r>
        <w:rPr>
          <w:rFonts w:ascii="宋体" w:hAnsi="宋体" w:hint="eastAsia"/>
          <w:szCs w:val="21"/>
        </w:rPr>
        <w:t>基金财产按如下顺序进行清偿</w:t>
      </w:r>
    </w:p>
    <w:p>
      <w:pPr>
        <w:pStyle w:val="a-BR015361"/>
        <w:spacing w:line="360" w:lineRule="auto"/>
        <w:ind w:firstLine="420" w:firstLineChars="200"/>
        <w:rPr>
          <w:rFonts w:ascii="宋体" w:hAnsi="宋体"/>
          <w:szCs w:val="21"/>
        </w:rPr>
      </w:pPr>
      <w:r>
        <w:rPr>
          <w:rFonts w:ascii="宋体" w:hAnsi="宋体"/>
          <w:szCs w:val="21"/>
        </w:rPr>
        <w:t>1</w:t>
      </w:r>
      <w:r>
        <w:rPr>
          <w:rFonts w:ascii="宋体" w:hAnsi="宋体" w:hint="eastAsia"/>
          <w:szCs w:val="21"/>
        </w:rPr>
        <w:t>、支付基金财产清算费用；</w:t>
      </w:r>
    </w:p>
    <w:p>
      <w:pPr>
        <w:pStyle w:val="a-BR015361"/>
        <w:spacing w:line="360" w:lineRule="auto"/>
        <w:ind w:firstLine="420" w:firstLineChars="200"/>
        <w:rPr>
          <w:rFonts w:ascii="宋体" w:hAnsi="宋体"/>
          <w:szCs w:val="21"/>
        </w:rPr>
      </w:pPr>
      <w:r>
        <w:rPr>
          <w:rFonts w:ascii="宋体" w:hAnsi="宋体"/>
          <w:szCs w:val="21"/>
        </w:rPr>
        <w:t>2</w:t>
      </w:r>
      <w:r>
        <w:rPr>
          <w:rFonts w:ascii="宋体" w:hAnsi="宋体" w:hint="eastAsia"/>
          <w:szCs w:val="21"/>
        </w:rPr>
        <w:t>、缴纳基金所欠税款；</w:t>
      </w:r>
    </w:p>
    <w:p>
      <w:pPr>
        <w:pStyle w:val="a-BR015361"/>
        <w:spacing w:line="360" w:lineRule="auto"/>
        <w:ind w:firstLine="420" w:firstLineChars="200"/>
        <w:rPr>
          <w:rFonts w:ascii="宋体" w:hAnsi="宋体"/>
          <w:szCs w:val="21"/>
        </w:rPr>
      </w:pPr>
      <w:r>
        <w:rPr>
          <w:rFonts w:ascii="宋体" w:hAnsi="宋体"/>
          <w:szCs w:val="21"/>
        </w:rPr>
        <w:t>3</w:t>
      </w:r>
      <w:r>
        <w:rPr>
          <w:rFonts w:ascii="宋体" w:hAnsi="宋体" w:hint="eastAsia"/>
          <w:szCs w:val="21"/>
        </w:rPr>
        <w:t>、清偿基金债务；</w:t>
      </w:r>
    </w:p>
    <w:p>
      <w:pPr>
        <w:pStyle w:val="a-BR015361"/>
        <w:spacing w:line="360" w:lineRule="auto"/>
        <w:ind w:firstLine="420" w:firstLineChars="200"/>
        <w:rPr>
          <w:rFonts w:ascii="宋体" w:hAnsi="宋体"/>
          <w:szCs w:val="21"/>
        </w:rPr>
      </w:pPr>
      <w:r>
        <w:rPr>
          <w:rFonts w:ascii="宋体" w:hAnsi="宋体"/>
          <w:szCs w:val="21"/>
        </w:rPr>
        <w:t>4</w:t>
      </w:r>
      <w:r>
        <w:rPr>
          <w:rFonts w:ascii="宋体" w:hAnsi="宋体" w:hint="eastAsia"/>
          <w:szCs w:val="21"/>
        </w:rPr>
        <w:t>、清算后如有余额，按基金份额持有人持有的基金份额比例进行分配并分别扣除应计提业绩报酬（如有）、浮动投资顾问费（如有）。</w:t>
      </w:r>
    </w:p>
    <w:p>
      <w:pPr>
        <w:pStyle w:val="a-BR015361"/>
        <w:spacing w:line="360" w:lineRule="auto"/>
        <w:ind w:firstLine="420" w:firstLineChars="200"/>
        <w:rPr>
          <w:rFonts w:ascii="宋体" w:hAnsi="宋体"/>
          <w:szCs w:val="21"/>
        </w:rPr>
      </w:pPr>
      <w:r>
        <w:rPr>
          <w:rFonts w:ascii="宋体" w:hAnsi="宋体" w:hint="eastAsia"/>
          <w:szCs w:val="21"/>
        </w:rPr>
        <w:t>（六）私募基金财产首次清算报告的告知安排</w:t>
      </w:r>
    </w:p>
    <w:p>
      <w:pPr>
        <w:pStyle w:val="a-BR015361"/>
        <w:spacing w:line="360" w:lineRule="auto"/>
        <w:ind w:firstLine="420" w:firstLineChars="200"/>
        <w:rPr>
          <w:rFonts w:ascii="宋体" w:hAnsi="宋体"/>
          <w:szCs w:val="21"/>
        </w:rPr>
      </w:pPr>
      <w:r>
        <w:rPr>
          <w:rFonts w:ascii="宋体" w:hAnsi="宋体" w:hint="eastAsia"/>
          <w:szCs w:val="21"/>
        </w:rPr>
        <w:t>基金清算程序开始后的</w:t>
      </w:r>
      <w:r>
        <w:rPr>
          <w:rFonts w:ascii="宋体" w:hAnsi="宋体"/>
          <w:szCs w:val="21"/>
        </w:rPr>
        <w:t>30个交易日内，</w:t>
      </w:r>
      <w:r>
        <w:rPr>
          <w:rFonts w:ascii="宋体" w:hAnsi="宋体" w:hint="eastAsia"/>
          <w:szCs w:val="21"/>
        </w:rPr>
        <w:t>私募</w:t>
      </w:r>
      <w:r>
        <w:rPr>
          <w:rFonts w:ascii="宋体" w:hAnsi="宋体"/>
          <w:szCs w:val="21"/>
        </w:rPr>
        <w:t>基金管理人应确定基金剩余财产的</w:t>
      </w:r>
      <w:r>
        <w:rPr>
          <w:rFonts w:ascii="宋体" w:hAnsi="宋体" w:hint="eastAsia"/>
          <w:szCs w:val="21"/>
        </w:rPr>
        <w:t>首次</w:t>
      </w:r>
      <w:r>
        <w:rPr>
          <w:rFonts w:ascii="宋体" w:hAnsi="宋体"/>
          <w:szCs w:val="21"/>
        </w:rPr>
        <w:t>分配方案，完成私募基金财产清算报告的制作，并告知全体份额持有人。</w:t>
      </w:r>
    </w:p>
    <w:p>
      <w:pPr>
        <w:pStyle w:val="a-BR015361"/>
        <w:spacing w:line="360" w:lineRule="auto"/>
        <w:ind w:firstLine="420" w:firstLineChars="200"/>
        <w:rPr>
          <w:rFonts w:ascii="宋体" w:hAnsi="宋体"/>
          <w:szCs w:val="21"/>
        </w:rPr>
      </w:pPr>
      <w:r>
        <w:rPr>
          <w:rFonts w:ascii="宋体" w:hAnsi="宋体" w:hint="eastAsia"/>
          <w:szCs w:val="21"/>
        </w:rPr>
        <w:t>（七）清算时本基金财产无法及时变现情况的处理方式</w:t>
      </w:r>
    </w:p>
    <w:p>
      <w:pPr>
        <w:pStyle w:val="a-BR015361"/>
        <w:spacing w:line="360" w:lineRule="auto"/>
        <w:ind w:firstLine="420" w:firstLineChars="200"/>
        <w:rPr>
          <w:rFonts w:ascii="宋体" w:hAnsi="宋体"/>
          <w:szCs w:val="21"/>
        </w:rPr>
      </w:pPr>
      <w:r>
        <w:rPr>
          <w:rFonts w:ascii="宋体" w:hAnsi="宋体" w:hint="eastAsia"/>
          <w:szCs w:val="21"/>
        </w:rPr>
        <w:t>因持有流通受限证券、投资的产品封闭期（含限售期、锁定期）超过基金存续期等原因导致本基金财产无法及时变现的，私募基金管理人应当于本基金终止后对基金财产进行清算并先行分配已变现部分。待上述资产可以变现时，私募基金管理人及时完成剩余可变现基金资产的变现操作后进行再次清算，</w:t>
      </w:r>
      <w:r>
        <w:rPr>
          <w:rFonts w:ascii="宋体" w:hint="eastAsia"/>
          <w:szCs w:val="21"/>
        </w:rPr>
        <w:t>并将该部分财产另行分配给全体基金份额持有人。本基金持有多个流通受限的证券及投资产品的，私募基金管理人按本款及本章节第（三）条约定进行多次变现及清算</w:t>
      </w:r>
      <w:r>
        <w:rPr>
          <w:rFonts w:ascii="宋体" w:hAnsi="宋体" w:hint="eastAsia"/>
          <w:szCs w:val="21"/>
        </w:rPr>
        <w:t>。</w:t>
      </w:r>
    </w:p>
    <w:p>
      <w:pPr>
        <w:pStyle w:val="a-BR015361"/>
        <w:spacing w:line="360" w:lineRule="auto"/>
        <w:ind w:firstLine="525" w:firstLineChars="250"/>
        <w:rPr>
          <w:rFonts w:ascii="宋体" w:hAnsi="宋体"/>
          <w:szCs w:val="21"/>
        </w:rPr>
      </w:pPr>
      <w:r>
        <w:rPr>
          <w:rFonts w:ascii="宋体" w:hAnsi="宋体" w:hint="eastAsia"/>
          <w:szCs w:val="21"/>
        </w:rPr>
        <w:t>本基金首次清算完毕之日（不含）起至本基金所有财产清算完毕之日止，不计提管理费、托管费、运营服务费、基金的投资顾问费（如有）、销售服务费（如有）及业绩报酬（如有）。特别地，若私募基金合同“私募基金的费用与税收”章节规定基金清算日为业绩报酬计提基准日且计提方式为</w:t>
      </w:r>
      <w:r>
        <w:rPr>
          <w:rFonts w:hint="eastAsia"/>
        </w:rPr>
        <w:t>整体高水位净值法、整体年化收益差额法或整体年化收益全额法等以基金整体业绩表现作为高水位线的计提方式</w:t>
      </w:r>
      <w:r>
        <w:rPr>
          <w:rFonts w:ascii="宋体" w:hAnsi="宋体" w:hint="eastAsia"/>
          <w:szCs w:val="21"/>
        </w:rPr>
        <w:t>时，若本私募基金存在多个清算日，在首次清算日预估计提业绩报酬但不支付，后续每个清算日将实际变现的金额反算在首次清算日并以此为基准进行业绩报酬的重估，与上一次清算日预估计提业绩报酬金额之间的差异补提或冲销在各清算日，实际业绩报酬金额体现在最后一个清算日。</w:t>
      </w:r>
    </w:p>
    <w:p>
      <w:pPr>
        <w:pStyle w:val="a-BR015361"/>
        <w:spacing w:line="360" w:lineRule="auto"/>
        <w:ind w:firstLine="420" w:firstLineChars="200"/>
        <w:rPr>
          <w:rFonts w:ascii="宋体" w:hAnsi="宋体"/>
          <w:szCs w:val="21"/>
        </w:rPr>
      </w:pPr>
      <w:r>
        <w:rPr>
          <w:rFonts w:ascii="宋体" w:hAnsi="宋体" w:hint="eastAsia"/>
          <w:szCs w:val="21"/>
        </w:rPr>
        <w:t>（八）清算未尽事宜</w:t>
      </w:r>
    </w:p>
    <w:p>
      <w:pPr>
        <w:pStyle w:val="a-BR015361"/>
        <w:spacing w:line="360" w:lineRule="auto"/>
        <w:ind w:firstLine="420" w:firstLineChars="200"/>
        <w:rPr>
          <w:rFonts w:ascii="宋体" w:hAnsi="宋体"/>
          <w:szCs w:val="21"/>
        </w:rPr>
      </w:pPr>
      <w:r>
        <w:rPr>
          <w:rFonts w:ascii="宋体" w:hAnsi="宋体" w:hint="eastAsia"/>
          <w:szCs w:val="21"/>
        </w:rPr>
        <w:t>本合同中关于基金清算的未尽事宜以清算报告或私募基金管理人通知为准。</w:t>
      </w:r>
    </w:p>
    <w:p>
      <w:pPr>
        <w:pStyle w:val="a-BR015361"/>
        <w:spacing w:line="360" w:lineRule="auto"/>
        <w:ind w:firstLine="420" w:firstLineChars="200"/>
        <w:rPr>
          <w:rFonts w:ascii="宋体" w:hAnsi="宋体"/>
          <w:szCs w:val="21"/>
        </w:rPr>
      </w:pPr>
      <w:r>
        <w:rPr>
          <w:rFonts w:ascii="宋体" w:hAnsi="宋体" w:hint="eastAsia"/>
          <w:szCs w:val="21"/>
        </w:rPr>
        <w:t>（九）私募基金财产清算账册及文件由私募基金管理人保存</w:t>
      </w:r>
      <w:r>
        <w:rPr>
          <w:rFonts w:ascii="宋体" w:hAnsi="宋体"/>
          <w:szCs w:val="21"/>
        </w:rPr>
        <w:t>10年以上</w:t>
      </w:r>
      <w:r>
        <w:rPr>
          <w:rFonts w:ascii="宋体" w:hAnsi="宋体" w:hint="eastAsia"/>
          <w:szCs w:val="21"/>
        </w:rPr>
        <w:t>。</w:t>
      </w:r>
    </w:p>
    <w:p>
      <w:pPr>
        <w:pStyle w:val="a-BR015361"/>
        <w:spacing w:line="360" w:lineRule="auto"/>
        <w:ind w:firstLine="420" w:firstLineChars="200"/>
        <w:rPr>
          <w:rFonts w:ascii="宋体" w:hAnsi="宋体"/>
          <w:szCs w:val="21"/>
        </w:rPr>
      </w:pPr>
      <w:r>
        <w:rPr>
          <w:rFonts w:ascii="宋体" w:hAnsi="宋体" w:hint="eastAsia"/>
          <w:szCs w:val="21"/>
        </w:rPr>
        <w:t>（十）私募基金财产相关账户的注销</w:t>
      </w:r>
    </w:p>
    <w:p>
      <w:pPr>
        <w:pStyle w:val="a-BR015361"/>
        <w:spacing w:line="360" w:lineRule="auto"/>
        <w:ind w:firstLine="420" w:firstLineChars="200"/>
        <w:rPr>
          <w:rFonts w:ascii="宋体" w:hAnsi="宋体"/>
          <w:szCs w:val="21"/>
        </w:rPr>
      </w:pPr>
      <w:r>
        <w:rPr>
          <w:rFonts w:ascii="宋体" w:hAnsi="宋体" w:hint="eastAsia"/>
          <w:szCs w:val="21"/>
        </w:rPr>
        <w:t>私募基金财产清算完毕后，私募基金管理人和私募基金托管人应负责注销各自开立的私募基金财产相关账户。</w:t>
      </w:r>
    </w:p>
    <w:p>
      <w:pPr>
        <w:pStyle w:val="a-BR015361"/>
        <w:spacing w:line="360" w:lineRule="auto"/>
        <w:ind w:firstLine="420" w:firstLineChars="200"/>
        <w:rPr>
          <w:rFonts w:ascii="宋体" w:hAnsi="宋体"/>
          <w:szCs w:val="21"/>
        </w:rPr>
      </w:pPr>
      <w:r>
        <w:rPr>
          <w:rFonts w:ascii="宋体" w:hAnsi="宋体" w:hint="eastAsia"/>
          <w:szCs w:val="21"/>
        </w:rPr>
        <w:t>（十一）关于清算事项的特殊约定</w:t>
      </w:r>
    </w:p>
    <w:p>
      <w:pPr>
        <w:pStyle w:val="a-BR015361"/>
        <w:spacing w:line="360" w:lineRule="auto"/>
        <w:ind w:firstLine="420" w:firstLineChars="200"/>
        <w:rPr>
          <w:rFonts w:ascii="宋体" w:hAnsi="宋体"/>
          <w:szCs w:val="21"/>
        </w:rPr>
      </w:pPr>
      <w:r>
        <w:rPr>
          <w:rFonts w:ascii="宋体" w:hAnsi="宋体" w:hint="eastAsia"/>
          <w:szCs w:val="21"/>
        </w:rPr>
        <w:t>尽管有上述约定，如发生私募基金管理人客观上丧失继续管理本基金能力的情况时，可由基金份额持有人根据本合同约定召集持有人大会、推选基金份额持有人代表，由私募基金托管人、基金份额持有人代表共同组建清算小组。清算小组可通过清算小组书面决议的形式对本章节的相关规定进行修改、补充，相关清算规则应以清算小组的决议内容为准。</w:t>
      </w:r>
    </w:p>
    <w:p>
      <w:pPr>
        <w:pStyle w:val="a7-BR802661"/>
        <w:rPr>
          <w:sz w:val="21"/>
          <w:szCs w:val="21"/>
        </w:rPr>
      </w:pPr>
      <w:bookmarkStart w:id="39" w:name="_Toc256000023"/>
      <w:r>
        <w:rPr>
          <w:rFonts w:hint="eastAsia"/>
          <w:sz w:val="21"/>
          <w:szCs w:val="21"/>
        </w:rPr>
        <w:t>二十三、违约责任</w:t>
      </w:r>
      <w:bookmarkEnd w:id="39"/>
    </w:p>
    <w:p>
      <w:pPr>
        <w:pStyle w:val="a-BR802661"/>
        <w:spacing w:line="360" w:lineRule="auto"/>
        <w:ind w:firstLine="420" w:firstLineChars="200"/>
        <w:rPr>
          <w:rFonts w:ascii="宋体" w:hAnsi="宋体"/>
          <w:b/>
          <w:bCs/>
          <w:szCs w:val="21"/>
        </w:rPr>
      </w:pPr>
      <w:r>
        <w:rPr>
          <w:rFonts w:ascii="宋体" w:hAnsi="宋体" w:hint="eastAsia"/>
          <w:szCs w:val="21"/>
        </w:rPr>
        <w:t>（一）私募基金管理人、私募基金托管人、基金投资者在实现各自权利、履行各自义务的过程中，违反法律、行政法规的规定或者本合同约定，应当承担相应的责任；给基金财产或者本合同其他当事人造成的直接损失，应当分别对各自的行为依法承担赔偿责任。本合同能够继续履行的应当继续履行。</w:t>
      </w:r>
      <w:r>
        <w:rPr>
          <w:rFonts w:ascii="宋体" w:hAnsi="宋体" w:hint="eastAsia"/>
          <w:b/>
          <w:bCs/>
          <w:szCs w:val="21"/>
        </w:rPr>
        <w:t>但是发生下列情况，当事人可以免除相应的责任：</w:t>
      </w:r>
    </w:p>
    <w:p>
      <w:pPr>
        <w:pStyle w:val="a-BR802661"/>
        <w:spacing w:line="360" w:lineRule="auto"/>
        <w:ind w:firstLine="420" w:firstLineChars="200"/>
        <w:rPr>
          <w:rFonts w:ascii="宋体" w:hAnsi="宋体"/>
          <w:b/>
          <w:szCs w:val="21"/>
        </w:rPr>
      </w:pPr>
      <w:r>
        <w:rPr>
          <w:rFonts w:ascii="宋体" w:hAnsi="宋体"/>
          <w:b/>
          <w:szCs w:val="21"/>
        </w:rPr>
        <w:t>1</w:t>
      </w:r>
      <w:r>
        <w:rPr>
          <w:rFonts w:ascii="宋体" w:hAnsi="宋体" w:hint="eastAsia"/>
          <w:b/>
          <w:szCs w:val="21"/>
        </w:rPr>
        <w:t>、私募基金管理人和</w:t>
      </w:r>
      <w:r>
        <w:rPr>
          <w:rFonts w:ascii="宋体" w:hAnsi="宋体"/>
          <w:b/>
          <w:szCs w:val="21"/>
        </w:rPr>
        <w:t>/</w:t>
      </w:r>
      <w:r>
        <w:rPr>
          <w:rFonts w:ascii="宋体" w:hAnsi="宋体" w:hint="eastAsia"/>
          <w:b/>
          <w:szCs w:val="21"/>
        </w:rPr>
        <w:t>或私募基金托管人按照有效的法律、行政法规或金融监管部门的规定作为或不作为而造成的损失等。</w:t>
      </w:r>
    </w:p>
    <w:p>
      <w:pPr>
        <w:pStyle w:val="a-BR802661"/>
        <w:spacing w:line="360" w:lineRule="auto"/>
        <w:ind w:firstLine="420" w:firstLineChars="200"/>
        <w:rPr>
          <w:rFonts w:ascii="宋体" w:hAnsi="宋体"/>
          <w:b/>
          <w:szCs w:val="21"/>
        </w:rPr>
      </w:pPr>
      <w:r>
        <w:rPr>
          <w:rFonts w:ascii="宋体" w:hAnsi="宋体"/>
          <w:b/>
          <w:szCs w:val="21"/>
        </w:rPr>
        <w:t>2</w:t>
      </w:r>
      <w:r>
        <w:rPr>
          <w:rFonts w:ascii="宋体" w:hAnsi="宋体" w:hint="eastAsia"/>
          <w:b/>
          <w:szCs w:val="21"/>
        </w:rPr>
        <w:t>、私募基金管理人由于按照本合同约定的投资原则而行使或不行使其投资权而造成的损失等。</w:t>
      </w:r>
    </w:p>
    <w:p>
      <w:pPr>
        <w:pStyle w:val="a-BR802661"/>
        <w:spacing w:line="360" w:lineRule="auto"/>
        <w:ind w:firstLine="420" w:firstLineChars="200"/>
        <w:rPr>
          <w:rFonts w:ascii="宋体" w:hAnsi="宋体"/>
          <w:b/>
          <w:szCs w:val="21"/>
          <w:lang w:val="zh-CN"/>
        </w:rPr>
      </w:pPr>
      <w:r>
        <w:rPr>
          <w:rFonts w:ascii="宋体" w:hAnsi="宋体"/>
          <w:b/>
          <w:szCs w:val="21"/>
          <w:lang w:val="zh-CN"/>
        </w:rPr>
        <w:t>3</w:t>
      </w:r>
      <w:r>
        <w:rPr>
          <w:rFonts w:ascii="宋体" w:hAnsi="宋体" w:hint="eastAsia"/>
          <w:b/>
          <w:szCs w:val="21"/>
          <w:lang w:val="zh-CN"/>
        </w:rPr>
        <w:t>、私募基金托管人由于按照私募基金管理人符合本合同约定的有效指令执行而造成的损失等。</w:t>
      </w:r>
    </w:p>
    <w:p>
      <w:pPr>
        <w:pStyle w:val="a-BR802661"/>
        <w:spacing w:line="360" w:lineRule="auto"/>
        <w:ind w:firstLine="420" w:firstLineChars="200"/>
        <w:rPr>
          <w:rFonts w:ascii="宋体" w:hAnsi="宋体"/>
          <w:b/>
          <w:szCs w:val="21"/>
        </w:rPr>
      </w:pPr>
      <w:r>
        <w:rPr>
          <w:rFonts w:ascii="宋体" w:hAnsi="宋体"/>
          <w:b/>
          <w:szCs w:val="21"/>
        </w:rPr>
        <w:t>4</w:t>
      </w:r>
      <w:r>
        <w:rPr>
          <w:rFonts w:ascii="宋体" w:hAnsi="宋体" w:hint="eastAsia"/>
          <w:b/>
          <w:szCs w:val="21"/>
        </w:rPr>
        <w:t>、私募基金托管人对存放或存管在私募基金托管人以外机构的基金资产（包括但不限于投资其他证券投资基金、信托计划、证券公司及其子公司资产管理计划、保险公司及其子公司资产管理计划、期货公司及其子公司资产管理计划、基金公司及其子公司资产管理计划形成的基金资产），或交由商业银行、证券经纪机构、期货经纪机构等其他机构负责清算交收的委托资产（包括但不限于期货账户内的资金、期货合约等）及其收益，因该等机构欺诈、疏忽、过失、破产等原因给委托资产带来的损失等。</w:t>
      </w:r>
    </w:p>
    <w:p>
      <w:pPr>
        <w:pStyle w:val="a-BR802661"/>
        <w:spacing w:line="360" w:lineRule="auto"/>
        <w:ind w:firstLine="420" w:firstLineChars="200"/>
        <w:rPr>
          <w:rFonts w:ascii="宋体" w:hAnsi="宋体"/>
          <w:b/>
          <w:szCs w:val="21"/>
        </w:rPr>
      </w:pPr>
      <w:r>
        <w:rPr>
          <w:rFonts w:ascii="宋体" w:hAnsi="宋体"/>
          <w:b/>
          <w:szCs w:val="21"/>
        </w:rPr>
        <w:t>5</w:t>
      </w:r>
      <w:r>
        <w:rPr>
          <w:rFonts w:ascii="宋体" w:hAnsi="宋体" w:hint="eastAsia"/>
          <w:b/>
          <w:szCs w:val="21"/>
        </w:rPr>
        <w:t>、</w:t>
      </w:r>
      <w:r>
        <w:rPr>
          <w:rFonts w:ascii="宋体" w:hAnsi="宋体" w:hint="eastAsia"/>
          <w:b/>
          <w:kern w:val="0"/>
          <w:szCs w:val="21"/>
        </w:rPr>
        <w:t>私募基金管理人、私募基金托管人对由于第三方（包括但不限于交易所、中登公司、中国期货市场监控中心等）发送或提供的数据错误给本基金资产造成的损失等。</w:t>
      </w:r>
    </w:p>
    <w:p>
      <w:pPr>
        <w:pStyle w:val="a-BR802661"/>
        <w:spacing w:line="360" w:lineRule="auto"/>
        <w:ind w:firstLine="420" w:firstLineChars="200"/>
        <w:rPr>
          <w:rFonts w:ascii="宋体" w:hAnsi="宋体"/>
          <w:b/>
          <w:szCs w:val="21"/>
        </w:rPr>
      </w:pPr>
      <w:r>
        <w:rPr>
          <w:rFonts w:ascii="宋体" w:hAnsi="宋体"/>
          <w:b/>
          <w:szCs w:val="21"/>
        </w:rPr>
        <w:t>6</w:t>
      </w:r>
      <w:r>
        <w:rPr>
          <w:rFonts w:ascii="宋体" w:hAnsi="宋体" w:hint="eastAsia"/>
          <w:b/>
          <w:szCs w:val="21"/>
        </w:rPr>
        <w:t>、</w:t>
      </w:r>
      <w:r>
        <w:rPr>
          <w:rFonts w:ascii="宋体" w:hAnsi="宋体" w:hint="eastAsia"/>
          <w:b/>
          <w:szCs w:val="21"/>
          <w:lang w:val="zh-CN"/>
        </w:rPr>
        <w:t>对于无法预见、无法抗拒、无法避免且在本合同签署之日后发生的不可抗力事件，导致合同当事人方无法全部履行或部分履行本合同的，任何一方当事人不承担违约责任</w:t>
      </w:r>
      <w:r>
        <w:rPr>
          <w:rFonts w:ascii="宋体" w:hAnsi="宋体" w:hint="eastAsia"/>
          <w:b/>
          <w:szCs w:val="21"/>
        </w:rPr>
        <w:t>。但是一方因不可抗力不能履行本合同时，应及时通知另一方，并在合理期限内提供受到不可抗力影响的证明，同时采取适当措施防止基金资产损失扩大。任何一方当事人延迟履行合同义务后，发生了上述不可抗力事件致使合同当事人无法全部或部分履行本合同，该方不能减轻或免除相应责任。</w:t>
      </w:r>
    </w:p>
    <w:p>
      <w:pPr>
        <w:pStyle w:val="a-BR802661"/>
        <w:spacing w:line="360" w:lineRule="auto"/>
        <w:ind w:firstLine="420" w:firstLineChars="200"/>
        <w:rPr>
          <w:rFonts w:ascii="宋体" w:hAnsi="宋体"/>
          <w:b/>
          <w:szCs w:val="21"/>
        </w:rPr>
      </w:pPr>
      <w:r>
        <w:rPr>
          <w:rFonts w:ascii="宋体" w:hAnsi="宋体"/>
          <w:b/>
          <w:szCs w:val="21"/>
        </w:rPr>
        <w:t>7</w:t>
      </w:r>
      <w:r>
        <w:rPr>
          <w:rFonts w:ascii="宋体" w:hAnsi="宋体" w:hint="eastAsia"/>
          <w:b/>
          <w:szCs w:val="21"/>
        </w:rPr>
        <w:t>、基金投资者未能事前就其关联证券或其他禁止交易证券等投资者自身违法违规原因明确告知私募基金管理人，致使基金财产发生违规投资行为的，私募基金管理人及私募基金托管人均不承担任何责任。</w:t>
      </w:r>
    </w:p>
    <w:p>
      <w:pPr>
        <w:pStyle w:val="a-BR802661"/>
        <w:spacing w:line="360" w:lineRule="auto"/>
        <w:ind w:firstLine="420" w:firstLineChars="200"/>
        <w:rPr>
          <w:rFonts w:ascii="宋体" w:hAnsi="宋体"/>
          <w:b/>
          <w:szCs w:val="21"/>
        </w:rPr>
      </w:pPr>
      <w:r>
        <w:rPr>
          <w:rFonts w:hint="eastAsia"/>
          <w:b/>
          <w:szCs w:val="21"/>
        </w:rPr>
        <w:t>8、私募基金托管人或私募基金管理人因执行</w:t>
      </w:r>
      <w:r>
        <w:rPr>
          <w:rFonts w:hint="eastAsia"/>
          <w:b/>
          <w:bCs/>
          <w:szCs w:val="21"/>
        </w:rPr>
        <w:t>基金份额持有人会议决议对任何其他方造成损失的，不承担任何赔偿责任。</w:t>
      </w:r>
    </w:p>
    <w:p>
      <w:pPr>
        <w:pStyle w:val="a-BR802661"/>
        <w:spacing w:line="360" w:lineRule="auto"/>
        <w:ind w:firstLine="420" w:firstLineChars="200"/>
        <w:rPr>
          <w:rFonts w:ascii="宋体" w:hAnsi="宋体"/>
          <w:szCs w:val="21"/>
        </w:rPr>
      </w:pPr>
      <w:r>
        <w:rPr>
          <w:rFonts w:ascii="宋体" w:hAnsi="宋体" w:hint="eastAsia"/>
          <w:szCs w:val="21"/>
        </w:rPr>
        <w:t>（二）在发生一方或多方违约的情况下，在最大限度地保护基金份额持有人利益的前提下，本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pPr>
        <w:pStyle w:val="a-BR802661"/>
        <w:spacing w:line="360" w:lineRule="auto"/>
        <w:ind w:firstLine="420" w:firstLineChars="200"/>
        <w:rPr>
          <w:rFonts w:ascii="宋体" w:hAnsi="宋体"/>
          <w:b/>
          <w:szCs w:val="21"/>
        </w:rPr>
      </w:pPr>
      <w:r>
        <w:rPr>
          <w:rFonts w:ascii="宋体" w:hAnsi="宋体" w:hint="eastAsia"/>
          <w:b/>
          <w:szCs w:val="21"/>
        </w:rPr>
        <w:t>（三）非因私募基金管理人、私募基金托管人的原因导致业务出现差错，私募基金管理人和私募基金托管人虽然已经采取必要、适当、合理的措施进行检查，但是未能发现错误的或虽发现错误但因前述原因无法及时更新的，由此造成基金财产或基金投资者损失，私募基金管理人和私募基金托管人免除赔偿责任。但是私募基金管理人和私募基金托管人应积极采取必要的措施消除或减轻由此造成的影响。</w:t>
      </w:r>
    </w:p>
    <w:p>
      <w:pPr>
        <w:pStyle w:val="a-BR802661"/>
        <w:spacing w:line="360" w:lineRule="auto"/>
        <w:ind w:firstLine="420" w:firstLineChars="200"/>
        <w:rPr>
          <w:rFonts w:ascii="宋体" w:hAnsi="宋体"/>
          <w:b/>
          <w:szCs w:val="21"/>
        </w:rPr>
      </w:pPr>
      <w:r>
        <w:rPr>
          <w:rFonts w:ascii="宋体" w:hAnsi="宋体" w:hint="eastAsia"/>
          <w:b/>
          <w:szCs w:val="21"/>
        </w:rPr>
        <w:t>（四）一方依据本合同向另一方赔偿的损失，仅限于直接损失。</w:t>
      </w:r>
    </w:p>
    <w:p>
      <w:pPr>
        <w:pStyle w:val="a9-BR360216"/>
        <w:rPr>
          <w:sz w:val="21"/>
          <w:szCs w:val="21"/>
        </w:rPr>
      </w:pPr>
      <w:bookmarkStart w:id="40" w:name="_Toc256000024"/>
      <w:r>
        <w:rPr>
          <w:rFonts w:hint="eastAsia"/>
          <w:sz w:val="21"/>
          <w:szCs w:val="21"/>
        </w:rPr>
        <w:t>二十四、法律适用和争议的处理</w:t>
      </w:r>
      <w:bookmarkEnd w:id="40"/>
    </w:p>
    <w:p>
      <w:pPr>
        <w:pStyle w:val="a-BR360216"/>
        <w:spacing w:line="360" w:lineRule="auto"/>
        <w:ind w:firstLine="420" w:firstLineChars="200"/>
        <w:rPr>
          <w:rFonts w:ascii="宋体" w:hAnsi="宋体"/>
          <w:szCs w:val="21"/>
        </w:rPr>
      </w:pPr>
      <w:r>
        <w:rPr>
          <w:rFonts w:ascii="宋体" w:hAnsi="宋体" w:hint="eastAsia"/>
          <w:szCs w:val="21"/>
        </w:rPr>
        <w:t>有关本合同的签署和履行而产生的任何争议及对本合同项下条款的解释，均适用中华人民共和国法律法规（为本合同之目的，在此不包括香港、澳门特别行政区及台湾地区法律法规），并按其解释。</w:t>
      </w:r>
    </w:p>
    <w:p>
      <w:pPr>
        <w:pStyle w:val="a-BR360216"/>
        <w:spacing w:line="360" w:lineRule="auto"/>
        <w:ind w:firstLine="420" w:firstLineChars="200"/>
        <w:rPr>
          <w:rFonts w:ascii="宋体" w:hAnsi="宋体"/>
          <w:b/>
          <w:szCs w:val="21"/>
        </w:rPr>
      </w:pPr>
      <w:r>
        <w:rPr>
          <w:rFonts w:ascii="宋体" w:hAnsi="宋体" w:hint="eastAsia"/>
          <w:b/>
          <w:szCs w:val="21"/>
        </w:rPr>
        <w:t>各方当事人同意，因本合同而产生的或与本合同有关的一切争议，合同当事人应尽量通过协商、调解途径解决。经友好协商未能解决的，应提交</w:t>
      </w:r>
      <w:r>
        <w:rPr>
          <w:rFonts w:ascii="宋体" w:hAnsi="宋体" w:cs="仿宋_GB2312" w:hint="eastAsia"/>
          <w:b/>
          <w:kern w:val="0"/>
          <w:szCs w:val="21"/>
        </w:rPr>
        <w:t>上海仲裁委员会金融仲裁院，根据该会</w:t>
      </w:r>
      <w:r>
        <w:rPr>
          <w:rFonts w:ascii="宋体" w:hAnsi="宋体" w:cs="仿宋_GB2312"/>
          <w:b/>
          <w:kern w:val="0"/>
          <w:szCs w:val="21"/>
        </w:rPr>
        <w:t>届时</w:t>
      </w:r>
      <w:r>
        <w:rPr>
          <w:rFonts w:ascii="宋体" w:hAnsi="宋体" w:cs="仿宋_GB2312" w:hint="eastAsia"/>
          <w:b/>
          <w:kern w:val="0"/>
          <w:szCs w:val="21"/>
        </w:rPr>
        <w:t>有效的仲裁规则进行仲裁，仲裁的地点在上海市。仲裁费用由败诉方承担。</w:t>
      </w:r>
    </w:p>
    <w:p>
      <w:pPr>
        <w:pStyle w:val="a9-BR366260"/>
        <w:rPr>
          <w:sz w:val="21"/>
          <w:szCs w:val="21"/>
        </w:rPr>
      </w:pPr>
      <w:bookmarkStart w:id="41" w:name="_Toc256000025"/>
      <w:r>
        <w:rPr>
          <w:rFonts w:hint="eastAsia"/>
          <w:sz w:val="21"/>
          <w:szCs w:val="21"/>
        </w:rPr>
        <w:t>二十五、其他事项</w:t>
      </w:r>
      <w:bookmarkEnd w:id="41"/>
    </w:p>
    <w:p>
      <w:pPr>
        <w:pStyle w:val="a-BR366260"/>
        <w:spacing w:line="360" w:lineRule="auto"/>
        <w:ind w:firstLine="420" w:firstLineChars="200"/>
        <w:rPr>
          <w:rFonts w:ascii="宋体" w:hAnsi="宋体"/>
          <w:szCs w:val="21"/>
        </w:rPr>
      </w:pPr>
      <w:r>
        <w:rPr>
          <w:rFonts w:ascii="宋体" w:hAnsi="宋体"/>
          <w:szCs w:val="21"/>
        </w:rPr>
        <w:t>1、</w:t>
      </w:r>
      <w:r>
        <w:rPr>
          <w:rFonts w:ascii="宋体" w:hAnsi="宋体" w:hint="eastAsia"/>
          <w:szCs w:val="21"/>
        </w:rPr>
        <w:t>本合同的签署采用纸质合同的方式进行的，由私募基金管理人、私募基金托管人、基金投资者共同签署，一式三份，私募基金管理人、私募基金托管人和基金投资者各持一份。私募基金管理人应妥善保管并按私募基金托管人要求及时向私募基金托管人移交三方签署的合同原件。</w:t>
      </w:r>
    </w:p>
    <w:p>
      <w:pPr>
        <w:pStyle w:val="a-BR366260"/>
        <w:spacing w:line="360" w:lineRule="auto"/>
        <w:ind w:firstLine="420" w:firstLineChars="200"/>
        <w:rPr>
          <w:rFonts w:ascii="宋体" w:hAnsi="宋体"/>
          <w:szCs w:val="21"/>
        </w:rPr>
      </w:pPr>
      <w:r>
        <w:rPr>
          <w:rFonts w:ascii="宋体" w:hAnsi="宋体" w:hint="eastAsia"/>
          <w:szCs w:val="21"/>
        </w:rPr>
        <w:t>本合同的签署</w:t>
      </w:r>
      <w:r>
        <w:rPr>
          <w:rFonts w:ascii="宋体" w:hAnsi="宋体"/>
          <w:szCs w:val="21"/>
        </w:rPr>
        <w:t>采用电子签名的方式</w:t>
      </w:r>
      <w:r>
        <w:rPr>
          <w:rFonts w:ascii="宋体" w:hAnsi="宋体" w:hint="eastAsia"/>
          <w:szCs w:val="21"/>
        </w:rPr>
        <w:t>进行的</w:t>
      </w:r>
      <w:r>
        <w:rPr>
          <w:rFonts w:ascii="宋体" w:hAnsi="宋体"/>
          <w:szCs w:val="21"/>
        </w:rPr>
        <w:t>，</w:t>
      </w:r>
      <w:r>
        <w:rPr>
          <w:rFonts w:ascii="宋体" w:hAnsi="宋体" w:hint="eastAsia"/>
          <w:szCs w:val="21"/>
        </w:rPr>
        <w:t>可采取以下方式：</w:t>
      </w:r>
    </w:p>
    <w:p>
      <w:pPr>
        <w:pStyle w:val="a-BR366260"/>
        <w:spacing w:line="360" w:lineRule="auto"/>
        <w:ind w:firstLine="420" w:firstLineChars="200"/>
        <w:rPr>
          <w:rFonts w:ascii="宋体" w:hAnsi="宋体"/>
          <w:szCs w:val="21"/>
        </w:rPr>
      </w:pPr>
      <w:r>
        <w:rPr>
          <w:rFonts w:ascii="宋体" w:hAnsi="宋体" w:hint="eastAsia"/>
          <w:szCs w:val="21"/>
        </w:rPr>
        <w:t>（1）电子合同</w:t>
      </w:r>
      <w:r>
        <w:rPr>
          <w:rFonts w:ascii="宋体" w:hAnsi="宋体"/>
          <w:szCs w:val="21"/>
        </w:rPr>
        <w:t>由基金投资者签署</w:t>
      </w:r>
      <w:r>
        <w:rPr>
          <w:rFonts w:ascii="宋体" w:hAnsi="宋体" w:hint="eastAsia"/>
          <w:szCs w:val="21"/>
        </w:rPr>
        <w:t>的</w:t>
      </w:r>
      <w:r>
        <w:rPr>
          <w:rFonts w:ascii="宋体" w:hAnsi="宋体"/>
          <w:szCs w:val="21"/>
        </w:rPr>
        <w:t>。私募基金管理人与私募基金托管人双方同时签署纸质合同，纸质合同原件一式贰份，由私募基金管理人与私募基金托管人各执壹份，</w:t>
      </w:r>
      <w:r>
        <w:rPr>
          <w:rFonts w:ascii="宋体" w:hAnsi="宋体" w:hint="eastAsia"/>
          <w:szCs w:val="21"/>
        </w:rPr>
        <w:t>私募基金管理人确保</w:t>
      </w:r>
      <w:r>
        <w:rPr>
          <w:rFonts w:ascii="宋体" w:hAnsi="宋体"/>
          <w:szCs w:val="21"/>
        </w:rPr>
        <w:t>投资者以电子签名方式签署的合同</w:t>
      </w:r>
      <w:r>
        <w:rPr>
          <w:rFonts w:ascii="宋体" w:hAnsi="宋体" w:hint="eastAsia"/>
          <w:szCs w:val="21"/>
        </w:rPr>
        <w:t>内容与私募基金管理人和私募基金托管人签署的纸质合同内容</w:t>
      </w:r>
      <w:r>
        <w:rPr>
          <w:rFonts w:ascii="宋体" w:hAnsi="宋体"/>
          <w:szCs w:val="21"/>
        </w:rPr>
        <w:t>保持一致</w:t>
      </w:r>
      <w:r>
        <w:rPr>
          <w:rFonts w:ascii="宋体" w:hAnsi="宋体" w:hint="eastAsia"/>
          <w:szCs w:val="21"/>
        </w:rPr>
        <w:t>。</w:t>
      </w:r>
    </w:p>
    <w:p>
      <w:pPr>
        <w:pStyle w:val="a-BR366260"/>
        <w:spacing w:line="360" w:lineRule="auto"/>
        <w:ind w:firstLine="420" w:firstLineChars="200"/>
        <w:rPr>
          <w:rFonts w:ascii="宋体" w:hAnsi="宋体"/>
          <w:szCs w:val="21"/>
        </w:rPr>
      </w:pPr>
      <w:r>
        <w:rPr>
          <w:rFonts w:hint="eastAsia"/>
        </w:rPr>
        <w:t>（2）由私</w:t>
      </w:r>
      <w:r>
        <w:rPr>
          <w:rFonts w:ascii="宋体" w:hAnsi="宋体" w:hint="eastAsia"/>
          <w:szCs w:val="21"/>
        </w:rPr>
        <w:t>募基金管理人、私募基金托管人、基金投资者共同采用电子签名签署本合同的，该等电子签名与纸质合同上手写签名或盖章具有同等法律效力。</w:t>
      </w:r>
      <w:r>
        <w:rPr>
          <w:rFonts w:ascii="宋体" w:hAnsi="宋体"/>
          <w:szCs w:val="21"/>
        </w:rPr>
        <w:t>在各方签署完成后</w:t>
      </w:r>
      <w:r>
        <w:rPr>
          <w:rFonts w:ascii="宋体" w:hAnsi="宋体" w:hint="eastAsia"/>
          <w:szCs w:val="21"/>
        </w:rPr>
        <w:t>，</w:t>
      </w:r>
      <w:r>
        <w:rPr>
          <w:rFonts w:ascii="宋体" w:hAnsi="宋体"/>
          <w:szCs w:val="21"/>
        </w:rPr>
        <w:t>私募基金管理人应当</w:t>
      </w:r>
      <w:r>
        <w:rPr>
          <w:rFonts w:ascii="宋体" w:hAnsi="宋体" w:hint="eastAsia"/>
          <w:szCs w:val="21"/>
        </w:rPr>
        <w:t>确保电子签约数据（包括但不限于电子合同、电子签名信息）存储在符合法律法规及监管要求规定的信息系统，并</w:t>
      </w:r>
      <w:r>
        <w:rPr>
          <w:rFonts w:ascii="宋体" w:hAnsi="宋体"/>
          <w:szCs w:val="21"/>
        </w:rPr>
        <w:t>向基金投资者</w:t>
      </w:r>
      <w:r>
        <w:rPr>
          <w:rFonts w:ascii="宋体" w:hAnsi="宋体" w:hint="eastAsia"/>
          <w:szCs w:val="21"/>
        </w:rPr>
        <w:t>、</w:t>
      </w:r>
      <w:r>
        <w:rPr>
          <w:rFonts w:ascii="宋体" w:hAnsi="宋体"/>
          <w:szCs w:val="21"/>
        </w:rPr>
        <w:t>私募基金托管人提供相应电子合同</w:t>
      </w:r>
      <w:r>
        <w:rPr>
          <w:rFonts w:ascii="宋体" w:hAnsi="宋体" w:hint="eastAsia"/>
          <w:szCs w:val="21"/>
        </w:rPr>
        <w:t>的查询、下载渠道。</w:t>
      </w:r>
    </w:p>
    <w:p>
      <w:pPr>
        <w:pStyle w:val="a-BR366260"/>
        <w:spacing w:line="360" w:lineRule="auto"/>
        <w:ind w:firstLine="420" w:firstLineChars="200"/>
        <w:rPr>
          <w:rFonts w:ascii="宋体" w:hAnsi="宋体"/>
          <w:b/>
          <w:bCs/>
          <w:szCs w:val="21"/>
        </w:rPr>
      </w:pPr>
      <w:r>
        <w:rPr>
          <w:rFonts w:ascii="宋体" w:hAnsi="宋体"/>
          <w:b/>
          <w:bCs/>
          <w:szCs w:val="21"/>
        </w:rPr>
        <w:t>2、</w:t>
      </w:r>
      <w:r>
        <w:rPr>
          <w:rFonts w:ascii="宋体" w:hAnsi="宋体" w:hint="eastAsia"/>
          <w:b/>
          <w:bCs/>
          <w:szCs w:val="21"/>
        </w:rPr>
        <w:t>基金投资者确认，私募基金管理人、私募基金托管人可通过套印公司公章（或合同专用章）、法定代表人</w:t>
      </w:r>
      <w:r>
        <w:rPr>
          <w:rFonts w:ascii="宋体" w:hAnsi="宋体"/>
          <w:b/>
          <w:bCs/>
          <w:szCs w:val="21"/>
        </w:rPr>
        <w:t>/执行事务合伙人或授权代表签字的方式与基金投资者签署本基金合同，私募基金管理人、私募基金托管人以套印方式签署本合同的法律效力等同于直接签署，对合同各方具有约束力。</w:t>
      </w:r>
    </w:p>
    <w:p>
      <w:pPr>
        <w:pStyle w:val="a-BR366260"/>
        <w:spacing w:line="360" w:lineRule="auto"/>
        <w:ind w:firstLine="420" w:firstLineChars="200"/>
        <w:rPr>
          <w:rFonts w:ascii="宋体" w:hAnsi="宋体"/>
          <w:szCs w:val="21"/>
        </w:rPr>
      </w:pPr>
      <w:r>
        <w:rPr>
          <w:rFonts w:ascii="宋体" w:hAnsi="宋体"/>
          <w:szCs w:val="21"/>
        </w:rPr>
        <w:t>3、基金投资者在签署本合同后方可进行认购、申购。</w:t>
      </w:r>
    </w:p>
    <w:p>
      <w:pPr>
        <w:pStyle w:val="a-BR366260"/>
        <w:spacing w:line="360" w:lineRule="auto"/>
        <w:ind w:firstLine="420" w:firstLineChars="200"/>
        <w:rPr>
          <w:rFonts w:ascii="宋体" w:hAnsi="宋体"/>
          <w:szCs w:val="21"/>
        </w:rPr>
      </w:pPr>
      <w:r>
        <w:rPr>
          <w:rFonts w:ascii="宋体" w:hAnsi="宋体"/>
          <w:szCs w:val="21"/>
        </w:rPr>
        <w:t>4、本合同如有未尽事宜，由合同当事人各方按有关法律法规和规定协商解决。</w:t>
      </w:r>
    </w:p>
    <w:p>
      <w:pPr>
        <w:pStyle w:val="a-BR366260"/>
        <w:spacing w:line="360" w:lineRule="auto"/>
        <w:ind w:firstLine="420" w:firstLineChars="200"/>
        <w:rPr>
          <w:rFonts w:ascii="宋体" w:hAnsi="宋体"/>
          <w:szCs w:val="21"/>
        </w:rPr>
      </w:pPr>
      <w:r>
        <w:rPr>
          <w:rFonts w:ascii="宋体" w:hAnsi="宋体" w:hint="eastAsia"/>
          <w:szCs w:val="21"/>
        </w:rPr>
        <w:t>（以下无正文）</w:t>
      </w:r>
    </w:p>
    <w:p>
      <w:pPr>
        <w:pStyle w:val="a-BR366260"/>
        <w:spacing w:line="360" w:lineRule="auto"/>
        <w:ind w:firstLine="420" w:firstLineChars="200"/>
        <w:rPr>
          <w:rFonts w:ascii="宋体" w:hAnsi="宋体"/>
          <w:szCs w:val="21"/>
        </w:rPr>
      </w:pPr>
      <w:r>
        <w:rPr>
          <w:rFonts w:ascii="宋体" w:hAnsi="宋体"/>
          <w:szCs w:val="21"/>
        </w:rPr>
        <w:br w:type="page"/>
      </w:r>
      <w:r>
        <w:rPr>
          <w:rFonts w:ascii="宋体" w:hAnsi="宋体" w:hint="eastAsia"/>
          <w:szCs w:val="21"/>
        </w:rPr>
        <w:t>（本页无正文，为《正仁1号私募证券投资基金私募基金合同》签署页，请各当事人务必确保填写的资料正确有效，如因填写错误导致的任何损失，私募基金管理人和私募基金托管人不承担任何责任。）</w:t>
      </w:r>
    </w:p>
    <w:p>
      <w:pPr>
        <w:pStyle w:val="a-BR366260"/>
        <w:spacing w:line="360" w:lineRule="auto"/>
        <w:rPr>
          <w:rFonts w:ascii="宋体" w:hAnsi="宋体"/>
          <w:b/>
          <w:szCs w:val="21"/>
        </w:rPr>
      </w:pPr>
      <w:r>
        <w:rPr>
          <w:rFonts w:ascii="宋体" w:hAnsi="宋体" w:hint="eastAsia"/>
          <w:b/>
          <w:szCs w:val="21"/>
        </w:rPr>
        <w:t>基金投资者：</w:t>
      </w:r>
    </w:p>
    <w:p>
      <w:pPr>
        <w:pStyle w:val="a-BR366260"/>
        <w:spacing w:line="360" w:lineRule="auto"/>
        <w:rPr>
          <w:rFonts w:ascii="宋体" w:hAnsi="宋体"/>
          <w:b/>
          <w:szCs w:val="21"/>
        </w:rPr>
      </w:pPr>
      <w:r>
        <w:rPr>
          <w:rFonts w:ascii="宋体" w:hAnsi="宋体" w:hint="eastAsia"/>
          <w:b/>
          <w:szCs w:val="21"/>
        </w:rPr>
        <w:t>自然人（签字）：</w:t>
      </w:r>
    </w:p>
    <w:p>
      <w:pPr>
        <w:pStyle w:val="a-BR366260"/>
        <w:spacing w:line="360" w:lineRule="auto"/>
        <w:rPr>
          <w:rFonts w:ascii="宋体" w:hAnsi="宋体"/>
          <w:szCs w:val="21"/>
        </w:rPr>
      </w:pPr>
      <w:r>
        <w:rPr>
          <w:rFonts w:ascii="宋体" w:hAnsi="宋体" w:hint="eastAsia"/>
          <w:szCs w:val="21"/>
        </w:rPr>
        <w:t>证件名称：□身份证、□军官证、□护照、</w:t>
      </w:r>
      <w:r>
        <w:rPr>
          <w:rFonts w:ascii="宋体" w:hAnsi="宋体" w:cs="宋体" w:hint="eastAsia"/>
          <w:kern w:val="0"/>
          <w:szCs w:val="21"/>
        </w:rPr>
        <w:t>□港澳台回乡证或台胞证</w:t>
      </w:r>
    </w:p>
    <w:p>
      <w:pPr>
        <w:pStyle w:val="a-BR366260"/>
        <w:spacing w:line="360" w:lineRule="auto"/>
        <w:rPr>
          <w:rFonts w:ascii="宋体" w:hAnsi="宋体"/>
          <w:sz w:val="28"/>
          <w:szCs w:val="28"/>
        </w:rPr>
      </w:pPr>
      <w:r>
        <w:rPr>
          <w:rFonts w:ascii="宋体" w:hAnsi="宋体" w:hint="eastAsia"/>
          <w:szCs w:val="21"/>
        </w:rPr>
        <w:t>证件号码：</w:t>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p>
    <w:p>
      <w:pPr>
        <w:pStyle w:val="a-BR366260"/>
        <w:spacing w:line="360" w:lineRule="auto"/>
        <w:ind w:firstLine="420" w:firstLineChars="200"/>
        <w:rPr>
          <w:rFonts w:ascii="宋体" w:hAnsi="宋体"/>
          <w:b/>
          <w:szCs w:val="21"/>
        </w:rPr>
      </w:pPr>
    </w:p>
    <w:p>
      <w:pPr>
        <w:pStyle w:val="a-BR366260"/>
        <w:spacing w:line="360" w:lineRule="auto"/>
        <w:rPr>
          <w:rFonts w:ascii="宋体" w:hAnsi="宋体"/>
          <w:b/>
          <w:szCs w:val="21"/>
        </w:rPr>
      </w:pPr>
      <w:r>
        <w:rPr>
          <w:rFonts w:ascii="宋体" w:hAnsi="宋体" w:hint="eastAsia"/>
          <w:b/>
          <w:szCs w:val="21"/>
        </w:rPr>
        <w:t>或机构（盖章）：</w:t>
      </w:r>
    </w:p>
    <w:p>
      <w:pPr>
        <w:pStyle w:val="a-BR366260"/>
        <w:spacing w:line="360" w:lineRule="auto"/>
        <w:rPr>
          <w:rFonts w:ascii="宋体" w:hAnsi="宋体"/>
          <w:b/>
          <w:szCs w:val="21"/>
          <w:u w:val="single"/>
        </w:rPr>
      </w:pPr>
      <w:r>
        <w:rPr>
          <w:rFonts w:ascii="宋体" w:hAnsi="宋体" w:hint="eastAsia"/>
          <w:b/>
          <w:szCs w:val="21"/>
        </w:rPr>
        <w:t>统一社会信用代码：</w:t>
      </w:r>
      <w:r>
        <w:rPr>
          <w:rFonts w:ascii="宋体" w:hAnsi="宋体"/>
          <w:b/>
          <w:szCs w:val="21"/>
          <w:u w:val="single"/>
        </w:rPr>
        <w:tab/>
      </w:r>
      <w:r>
        <w:rPr>
          <w:rFonts w:ascii="宋体" w:hAnsi="宋体"/>
          <w:b/>
          <w:szCs w:val="21"/>
          <w:u w:val="single"/>
        </w:rPr>
        <w:tab/>
      </w:r>
      <w:r>
        <w:rPr>
          <w:rFonts w:ascii="宋体" w:hAnsi="宋体"/>
          <w:b/>
          <w:szCs w:val="21"/>
          <w:u w:val="single"/>
        </w:rPr>
        <w:tab/>
      </w:r>
      <w:r>
        <w:rPr>
          <w:rFonts w:ascii="宋体" w:hAnsi="宋体"/>
          <w:b/>
          <w:szCs w:val="21"/>
          <w:u w:val="single"/>
        </w:rPr>
        <w:tab/>
      </w:r>
      <w:r>
        <w:rPr>
          <w:rFonts w:ascii="宋体" w:hAnsi="宋体"/>
          <w:b/>
          <w:szCs w:val="21"/>
          <w:u w:val="single"/>
        </w:rPr>
        <w:tab/>
      </w:r>
      <w:r>
        <w:rPr>
          <w:rFonts w:ascii="宋体" w:hAnsi="宋体"/>
          <w:b/>
          <w:szCs w:val="21"/>
          <w:u w:val="single"/>
        </w:rPr>
        <w:tab/>
      </w:r>
      <w:r>
        <w:rPr>
          <w:rFonts w:ascii="宋体" w:hAnsi="宋体"/>
          <w:b/>
          <w:szCs w:val="21"/>
          <w:u w:val="single"/>
        </w:rPr>
        <w:tab/>
      </w:r>
      <w:r>
        <w:rPr>
          <w:rFonts w:ascii="宋体" w:hAnsi="宋体"/>
          <w:b/>
          <w:szCs w:val="21"/>
          <w:u w:val="single"/>
        </w:rPr>
        <w:tab/>
      </w:r>
    </w:p>
    <w:p>
      <w:pPr>
        <w:pStyle w:val="a-BR366260"/>
        <w:spacing w:line="360" w:lineRule="auto"/>
        <w:rPr>
          <w:rFonts w:ascii="宋体" w:hAnsi="宋体"/>
          <w:b/>
          <w:szCs w:val="21"/>
        </w:rPr>
      </w:pPr>
      <w:r>
        <w:rPr>
          <w:rFonts w:ascii="宋体" w:hAnsi="宋体" w:hint="eastAsia"/>
          <w:b/>
          <w:szCs w:val="21"/>
        </w:rPr>
        <w:t>法定代表人/执行事务合伙人或授权代表（签字）：</w:t>
      </w:r>
    </w:p>
    <w:p>
      <w:pPr>
        <w:pStyle w:val="a-BR366260"/>
        <w:spacing w:line="360" w:lineRule="auto"/>
        <w:rPr>
          <w:rFonts w:ascii="宋体" w:hAnsi="宋体"/>
          <w:b/>
          <w:szCs w:val="21"/>
        </w:rPr>
      </w:pPr>
    </w:p>
    <w:p>
      <w:pPr>
        <w:pStyle w:val="a-BR366260"/>
        <w:spacing w:line="360" w:lineRule="auto"/>
        <w:ind w:firstLine="420" w:firstLineChars="200"/>
        <w:rPr>
          <w:rFonts w:ascii="宋体" w:hAnsi="宋体"/>
          <w:b/>
          <w:szCs w:val="21"/>
        </w:rPr>
      </w:pPr>
    </w:p>
    <w:p>
      <w:pPr>
        <w:pStyle w:val="a-BR366260"/>
        <w:spacing w:line="360" w:lineRule="auto"/>
        <w:ind w:firstLine="420" w:firstLineChars="200"/>
        <w:jc w:val="right"/>
        <w:rPr>
          <w:rFonts w:ascii="宋体" w:hAnsi="宋体"/>
          <w:b/>
          <w:szCs w:val="21"/>
        </w:rPr>
      </w:pPr>
    </w:p>
    <w:p>
      <w:pPr>
        <w:pStyle w:val="a-BR366260"/>
        <w:spacing w:line="360" w:lineRule="auto"/>
        <w:ind w:firstLine="420" w:firstLineChars="200"/>
        <w:jc w:val="right"/>
        <w:rPr>
          <w:rFonts w:ascii="宋体" w:hAnsi="宋体"/>
          <w:szCs w:val="21"/>
        </w:rPr>
      </w:pPr>
    </w:p>
    <w:p>
      <w:pPr>
        <w:pStyle w:val="a-BR366260"/>
        <w:spacing w:line="360" w:lineRule="auto"/>
        <w:rPr>
          <w:rFonts w:ascii="宋体" w:hAnsi="宋体"/>
          <w:b/>
          <w:szCs w:val="21"/>
        </w:rPr>
      </w:pPr>
      <w:r>
        <w:rPr>
          <w:rFonts w:ascii="宋体" w:hAnsi="宋体" w:hint="eastAsia"/>
          <w:b/>
          <w:szCs w:val="21"/>
        </w:rPr>
        <w:t>私募基金管理人：</w:t>
      </w:r>
      <w:r>
        <w:rPr>
          <w:rFonts w:ascii="宋体" w:hAnsi="宋体" w:hint="eastAsia"/>
          <w:b/>
          <w:szCs w:val="21"/>
          <w:lang w:eastAsia="zh-CN"/>
        </w:rPr>
        <w:t>海南正仁量化私募基金</w:t>
      </w:r>
      <w:r>
        <w:rPr>
          <w:rFonts w:ascii="宋体" w:hAnsi="宋体" w:hint="eastAsia"/>
          <w:b/>
          <w:szCs w:val="21"/>
        </w:rPr>
        <w:t>管理有限公司</w:t>
      </w:r>
    </w:p>
    <w:p>
      <w:pPr>
        <w:pStyle w:val="a-BR366260"/>
        <w:spacing w:line="360" w:lineRule="auto"/>
        <w:ind w:firstLine="420" w:firstLineChars="200"/>
        <w:rPr>
          <w:rFonts w:ascii="宋体" w:hAnsi="宋体"/>
          <w:b/>
          <w:szCs w:val="21"/>
        </w:rPr>
      </w:pPr>
    </w:p>
    <w:p>
      <w:pPr>
        <w:pStyle w:val="a-BR366260"/>
        <w:spacing w:line="360" w:lineRule="auto"/>
        <w:rPr>
          <w:rFonts w:ascii="宋体" w:hAnsi="宋体"/>
          <w:b/>
          <w:szCs w:val="21"/>
        </w:rPr>
      </w:pPr>
      <w:r>
        <w:rPr>
          <w:rFonts w:ascii="宋体" w:hAnsi="宋体" w:hint="eastAsia"/>
          <w:b/>
          <w:szCs w:val="21"/>
        </w:rPr>
        <w:t>法定代表人</w:t>
      </w:r>
      <w:r>
        <w:rPr>
          <w:rFonts w:ascii="宋体" w:hAnsi="宋体"/>
          <w:b/>
          <w:szCs w:val="21"/>
        </w:rPr>
        <w:t>/执行事务合伙人或授权代表：</w:t>
      </w:r>
    </w:p>
    <w:p>
      <w:pPr>
        <w:pStyle w:val="a-BR366260"/>
        <w:spacing w:line="360" w:lineRule="auto"/>
        <w:ind w:firstLine="420" w:firstLineChars="200"/>
        <w:rPr>
          <w:rFonts w:ascii="宋体" w:hAnsi="宋体"/>
          <w:b/>
          <w:szCs w:val="21"/>
        </w:rPr>
      </w:pPr>
    </w:p>
    <w:p>
      <w:pPr>
        <w:pStyle w:val="a-BR366260"/>
        <w:spacing w:line="360" w:lineRule="auto"/>
        <w:ind w:firstLine="420" w:firstLineChars="200"/>
        <w:rPr>
          <w:rFonts w:ascii="宋体" w:hAnsi="宋体"/>
          <w:b/>
          <w:szCs w:val="21"/>
        </w:rPr>
      </w:pPr>
    </w:p>
    <w:p>
      <w:pPr>
        <w:pStyle w:val="a-BR366260"/>
        <w:spacing w:line="360" w:lineRule="auto"/>
        <w:ind w:firstLine="420" w:firstLineChars="200"/>
        <w:rPr>
          <w:rFonts w:ascii="宋体" w:hAnsi="宋体"/>
          <w:b/>
          <w:szCs w:val="21"/>
        </w:rPr>
      </w:pPr>
    </w:p>
    <w:p>
      <w:pPr>
        <w:pStyle w:val="a-BR366260"/>
        <w:spacing w:line="360" w:lineRule="auto"/>
        <w:rPr>
          <w:rFonts w:ascii="宋体" w:hAnsi="宋体"/>
          <w:b/>
          <w:szCs w:val="21"/>
        </w:rPr>
      </w:pPr>
    </w:p>
    <w:p>
      <w:pPr>
        <w:pStyle w:val="a-BR366260"/>
        <w:spacing w:line="360" w:lineRule="auto"/>
        <w:rPr>
          <w:rFonts w:ascii="宋体" w:hAnsi="宋体"/>
          <w:b/>
          <w:szCs w:val="21"/>
        </w:rPr>
      </w:pPr>
      <w:r>
        <w:rPr>
          <w:rFonts w:ascii="宋体" w:hAnsi="宋体" w:hint="eastAsia"/>
          <w:b/>
          <w:szCs w:val="21"/>
        </w:rPr>
        <w:t>私募基金托管人：国泰君安证券股份有限公司</w:t>
      </w:r>
    </w:p>
    <w:p>
      <w:pPr>
        <w:pStyle w:val="a-BR366260"/>
        <w:spacing w:line="360" w:lineRule="auto"/>
        <w:ind w:firstLine="420" w:firstLineChars="200"/>
        <w:rPr>
          <w:rFonts w:ascii="宋体" w:hAnsi="宋体"/>
          <w:b/>
          <w:szCs w:val="21"/>
        </w:rPr>
      </w:pPr>
    </w:p>
    <w:p>
      <w:pPr>
        <w:pStyle w:val="a-BR366260"/>
        <w:spacing w:line="360" w:lineRule="auto"/>
        <w:rPr>
          <w:rFonts w:ascii="宋体" w:hAnsi="宋体"/>
          <w:b/>
          <w:szCs w:val="21"/>
        </w:rPr>
      </w:pPr>
      <w:r>
        <w:rPr>
          <w:rFonts w:ascii="宋体" w:hAnsi="宋体" w:hint="eastAsia"/>
          <w:b/>
          <w:szCs w:val="21"/>
        </w:rPr>
        <w:t>法定代表人或授权代表：</w:t>
      </w:r>
    </w:p>
    <w:p>
      <w:pPr>
        <w:pStyle w:val="a-BR366260"/>
        <w:spacing w:line="360" w:lineRule="auto"/>
        <w:ind w:right="480" w:firstLine="420" w:firstLineChars="200"/>
        <w:jc w:val="right"/>
        <w:rPr>
          <w:rFonts w:ascii="宋体" w:hAnsi="宋体"/>
          <w:b/>
          <w:szCs w:val="21"/>
        </w:rPr>
      </w:pPr>
    </w:p>
    <w:p>
      <w:pPr>
        <w:pStyle w:val="a-BR366260"/>
        <w:spacing w:line="360" w:lineRule="auto"/>
        <w:ind w:right="480"/>
        <w:rPr>
          <w:rFonts w:ascii="宋体" w:hAnsi="宋体"/>
          <w:b/>
          <w:szCs w:val="21"/>
        </w:rPr>
      </w:pPr>
      <w:r>
        <w:rPr>
          <w:rFonts w:ascii="宋体" w:hAnsi="宋体" w:hint="eastAsia"/>
          <w:b/>
          <w:szCs w:val="21"/>
        </w:rPr>
        <w:t>签署日期：   年  月  日</w:t>
      </w:r>
    </w:p>
    <w:p>
      <w:pPr>
        <w:pStyle w:val="a-BR366260"/>
        <w:widowControl/>
        <w:jc w:val="left"/>
        <w:rPr>
          <w:rFonts w:ascii="宋体" w:hAnsi="宋体"/>
          <w:b/>
          <w:szCs w:val="21"/>
        </w:rPr>
      </w:pPr>
      <w:r>
        <w:rPr>
          <w:rFonts w:ascii="宋体" w:hAnsi="宋体"/>
          <w:b/>
          <w:szCs w:val="21"/>
        </w:rPr>
        <w:br w:type="page"/>
      </w:r>
    </w:p>
    <w:p>
      <w:pPr>
        <w:pStyle w:val="a-BR366260"/>
        <w:widowControl/>
        <w:jc w:val="center"/>
        <w:rPr>
          <w:rFonts w:ascii="仿宋_GB2312" w:eastAsia="仿宋_GB2312"/>
          <w:b/>
          <w:sz w:val="24"/>
        </w:rPr>
      </w:pPr>
      <w:r>
        <w:rPr>
          <w:rFonts w:ascii="仿宋_GB2312" w:eastAsia="仿宋_GB2312" w:hint="eastAsia"/>
          <w:b/>
          <w:sz w:val="24"/>
        </w:rPr>
        <w:t>重要账户信息</w:t>
      </w:r>
    </w:p>
    <w:p>
      <w:pPr>
        <w:pStyle w:val="a-BR366260"/>
        <w:spacing w:before="100" w:after="100"/>
        <w:jc w:val="center"/>
        <w:rPr>
          <w:rFonts w:ascii="宋体"/>
          <w:sz w:val="24"/>
        </w:rPr>
      </w:pPr>
    </w:p>
    <w:p>
      <w:pPr>
        <w:pStyle w:val="a-BR366260"/>
        <w:adjustRightInd w:val="0"/>
        <w:snapToGrid w:val="0"/>
        <w:spacing w:line="360" w:lineRule="auto"/>
        <w:ind w:firstLine="480" w:firstLineChars="200"/>
        <w:rPr>
          <w:rFonts w:ascii="宋体"/>
          <w:sz w:val="24"/>
        </w:rPr>
      </w:pPr>
      <w:r>
        <w:rPr>
          <w:rFonts w:ascii="宋体" w:hint="eastAsia"/>
          <w:sz w:val="24"/>
        </w:rPr>
        <w:t>管理费和业绩报酬收费账户</w:t>
      </w:r>
    </w:p>
    <w:p>
      <w:pPr>
        <w:pStyle w:val="a-BR366260"/>
        <w:adjustRightInd w:val="0"/>
        <w:snapToGrid w:val="0"/>
        <w:spacing w:line="360" w:lineRule="auto"/>
        <w:ind w:firstLine="480" w:firstLineChars="200"/>
        <w:rPr>
          <w:rFonts w:ascii="宋体"/>
          <w:sz w:val="24"/>
        </w:rPr>
      </w:pPr>
      <w:r>
        <w:rPr>
          <w:rFonts w:ascii="宋体" w:hint="eastAsia"/>
          <w:sz w:val="24"/>
        </w:rPr>
        <w:t>私募基金管理人账户名称：</w:t>
      </w:r>
      <w:r>
        <w:rPr>
          <w:rFonts w:ascii="宋体" w:hint="eastAsia"/>
          <w:sz w:val="24"/>
          <w:lang w:eastAsia="zh-CN"/>
        </w:rPr>
        <w:t>海南正仁量化私募基金</w:t>
      </w:r>
      <w:r>
        <w:rPr>
          <w:rFonts w:ascii="宋体" w:hint="eastAsia"/>
          <w:sz w:val="24"/>
        </w:rPr>
        <w:t>管理有限公司</w:t>
      </w:r>
    </w:p>
    <w:p>
      <w:pPr>
        <w:pStyle w:val="a-BR366260"/>
        <w:adjustRightInd w:val="0"/>
        <w:snapToGrid w:val="0"/>
        <w:spacing w:line="360" w:lineRule="auto"/>
        <w:ind w:firstLine="480" w:firstLineChars="200"/>
        <w:rPr>
          <w:rFonts w:ascii="宋体"/>
          <w:sz w:val="24"/>
        </w:rPr>
      </w:pPr>
      <w:r>
        <w:rPr>
          <w:rFonts w:ascii="宋体" w:hint="eastAsia"/>
          <w:sz w:val="24"/>
        </w:rPr>
        <w:t>私募基金管理人账号：1202020619800100041</w:t>
      </w:r>
    </w:p>
    <w:p>
      <w:pPr>
        <w:pStyle w:val="a-BR366260"/>
        <w:adjustRightInd w:val="0"/>
        <w:snapToGrid w:val="0"/>
        <w:spacing w:line="360" w:lineRule="auto"/>
        <w:ind w:firstLine="480" w:firstLineChars="200"/>
        <w:rPr>
          <w:rFonts w:ascii="宋体" w:eastAsia="宋体" w:hint="eastAsia"/>
          <w:sz w:val="24"/>
          <w:lang w:val="en-US" w:eastAsia="zh-CN"/>
        </w:rPr>
      </w:pPr>
      <w:r>
        <w:rPr>
          <w:rFonts w:ascii="宋体" w:hint="eastAsia"/>
          <w:sz w:val="24"/>
        </w:rPr>
        <w:t>私募基金管理人开户银行全称：</w:t>
      </w:r>
      <w:r>
        <w:rPr>
          <w:rFonts w:ascii="宋体" w:hint="eastAsia"/>
          <w:sz w:val="24"/>
          <w:lang w:val="en-US" w:eastAsia="zh-CN"/>
        </w:rPr>
        <w:t>中国</w:t>
      </w:r>
      <w:r>
        <w:rPr>
          <w:rFonts w:ascii="宋体" w:hint="eastAsia"/>
          <w:sz w:val="24"/>
        </w:rPr>
        <w:t>工商银行</w:t>
      </w:r>
      <w:r>
        <w:rPr>
          <w:rFonts w:ascii="宋体" w:hint="eastAsia"/>
          <w:sz w:val="24"/>
          <w:lang w:val="en-US" w:eastAsia="zh-CN"/>
        </w:rPr>
        <w:t>杭州</w:t>
      </w:r>
      <w:r>
        <w:rPr>
          <w:rFonts w:ascii="宋体" w:hint="eastAsia"/>
          <w:sz w:val="24"/>
        </w:rPr>
        <w:t>湖墅支行</w:t>
      </w:r>
      <w:r>
        <w:rPr>
          <w:rFonts w:ascii="宋体" w:hint="eastAsia"/>
          <w:sz w:val="24"/>
          <w:lang w:val="en-US" w:eastAsia="zh-CN"/>
        </w:rPr>
        <w:t>营业室</w:t>
      </w:r>
    </w:p>
    <w:p>
      <w:pPr>
        <w:pStyle w:val="a-BR366260"/>
        <w:adjustRightInd w:val="0"/>
        <w:snapToGrid w:val="0"/>
        <w:spacing w:line="360" w:lineRule="auto"/>
        <w:ind w:firstLine="480" w:firstLineChars="200"/>
        <w:rPr>
          <w:rFonts w:ascii="仿宋_GB2312" w:eastAsia="仿宋_GB2312"/>
          <w:sz w:val="24"/>
        </w:rPr>
      </w:pPr>
    </w:p>
    <w:p>
      <w:pPr>
        <w:pStyle w:val="a-BR366260"/>
        <w:widowControl/>
        <w:jc w:val="left"/>
        <w:rPr>
          <w:rFonts w:ascii="宋体"/>
          <w:sz w:val="24"/>
        </w:rPr>
      </w:pPr>
    </w:p>
    <w:p>
      <w:pPr>
        <w:widowControl/>
        <w:jc w:val="left"/>
        <w:rPr>
          <w:rFonts w:ascii="宋体" w:hAnsi="宋体"/>
          <w:szCs w:val="21"/>
        </w:rPr>
      </w:pPr>
      <w:r>
        <w:rPr>
          <w:rFonts w:ascii="宋体" w:hAnsi="宋体"/>
          <w:szCs w:val="21"/>
        </w:rPr>
        <w:br w:type="page"/>
      </w:r>
    </w:p>
    <w:p>
      <w:pPr>
        <w:pStyle w:val="a9-BR807485"/>
        <w:spacing w:before="0"/>
        <w:jc w:val="left"/>
        <w:rPr>
          <w:szCs w:val="21"/>
        </w:rPr>
      </w:pPr>
      <w:bookmarkStart w:id="42" w:name="_Toc256000026"/>
      <w:r>
        <w:rPr>
          <w:rFonts w:hint="eastAsia"/>
          <w:sz w:val="21"/>
          <w:szCs w:val="21"/>
        </w:rPr>
        <w:t>附件一：投资监督事项表</w:t>
      </w:r>
      <w:bookmarkEnd w:id="42"/>
    </w:p>
    <w:p>
      <w:pPr>
        <w:pStyle w:val="a-BR807485"/>
        <w:spacing w:line="360" w:lineRule="auto"/>
        <w:ind w:firstLine="482"/>
        <w:jc w:val="center"/>
        <w:rPr>
          <w:rFonts w:ascii="宋体" w:hAnsi="宋体"/>
          <w:b/>
          <w:sz w:val="24"/>
        </w:rPr>
      </w:pPr>
      <w:r>
        <w:rPr>
          <w:rFonts w:ascii="宋体" w:hAnsi="宋体" w:hint="eastAsia"/>
          <w:b/>
          <w:sz w:val="24"/>
        </w:rPr>
        <w:t>投资监督事项表</w:t>
      </w:r>
    </w:p>
    <w:p>
      <w:pPr>
        <w:pStyle w:val="a-BR807485"/>
        <w:spacing w:line="360" w:lineRule="auto"/>
        <w:ind w:firstLine="482"/>
        <w:jc w:val="center"/>
        <w:rPr>
          <w:rFonts w:ascii="宋体" w:hAnsi="宋体"/>
          <w:b/>
          <w:szCs w:val="21"/>
        </w:rPr>
      </w:pPr>
    </w:p>
    <w:p>
      <w:pPr>
        <w:pStyle w:val="a-BR807485"/>
        <w:spacing w:line="360" w:lineRule="auto"/>
        <w:ind w:firstLine="420" w:firstLineChars="200"/>
        <w:rPr>
          <w:rFonts w:ascii="宋体" w:hAnsi="宋体"/>
          <w:b/>
          <w:bCs/>
          <w:szCs w:val="21"/>
        </w:rPr>
      </w:pPr>
      <w:r>
        <w:rPr>
          <w:rFonts w:ascii="宋体" w:hAnsi="宋体" w:hint="eastAsia"/>
          <w:b/>
          <w:bCs/>
          <w:szCs w:val="21"/>
        </w:rPr>
        <w:t>私募基金托管人依据经核对的估值数据以本表为限对</w:t>
      </w:r>
      <w:r>
        <w:rPr>
          <w:rFonts w:ascii="宋体" w:hAnsi="宋体"/>
          <w:b/>
          <w:bCs/>
          <w:szCs w:val="21"/>
        </w:rPr>
        <w:t>私募基金</w:t>
      </w:r>
      <w:r>
        <w:rPr>
          <w:rFonts w:ascii="宋体" w:hAnsi="宋体" w:hint="eastAsia"/>
          <w:b/>
          <w:bCs/>
          <w:szCs w:val="21"/>
        </w:rPr>
        <w:t>管理人的直接投资进行监督，但私募基金托管人不承担投资责任，不对本基金资产的最终投向、资产比例及其他投资风控指标是否符合《投资监督事项表》的约定进行穿透核查，对私募基金管理人的其他职责和行为不承担监督责任。</w:t>
      </w:r>
    </w:p>
    <w:p>
      <w:pPr>
        <w:pStyle w:val="a-BR807485"/>
        <w:spacing w:line="360" w:lineRule="auto"/>
        <w:ind w:firstLine="420" w:firstLineChars="200"/>
        <w:rPr>
          <w:rFonts w:ascii="宋体" w:hAnsi="宋体"/>
          <w:szCs w:val="21"/>
        </w:rPr>
      </w:pPr>
      <w:r>
        <w:rPr>
          <w:rFonts w:ascii="宋体" w:hAnsi="宋体" w:hint="eastAsia"/>
          <w:szCs w:val="21"/>
        </w:rPr>
        <w:t>（一）投资范围</w:t>
      </w:r>
    </w:p>
    <w:p>
      <w:pPr>
        <w:pStyle w:val="a-BR807485"/>
        <w:spacing w:line="360" w:lineRule="auto"/>
        <w:ind w:firstLine="420" w:firstLineChars="200"/>
        <w:rPr>
          <w:rFonts w:ascii="宋体" w:hAnsi="宋体"/>
          <w:szCs w:val="21"/>
        </w:rPr>
      </w:pPr>
      <w:r>
        <w:rPr>
          <w:rFonts w:ascii="宋体" w:hAnsi="宋体" w:hint="eastAsia"/>
          <w:szCs w:val="21"/>
        </w:rPr>
        <w:t>详见本合同第十一章“私募基金的投资”第（二）条之“投资范围”</w:t>
      </w:r>
    </w:p>
    <w:p>
      <w:pPr>
        <w:pStyle w:val="a-BR807485"/>
        <w:spacing w:line="360" w:lineRule="auto"/>
        <w:ind w:firstLine="420" w:firstLineChars="200"/>
        <w:rPr>
          <w:rFonts w:ascii="宋体" w:hAnsi="宋体"/>
          <w:szCs w:val="21"/>
        </w:rPr>
      </w:pPr>
      <w:r>
        <w:rPr>
          <w:rFonts w:ascii="宋体" w:hAnsi="宋体" w:hint="eastAsia"/>
          <w:szCs w:val="21"/>
        </w:rPr>
        <w:t>（二）投资限制</w:t>
      </w:r>
    </w:p>
    <w:p>
      <w:pPr>
        <w:pStyle w:val="a-BR807485"/>
        <w:spacing w:line="360" w:lineRule="auto"/>
        <w:ind w:firstLine="420" w:firstLineChars="200"/>
        <w:rPr>
          <w:rFonts w:ascii="宋体" w:hAnsi="宋体"/>
        </w:rPr>
      </w:pPr>
      <w:r>
        <w:rPr>
          <w:rFonts w:ascii="宋体" w:hAnsi="宋体" w:hint="eastAsia"/>
          <w:szCs w:val="21"/>
        </w:rPr>
        <w:t>详见本合同第十一章“私募基金的投资”第（四）条之“投资限制”</w:t>
      </w:r>
    </w:p>
    <w:p>
      <w:pPr>
        <w:pStyle w:val="a-BR807485"/>
        <w:spacing w:line="360" w:lineRule="auto"/>
        <w:ind w:firstLine="420" w:firstLineChars="200"/>
        <w:rPr>
          <w:rFonts w:ascii="宋体" w:hAnsi="宋体"/>
          <w:szCs w:val="21"/>
        </w:rPr>
      </w:pPr>
      <w:r>
        <w:rPr>
          <w:rFonts w:hint="eastAsia"/>
        </w:rPr>
        <w:t>（三）预</w:t>
      </w:r>
      <w:r>
        <w:rPr>
          <w:rFonts w:ascii="宋体" w:hAnsi="宋体" w:hint="eastAsia"/>
          <w:szCs w:val="21"/>
        </w:rPr>
        <w:t>警止损机制</w:t>
      </w:r>
    </w:p>
    <w:p>
      <w:pPr>
        <w:pStyle w:val="a-BR807485"/>
        <w:spacing w:line="360" w:lineRule="auto"/>
        <w:ind w:firstLine="420" w:firstLineChars="200"/>
        <w:rPr>
          <w:rFonts w:ascii="宋体" w:hAnsi="宋体"/>
          <w:szCs w:val="21"/>
        </w:rPr>
      </w:pPr>
      <w:r>
        <w:rPr>
          <w:rFonts w:ascii="宋体" w:hAnsi="宋体" w:hint="eastAsia"/>
          <w:szCs w:val="21"/>
        </w:rPr>
        <w:t>本基金不设置预警线、止损线。</w:t>
      </w:r>
    </w:p>
    <w:p>
      <w:pPr>
        <w:widowControl/>
        <w:jc w:val="left"/>
        <w:rPr>
          <w:rFonts w:ascii="宋体" w:hAnsi="宋体"/>
          <w:szCs w:val="21"/>
        </w:rPr>
      </w:pPr>
      <w:r>
        <w:rPr>
          <w:rFonts w:ascii="宋体" w:hAnsi="宋体"/>
          <w:szCs w:val="21"/>
        </w:rPr>
        <w:br w:type="page"/>
      </w:r>
    </w:p>
    <w:p>
      <w:pPr>
        <w:pStyle w:val="a7-BR376268"/>
        <w:spacing w:before="0"/>
        <w:jc w:val="left"/>
        <w:rPr>
          <w:sz w:val="21"/>
          <w:szCs w:val="21"/>
        </w:rPr>
      </w:pPr>
      <w:bookmarkStart w:id="43" w:name="_Toc256000027"/>
      <w:r>
        <w:rPr>
          <w:rFonts w:hint="eastAsia"/>
          <w:sz w:val="21"/>
          <w:szCs w:val="21"/>
        </w:rPr>
        <w:t>附件二：私募基金管理人与私募基金管理人委托的基金代理销售机构权利义务（如有）</w:t>
      </w:r>
      <w:bookmarkEnd w:id="43"/>
      <w:bookmarkEnd w:id="4"/>
      <w:bookmarkEnd w:id="5"/>
      <w:bookmarkEnd w:id="6"/>
    </w:p>
    <w:p>
      <w:pPr>
        <w:pStyle w:val="2-BR376268"/>
        <w:spacing w:line="360" w:lineRule="auto"/>
        <w:ind w:firstLineChars="0"/>
        <w:rPr>
          <w:rFonts w:ascii="宋体" w:hAnsi="宋体"/>
          <w:szCs w:val="21"/>
        </w:rPr>
      </w:pPr>
      <w:r>
        <w:rPr>
          <w:rFonts w:ascii="宋体" w:hAnsi="宋体" w:hint="eastAsia"/>
          <w:szCs w:val="21"/>
        </w:rPr>
        <w:t>1、代理销售机构的权利义务</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代理</w:t>
      </w:r>
      <w:r>
        <w:rPr>
          <w:rFonts w:ascii="宋体" w:hAnsi="宋体"/>
          <w:szCs w:val="21"/>
        </w:rPr>
        <w:t>销售机构应为在中国证监会注册取得基金销售业务资格并已成为中国证券投资基金业协会会员的机构；</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2）从事私募基金募集业务的人员应当具有基金从业资格（包含</w:t>
      </w:r>
      <w:r>
        <w:rPr>
          <w:rFonts w:ascii="宋体" w:hAnsi="宋体" w:hint="eastAsia"/>
          <w:szCs w:val="21"/>
        </w:rPr>
        <w:t>原基金销售资格），应当遵守法律、行政法规和中国基金业协会的自律规则，恪守职业道德和行为规范，应当参加后续执业培训；</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3）应当恪尽职守、诚实信用、谨慎勤勉，防范利益冲突，履行说明义务、反洗</w:t>
      </w:r>
      <w:r>
        <w:rPr>
          <w:rFonts w:ascii="宋体" w:hAnsi="宋体" w:hint="eastAsia"/>
          <w:szCs w:val="21"/>
        </w:rPr>
        <w:t>钱义务等相关义务，承担特定对象确定、投资者适当性审查、私募基金推介及合格投资者确认等相关责任；</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4）应当对投资者的商业秘密及个人信息严格保密。除法律法规和自律规则另有规定的，不得对外披露；</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5）应当妥善保存投资者适当性管理以及其他与私募基金募集业务相关的记录及其他相关资料，保存期限自基金清算终止之日起不得少于10年</w:t>
      </w:r>
      <w:r>
        <w:rPr>
          <w:rFonts w:ascii="宋体" w:hAnsi="宋体" w:hint="eastAsia"/>
          <w:szCs w:val="21"/>
        </w:rPr>
        <w:t>；</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6）</w:t>
      </w:r>
      <w:r>
        <w:rPr>
          <w:rFonts w:ascii="宋体" w:hAnsi="宋体" w:hint="eastAsia"/>
          <w:szCs w:val="21"/>
        </w:rPr>
        <w:t>应当开立私募基金募集结算资金专用账户，用于统一归集私募基金募集结算资金、向投资者分配收益、给付赎回款项以及分配基金清算后的剩余基金财产等，确保资金原路返还；</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7）应当与具备《私募投资基金募集行为管理办法》的第十三条规定的</w:t>
      </w:r>
      <w:r>
        <w:rPr>
          <w:rFonts w:ascii="宋体" w:hAnsi="宋体" w:hint="eastAsia"/>
          <w:szCs w:val="21"/>
        </w:rPr>
        <w:t>监督</w:t>
      </w:r>
      <w:r>
        <w:rPr>
          <w:rFonts w:ascii="宋体" w:hAnsi="宋体"/>
          <w:szCs w:val="21"/>
        </w:rPr>
        <w:t>机构资格的</w:t>
      </w:r>
      <w:r>
        <w:rPr>
          <w:rFonts w:ascii="宋体" w:hAnsi="宋体" w:hint="eastAsia"/>
          <w:szCs w:val="21"/>
        </w:rPr>
        <w:t>监督</w:t>
      </w:r>
      <w:r>
        <w:rPr>
          <w:rFonts w:ascii="宋体" w:hAnsi="宋体"/>
          <w:szCs w:val="21"/>
        </w:rPr>
        <w:t>机构就</w:t>
      </w:r>
      <w:r>
        <w:rPr>
          <w:rFonts w:ascii="宋体" w:hAnsi="宋体" w:hint="eastAsia"/>
          <w:szCs w:val="21"/>
        </w:rPr>
        <w:t>私募基金募集结算资金专用账户签署账户监督协议，明确对私募基金募集结算资金专用账户的控制权、责任划分及保障资金划转安全的条款。</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8）应当向特定对象宣传推介私募基金，未经特定对象确定程序，不得向任何人宣传推介私募基金；应当采取问卷调查等方式履行特定对象确定程序，对投资者风险识别能力和风险承担能力进行评估；</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9）应当根据私募基金的风险类型和评级结果，向投资者推介与其风险识别能力和风险承担能力相匹配的私募基金；</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10）应当采取合理方式向投资者披露私募基金信息，揭示投资风险，确保基金推介材料中的相关内容清晰、醒目；</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11）投资者签署基金合同之前，</w:t>
      </w:r>
      <w:r>
        <w:rPr>
          <w:rFonts w:ascii="宋体" w:hAnsi="宋体" w:hint="eastAsia"/>
          <w:szCs w:val="21"/>
        </w:rPr>
        <w:t>代理</w:t>
      </w:r>
      <w:r>
        <w:rPr>
          <w:rFonts w:ascii="宋体" w:hAnsi="宋体"/>
          <w:szCs w:val="21"/>
        </w:rPr>
        <w:t>销售机构应当向投资者说明投资冷静期、回访确认（若</w:t>
      </w:r>
      <w:r>
        <w:rPr>
          <w:rFonts w:ascii="宋体" w:hAnsi="宋体" w:hint="eastAsia"/>
          <w:szCs w:val="21"/>
        </w:rPr>
        <w:t>有）等程序性安排以及投资者的相关权利，重点揭示私募基金风险，并与投资者签署风险揭示书；</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12）应当合理审慎地审查投资者是否符合私募基金</w:t>
      </w:r>
      <w:r>
        <w:rPr>
          <w:rFonts w:ascii="宋体" w:hAnsi="宋体" w:hint="eastAsia"/>
          <w:szCs w:val="21"/>
        </w:rPr>
        <w:t>合格投资者标准，依法履行反洗钱义务；</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13）国家有关法律法规、监管机构及基金代理销售协议规定的其他权利义务。</w:t>
      </w:r>
    </w:p>
    <w:p>
      <w:pPr>
        <w:pStyle w:val="a-BR376268"/>
        <w:spacing w:line="360" w:lineRule="auto"/>
        <w:ind w:firstLine="420" w:firstLineChars="200"/>
        <w:rPr>
          <w:rFonts w:ascii="宋体" w:hAnsi="宋体"/>
          <w:szCs w:val="21"/>
        </w:rPr>
      </w:pPr>
      <w:r>
        <w:rPr>
          <w:rFonts w:ascii="宋体" w:hAnsi="宋体"/>
          <w:szCs w:val="21"/>
        </w:rPr>
        <w:t>2</w:t>
      </w:r>
      <w:r>
        <w:rPr>
          <w:rFonts w:ascii="宋体" w:hAnsi="宋体" w:hint="eastAsia"/>
          <w:szCs w:val="21"/>
        </w:rPr>
        <w:t>、私募基金管理人的权利义务</w:t>
      </w:r>
    </w:p>
    <w:p>
      <w:pPr>
        <w:pStyle w:val="a-BR376268"/>
        <w:spacing w:line="360" w:lineRule="auto"/>
        <w:ind w:firstLine="420" w:firstLineChars="200"/>
        <w:rPr>
          <w:rFonts w:ascii="宋体" w:hAnsi="宋体"/>
          <w:bCs/>
          <w:szCs w:val="21"/>
        </w:rPr>
      </w:pPr>
      <w:r>
        <w:rPr>
          <w:rFonts w:ascii="宋体" w:hAnsi="宋体" w:hint="eastAsia"/>
          <w:szCs w:val="21"/>
        </w:rPr>
        <w:t>（</w:t>
      </w:r>
      <w:r>
        <w:rPr>
          <w:rFonts w:ascii="宋体" w:hAnsi="宋体"/>
          <w:szCs w:val="21"/>
        </w:rPr>
        <w:t>1</w:t>
      </w:r>
      <w:r>
        <w:rPr>
          <w:rFonts w:ascii="宋体" w:hAnsi="宋体" w:hint="eastAsia"/>
          <w:bCs/>
          <w:szCs w:val="21"/>
        </w:rPr>
        <w:t>）私募基金管理人应当履行受托人义务，承担基金合同、公司章程或者合伙协议（以下统称基金合同）的受托责任。委托基金</w:t>
      </w:r>
      <w:r>
        <w:rPr>
          <w:rFonts w:ascii="宋体" w:hAnsi="宋体" w:hint="eastAsia"/>
          <w:szCs w:val="21"/>
        </w:rPr>
        <w:t>代理</w:t>
      </w:r>
      <w:r>
        <w:rPr>
          <w:rFonts w:ascii="宋体" w:hAnsi="宋体" w:hint="eastAsia"/>
          <w:bCs/>
          <w:szCs w:val="21"/>
        </w:rPr>
        <w:t>销售机构募集私募基金的，不得因委托募集免除私募基金管理人依法承担的责任；</w:t>
      </w:r>
    </w:p>
    <w:p>
      <w:pPr>
        <w:pStyle w:val="a-BR376268"/>
        <w:spacing w:line="360" w:lineRule="auto"/>
        <w:ind w:firstLine="420" w:firstLineChars="200"/>
        <w:rPr>
          <w:rFonts w:ascii="宋体" w:hAnsi="宋体"/>
          <w:bCs/>
          <w:szCs w:val="21"/>
        </w:rPr>
      </w:pPr>
      <w:r>
        <w:rPr>
          <w:rFonts w:ascii="宋体" w:hAnsi="宋体" w:hint="eastAsia"/>
          <w:bCs/>
          <w:szCs w:val="21"/>
        </w:rPr>
        <w:t>（</w:t>
      </w:r>
      <w:r>
        <w:rPr>
          <w:rFonts w:ascii="宋体" w:hAnsi="宋体"/>
          <w:bCs/>
          <w:szCs w:val="21"/>
        </w:rPr>
        <w:t>2）私募基金管理人委托基金</w:t>
      </w:r>
      <w:r>
        <w:rPr>
          <w:rFonts w:ascii="宋体" w:hAnsi="宋体" w:hint="eastAsia"/>
          <w:szCs w:val="21"/>
        </w:rPr>
        <w:t>代理</w:t>
      </w:r>
      <w:r>
        <w:rPr>
          <w:rFonts w:ascii="宋体" w:hAnsi="宋体"/>
          <w:bCs/>
          <w:szCs w:val="21"/>
        </w:rPr>
        <w:t>销售机构募集私募基金的，应当以书面形式签订基金销售协议，并将协议中关于私募基金管理人与基金</w:t>
      </w:r>
      <w:r>
        <w:rPr>
          <w:rFonts w:ascii="宋体" w:hAnsi="宋体" w:hint="eastAsia"/>
          <w:szCs w:val="21"/>
        </w:rPr>
        <w:t>代理</w:t>
      </w:r>
      <w:r>
        <w:rPr>
          <w:rFonts w:ascii="宋体" w:hAnsi="宋体"/>
          <w:bCs/>
          <w:szCs w:val="21"/>
        </w:rPr>
        <w:t>销售机构权利义务划分以及其他涉及投资者利益的部分作为基金合同的附件；</w:t>
      </w:r>
    </w:p>
    <w:p>
      <w:pPr>
        <w:pStyle w:val="a-BR376268"/>
        <w:spacing w:line="360" w:lineRule="auto"/>
        <w:ind w:firstLine="420" w:firstLineChars="200"/>
        <w:rPr>
          <w:rFonts w:ascii="宋体" w:hAnsi="宋体"/>
          <w:szCs w:val="21"/>
        </w:rPr>
      </w:pPr>
      <w:r>
        <w:rPr>
          <w:rFonts w:ascii="宋体" w:hAnsi="宋体" w:hint="eastAsia"/>
          <w:bCs/>
          <w:szCs w:val="21"/>
        </w:rPr>
        <w:t>（</w:t>
      </w:r>
      <w:r>
        <w:rPr>
          <w:rFonts w:ascii="宋体" w:hAnsi="宋体"/>
          <w:bCs/>
          <w:szCs w:val="21"/>
        </w:rPr>
        <w:t>3）</w:t>
      </w:r>
      <w:r>
        <w:rPr>
          <w:rFonts w:ascii="宋体" w:hAnsi="宋体" w:hint="eastAsia"/>
          <w:szCs w:val="21"/>
        </w:rPr>
        <w:t>私募基金管理人应确保私募基金管理人的品牌、发展战略、投资策略、管理团队、高管信息以及由中国基金业协会公示的已备案私募基金的基本信息真实、准确、完整；</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4）自行或者委托第三方机构对私募基金进行风险评级，建立科学有效的私募基金风险评级标准和方法；</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5）基金</w:t>
      </w:r>
      <w:r>
        <w:rPr>
          <w:rFonts w:ascii="宋体" w:hAnsi="宋体" w:hint="eastAsia"/>
          <w:szCs w:val="21"/>
        </w:rPr>
        <w:t>推介材料应由私募基金管理人制作并</w:t>
      </w:r>
      <w:r>
        <w:rPr>
          <w:rFonts w:ascii="宋体" w:hAnsi="宋体"/>
          <w:szCs w:val="21"/>
        </w:rPr>
        <w:t>使用</w:t>
      </w:r>
      <w:r>
        <w:rPr>
          <w:rFonts w:ascii="宋体" w:hAnsi="宋体" w:hint="eastAsia"/>
          <w:szCs w:val="21"/>
        </w:rPr>
        <w:t>。</w:t>
      </w:r>
      <w:r>
        <w:rPr>
          <w:rFonts w:ascii="宋体" w:hAnsi="宋体"/>
          <w:szCs w:val="21"/>
        </w:rPr>
        <w:t>私募基金管理人</w:t>
      </w:r>
      <w:r>
        <w:rPr>
          <w:rFonts w:ascii="宋体" w:hAnsi="宋体" w:hint="eastAsia"/>
          <w:szCs w:val="21"/>
        </w:rPr>
        <w:t>应当对</w:t>
      </w:r>
      <w:r>
        <w:rPr>
          <w:rFonts w:ascii="宋体" w:hAnsi="宋体"/>
          <w:szCs w:val="21"/>
        </w:rPr>
        <w:t>基金</w:t>
      </w:r>
      <w:r>
        <w:rPr>
          <w:rFonts w:ascii="宋体" w:hAnsi="宋体" w:hint="eastAsia"/>
          <w:szCs w:val="21"/>
        </w:rPr>
        <w:t>推介材料内容的真实性、完整性、准确性负责；</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6）自行销售或者委托代理销售机构销售基金，制定和调整有关基金销售的业务规则，并对销售行为进行必要的监督；</w:t>
      </w:r>
    </w:p>
    <w:p>
      <w:pPr>
        <w:pStyle w:val="a-BR376268"/>
        <w:spacing w:line="360" w:lineRule="auto"/>
        <w:ind w:firstLine="420" w:firstLineChars="200"/>
        <w:rPr>
          <w:rFonts w:ascii="宋体" w:hAnsi="宋体"/>
          <w:szCs w:val="21"/>
        </w:rPr>
      </w:pPr>
      <w:r>
        <w:rPr>
          <w:rFonts w:ascii="宋体" w:hAnsi="宋体" w:cs="宋体" w:hint="eastAsia"/>
          <w:kern w:val="0"/>
          <w:szCs w:val="21"/>
        </w:rPr>
        <w:t>（</w:t>
      </w:r>
      <w:r>
        <w:rPr>
          <w:rFonts w:ascii="宋体" w:hAnsi="宋体" w:cs="宋体"/>
          <w:kern w:val="0"/>
          <w:szCs w:val="21"/>
        </w:rPr>
        <w:t>7）在符合国家相关法律法规的前提下，制</w:t>
      </w:r>
      <w:r>
        <w:rPr>
          <w:rFonts w:ascii="宋体" w:hAnsi="宋体" w:cs="宋体" w:hint="eastAsia"/>
          <w:kern w:val="0"/>
          <w:szCs w:val="21"/>
        </w:rPr>
        <w:t>定</w:t>
      </w:r>
      <w:r>
        <w:rPr>
          <w:rFonts w:ascii="宋体" w:hAnsi="宋体" w:cs="宋体"/>
          <w:kern w:val="0"/>
          <w:szCs w:val="21"/>
        </w:rPr>
        <w:t>有关基金认购、申购、赎回、份额转让和非交易过户的业务规则；</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8）私募基金管理人为保护投资者权益，可以在法律法规规定范围内，根据市场情况对本基金的认购、申购、赎回、份额转让和非交易过户业务规则（包括但不限于基金总规模、单个基金投资者首次认购、申购金额、每次申购金额及持有的本基金总金额限制等）进行调整；</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9）私募基金管理人有权根据相关法律法规及其他有关规定，委托</w:t>
      </w:r>
      <w:r>
        <w:rPr>
          <w:rFonts w:ascii="宋体" w:hAnsi="宋体" w:hint="eastAsia"/>
          <w:szCs w:val="21"/>
        </w:rPr>
        <w:t>代理</w:t>
      </w:r>
      <w:r>
        <w:rPr>
          <w:rFonts w:ascii="宋体" w:hAnsi="宋体"/>
          <w:szCs w:val="21"/>
        </w:rPr>
        <w:t>销售机构办理基金代理销售业务、增加或缩小委托范围；</w:t>
      </w:r>
    </w:p>
    <w:p>
      <w:pPr>
        <w:pStyle w:val="a-BR376268"/>
        <w:spacing w:line="360" w:lineRule="auto"/>
        <w:ind w:firstLine="420" w:firstLineChars="200"/>
        <w:rPr>
          <w:rFonts w:ascii="宋体" w:hAnsi="宋体"/>
          <w:szCs w:val="21"/>
        </w:rPr>
      </w:pPr>
      <w:r>
        <w:rPr>
          <w:rFonts w:ascii="宋体" w:hAnsi="宋体" w:hint="eastAsia"/>
          <w:szCs w:val="21"/>
        </w:rPr>
        <w:t>（</w:t>
      </w:r>
      <w:r>
        <w:rPr>
          <w:rFonts w:ascii="宋体" w:hAnsi="宋体"/>
          <w:szCs w:val="21"/>
        </w:rPr>
        <w:t>10）国家有关法律法规、监管机构及基金代理销售协议规定的其他权利义务。</w:t>
      </w:r>
    </w:p>
    <w:p>
      <w:pPr>
        <w:widowControl/>
        <w:jc w:val="left"/>
        <w:rPr>
          <w:rFonts w:ascii="宋体" w:hAnsi="宋体"/>
          <w:szCs w:val="21"/>
        </w:rPr>
      </w:pPr>
      <w:r>
        <w:rPr>
          <w:rFonts w:ascii="宋体" w:hAnsi="宋体"/>
          <w:szCs w:val="21"/>
        </w:rPr>
        <w:br w:type="page"/>
      </w:r>
    </w:p>
    <w:p>
      <w:pPr>
        <w:pStyle w:val="a9-BR353846"/>
        <w:spacing w:before="0" w:after="0" w:line="240" w:lineRule="auto"/>
        <w:jc w:val="left"/>
        <w:rPr>
          <w:szCs w:val="21"/>
        </w:rPr>
      </w:pPr>
      <w:bookmarkStart w:id="44" w:name="_Toc256000028"/>
      <w:r>
        <w:rPr>
          <w:rFonts w:hint="eastAsia"/>
          <w:sz w:val="21"/>
          <w:szCs w:val="21"/>
        </w:rPr>
        <w:t>附件三：投资人信息表</w:t>
      </w:r>
      <w:bookmarkEnd w:id="44"/>
      <w:bookmarkEnd w:id="7"/>
    </w:p>
    <w:p>
      <w:pPr>
        <w:pStyle w:val="a-BR353846"/>
        <w:spacing w:line="360" w:lineRule="auto"/>
        <w:ind w:firstLine="420" w:firstLineChars="200"/>
        <w:rPr>
          <w:rFonts w:ascii="宋体" w:hAnsi="宋体"/>
          <w:szCs w:val="21"/>
        </w:rPr>
      </w:pPr>
      <w:r>
        <w:rPr>
          <w:rFonts w:ascii="宋体" w:hAnsi="宋体" w:hint="eastAsia"/>
          <w:szCs w:val="21"/>
        </w:rPr>
        <w:t>请各当事人务必确保填写的资料正确有效，如因填写错误导致的任何损失，私募基金管理人和私募基金托管人不承担任何责任。</w:t>
      </w:r>
    </w:p>
    <w:p>
      <w:pPr>
        <w:pStyle w:val="a-BR353846"/>
        <w:spacing w:line="360" w:lineRule="auto"/>
        <w:ind w:firstLine="420" w:firstLineChars="200"/>
        <w:rPr>
          <w:rFonts w:ascii="宋体" w:hAnsi="宋体"/>
          <w:b/>
          <w:szCs w:val="21"/>
        </w:rPr>
      </w:pPr>
      <w:r>
        <w:rPr>
          <w:rFonts w:ascii="宋体" w:hAnsi="宋体" w:hint="eastAsia"/>
          <w:b/>
          <w:szCs w:val="21"/>
        </w:rPr>
        <w:t>基金投资者请填写：</w:t>
      </w:r>
    </w:p>
    <w:p>
      <w:pPr>
        <w:pStyle w:val="a-BR353846"/>
        <w:spacing w:line="360" w:lineRule="auto"/>
        <w:ind w:firstLine="420" w:firstLineChars="200"/>
        <w:rPr>
          <w:rFonts w:ascii="宋体" w:hAnsi="宋体"/>
          <w:b/>
          <w:bCs/>
          <w:szCs w:val="21"/>
        </w:rPr>
      </w:pPr>
      <w:r>
        <w:rPr>
          <w:rFonts w:ascii="宋体" w:hAnsi="宋体" w:hint="eastAsia"/>
          <w:b/>
          <w:bCs/>
          <w:szCs w:val="21"/>
        </w:rPr>
        <w:t>（一）基金投资者</w:t>
      </w:r>
      <w:bookmarkEnd w:id="8"/>
    </w:p>
    <w:p>
      <w:pPr>
        <w:pStyle w:val="a-BR353846"/>
        <w:spacing w:line="360" w:lineRule="auto"/>
        <w:ind w:firstLine="420" w:firstLineChars="200"/>
        <w:rPr>
          <w:rFonts w:ascii="宋体" w:hAnsi="宋体"/>
          <w:b/>
          <w:bCs/>
          <w:szCs w:val="21"/>
        </w:rPr>
      </w:pPr>
      <w:r>
        <w:rPr>
          <w:rFonts w:ascii="宋体" w:hAnsi="宋体" w:cs="宋体" w:hint="eastAsia"/>
          <w:b/>
          <w:bCs/>
          <w:szCs w:val="21"/>
        </w:rPr>
        <w:t>□</w:t>
      </w:r>
      <w:r>
        <w:rPr>
          <w:rFonts w:ascii="宋体" w:hAnsi="宋体"/>
          <w:b/>
          <w:bCs/>
          <w:szCs w:val="21"/>
        </w:rPr>
        <w:t>1</w:t>
      </w:r>
      <w:r>
        <w:rPr>
          <w:rFonts w:ascii="宋体" w:hAnsi="宋体" w:hint="eastAsia"/>
          <w:b/>
          <w:bCs/>
          <w:szCs w:val="21"/>
        </w:rPr>
        <w:t>、自然人</w:t>
      </w:r>
    </w:p>
    <w:tbl>
      <w:tblPr>
        <w:tblStyle w:val="a8-BR353846"/>
        <w:tblW w:w="852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0" w:type="dxa"/>
          <w:left w:w="108" w:type="dxa"/>
          <w:bottom w:w="0" w:type="dxa"/>
          <w:right w:w="108" w:type="dxa"/>
        </w:tblCellMar>
      </w:tblPr>
      <w:tblGrid>
        <w:gridCol w:w="3429"/>
        <w:gridCol w:w="5093"/>
      </w:tblGrid>
      <w:tr>
        <w:tblPrEx>
          <w:tblW w:w="852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0" w:type="dxa"/>
            <w:left w:w="108" w:type="dxa"/>
            <w:bottom w:w="0" w:type="dxa"/>
            <w:right w:w="108" w:type="dxa"/>
          </w:tblCellMar>
        </w:tblPrEx>
        <w:tc>
          <w:tcPr>
            <w:tcW w:w="8522" w:type="dxa"/>
            <w:gridSpan w:val="2"/>
          </w:tcPr>
          <w:p>
            <w:pPr>
              <w:pStyle w:val="a-BR353846"/>
              <w:spacing w:line="360" w:lineRule="auto"/>
              <w:rPr>
                <w:rFonts w:ascii="宋体" w:hAnsi="宋体"/>
                <w:szCs w:val="21"/>
              </w:rPr>
            </w:pPr>
            <w:r>
              <w:rPr>
                <w:rFonts w:ascii="宋体" w:hAnsi="宋体" w:hint="eastAsia"/>
                <w:szCs w:val="21"/>
              </w:rPr>
              <w:t>姓名：</w:t>
            </w:r>
          </w:p>
        </w:tc>
      </w:tr>
      <w:tr>
        <w:tblPrEx>
          <w:tblW w:w="8522" w:type="dxa"/>
          <w:tblInd w:w="0" w:type="dxa"/>
          <w:tblLayout w:type="fixed"/>
          <w:tblCellMar>
            <w:top w:w="0" w:type="dxa"/>
            <w:left w:w="108" w:type="dxa"/>
            <w:bottom w:w="0" w:type="dxa"/>
            <w:right w:w="108" w:type="dxa"/>
          </w:tblCellMar>
        </w:tblPrEx>
        <w:tc>
          <w:tcPr>
            <w:tcW w:w="3429" w:type="dxa"/>
          </w:tcPr>
          <w:p>
            <w:pPr>
              <w:pStyle w:val="a-BR353846"/>
              <w:spacing w:line="360" w:lineRule="auto"/>
              <w:rPr>
                <w:rFonts w:ascii="宋体" w:hAnsi="宋体"/>
                <w:szCs w:val="21"/>
              </w:rPr>
            </w:pPr>
            <w:r>
              <w:rPr>
                <w:rFonts w:ascii="宋体" w:hAnsi="宋体" w:hint="eastAsia"/>
                <w:szCs w:val="21"/>
              </w:rPr>
              <w:t>证件名称：□身份证、□军官证、□护照、□港澳台回乡证或台胞证</w:t>
            </w:r>
          </w:p>
        </w:tc>
        <w:tc>
          <w:tcPr>
            <w:tcW w:w="5093" w:type="dxa"/>
          </w:tcPr>
          <w:p>
            <w:pPr>
              <w:pStyle w:val="a-BR353846"/>
              <w:spacing w:line="360" w:lineRule="auto"/>
              <w:rPr>
                <w:rFonts w:ascii="宋体" w:hAnsi="宋体"/>
                <w:szCs w:val="21"/>
              </w:rPr>
            </w:pPr>
            <w:r>
              <w:rPr>
                <w:rFonts w:ascii="宋体" w:hAnsi="宋体" w:hint="eastAsia"/>
                <w:szCs w:val="21"/>
              </w:rPr>
              <w:t>证件号码：</w:t>
            </w:r>
          </w:p>
          <w:p>
            <w:pPr>
              <w:pStyle w:val="a-BR353846"/>
              <w:spacing w:line="360" w:lineRule="auto"/>
              <w:rPr>
                <w:rFonts w:ascii="宋体" w:hAnsi="宋体"/>
                <w:szCs w:val="21"/>
              </w:rPr>
            </w:pPr>
          </w:p>
        </w:tc>
      </w:tr>
      <w:tr>
        <w:tblPrEx>
          <w:tblW w:w="8522" w:type="dxa"/>
          <w:tblInd w:w="0" w:type="dxa"/>
          <w:tblLayout w:type="fixed"/>
          <w:tblCellMar>
            <w:top w:w="0" w:type="dxa"/>
            <w:left w:w="108" w:type="dxa"/>
            <w:bottom w:w="0" w:type="dxa"/>
            <w:right w:w="108" w:type="dxa"/>
          </w:tblCellMar>
        </w:tblPrEx>
        <w:tc>
          <w:tcPr>
            <w:tcW w:w="8522" w:type="dxa"/>
            <w:gridSpan w:val="2"/>
          </w:tcPr>
          <w:p>
            <w:pPr>
              <w:pStyle w:val="a-BR353846"/>
              <w:spacing w:line="360" w:lineRule="auto"/>
              <w:rPr>
                <w:rFonts w:ascii="宋体" w:hAnsi="宋体"/>
                <w:szCs w:val="21"/>
              </w:rPr>
            </w:pPr>
            <w:r>
              <w:rPr>
                <w:rFonts w:ascii="宋体" w:hAnsi="宋体" w:hint="eastAsia"/>
                <w:szCs w:val="21"/>
              </w:rPr>
              <w:t>联系地址：</w:t>
            </w:r>
          </w:p>
        </w:tc>
      </w:tr>
      <w:tr>
        <w:tblPrEx>
          <w:tblW w:w="8522" w:type="dxa"/>
          <w:tblInd w:w="0" w:type="dxa"/>
          <w:tblLayout w:type="fixed"/>
          <w:tblCellMar>
            <w:top w:w="0" w:type="dxa"/>
            <w:left w:w="108" w:type="dxa"/>
            <w:bottom w:w="0" w:type="dxa"/>
            <w:right w:w="108" w:type="dxa"/>
          </w:tblCellMar>
        </w:tblPrEx>
        <w:tc>
          <w:tcPr>
            <w:tcW w:w="3429" w:type="dxa"/>
          </w:tcPr>
          <w:p>
            <w:pPr>
              <w:pStyle w:val="a-BR353846"/>
              <w:spacing w:line="360" w:lineRule="auto"/>
              <w:rPr>
                <w:rFonts w:ascii="宋体" w:hAnsi="宋体"/>
                <w:szCs w:val="21"/>
              </w:rPr>
            </w:pPr>
            <w:r>
              <w:rPr>
                <w:rFonts w:ascii="宋体" w:hAnsi="宋体" w:hint="eastAsia"/>
                <w:szCs w:val="21"/>
              </w:rPr>
              <w:t>联系电话：</w:t>
            </w:r>
          </w:p>
        </w:tc>
        <w:tc>
          <w:tcPr>
            <w:tcW w:w="5093" w:type="dxa"/>
          </w:tcPr>
          <w:p>
            <w:pPr>
              <w:pStyle w:val="a-BR353846"/>
              <w:spacing w:line="360" w:lineRule="auto"/>
              <w:rPr>
                <w:rFonts w:ascii="宋体" w:hAnsi="宋体"/>
                <w:szCs w:val="21"/>
              </w:rPr>
            </w:pPr>
            <w:r>
              <w:rPr>
                <w:rFonts w:ascii="宋体" w:hAnsi="宋体" w:hint="eastAsia"/>
                <w:szCs w:val="21"/>
              </w:rPr>
              <w:t>电子邮箱</w:t>
            </w:r>
            <w:r>
              <w:rPr>
                <w:rFonts w:ascii="宋体" w:hAnsi="宋体"/>
                <w:szCs w:val="21"/>
              </w:rPr>
              <w:t>:</w:t>
            </w:r>
          </w:p>
        </w:tc>
      </w:tr>
    </w:tbl>
    <w:p>
      <w:pPr>
        <w:pStyle w:val="a-BR353846"/>
        <w:spacing w:line="360" w:lineRule="auto"/>
        <w:ind w:firstLine="420" w:firstLineChars="200"/>
        <w:rPr>
          <w:rFonts w:ascii="宋体" w:hAnsi="宋体"/>
          <w:b/>
          <w:bCs/>
          <w:szCs w:val="21"/>
        </w:rPr>
      </w:pPr>
      <w:r>
        <w:rPr>
          <w:rFonts w:ascii="宋体" w:hAnsi="宋体" w:cs="宋体" w:hint="eastAsia"/>
          <w:b/>
          <w:bCs/>
          <w:szCs w:val="21"/>
        </w:rPr>
        <w:t>□</w:t>
      </w:r>
      <w:r>
        <w:rPr>
          <w:rFonts w:ascii="宋体" w:hAnsi="宋体"/>
          <w:b/>
          <w:bCs/>
          <w:szCs w:val="21"/>
        </w:rPr>
        <w:t>2</w:t>
      </w:r>
      <w:r>
        <w:rPr>
          <w:rFonts w:ascii="宋体" w:hAnsi="宋体" w:hint="eastAsia"/>
          <w:b/>
          <w:bCs/>
          <w:szCs w:val="21"/>
        </w:rPr>
        <w:t>、机构</w:t>
      </w:r>
    </w:p>
    <w:tbl>
      <w:tblPr>
        <w:tblStyle w:val="a8-BR353846"/>
        <w:tblW w:w="8522" w:type="dxa"/>
        <w:tblInd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top w:w="0" w:type="dxa"/>
          <w:left w:w="108" w:type="dxa"/>
          <w:bottom w:w="0" w:type="dxa"/>
          <w:right w:w="108" w:type="dxa"/>
        </w:tblCellMar>
      </w:tblPr>
      <w:tblGrid>
        <w:gridCol w:w="4261"/>
        <w:gridCol w:w="4261"/>
      </w:tblGrid>
      <w:tr>
        <w:tblPrEx>
          <w:tblW w:w="8522" w:type="dxa"/>
          <w:tblInd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top w:w="0" w:type="dxa"/>
            <w:left w:w="108" w:type="dxa"/>
            <w:bottom w:w="0" w:type="dxa"/>
            <w:right w:w="108" w:type="dxa"/>
          </w:tblCellMar>
        </w:tblPrEx>
        <w:tc>
          <w:tcPr>
            <w:tcW w:w="8522" w:type="dxa"/>
            <w:gridSpan w:val="2"/>
          </w:tcPr>
          <w:p>
            <w:pPr>
              <w:pStyle w:val="a-BR353846"/>
              <w:spacing w:line="360" w:lineRule="auto"/>
              <w:rPr>
                <w:rFonts w:ascii="宋体" w:hAnsi="宋体"/>
                <w:szCs w:val="21"/>
              </w:rPr>
            </w:pPr>
            <w:r>
              <w:rPr>
                <w:rFonts w:ascii="宋体" w:hAnsi="宋体" w:hint="eastAsia"/>
                <w:szCs w:val="21"/>
              </w:rPr>
              <w:t>名称：</w:t>
            </w:r>
          </w:p>
        </w:tc>
      </w:tr>
      <w:tr>
        <w:tblPrEx>
          <w:tblW w:w="8522" w:type="dxa"/>
          <w:tblInd w:w="0" w:type="dxa"/>
          <w:tblLayout w:type="fixed"/>
          <w:tblCellMar>
            <w:top w:w="0" w:type="dxa"/>
            <w:left w:w="108" w:type="dxa"/>
            <w:bottom w:w="0" w:type="dxa"/>
            <w:right w:w="108" w:type="dxa"/>
          </w:tblCellMar>
        </w:tblPrEx>
        <w:tc>
          <w:tcPr>
            <w:tcW w:w="4261" w:type="dxa"/>
          </w:tcPr>
          <w:p>
            <w:pPr>
              <w:pStyle w:val="a-BR353846"/>
              <w:spacing w:line="360" w:lineRule="auto"/>
              <w:rPr>
                <w:rFonts w:ascii="宋体" w:hAnsi="宋体"/>
                <w:szCs w:val="21"/>
              </w:rPr>
            </w:pPr>
            <w:r>
              <w:rPr>
                <w:rFonts w:ascii="宋体" w:hAnsi="宋体" w:hint="eastAsia"/>
                <w:szCs w:val="21"/>
              </w:rPr>
              <w:t>法定代表人/执行事务合伙人或授权代表：</w:t>
            </w:r>
          </w:p>
        </w:tc>
        <w:tc>
          <w:tcPr>
            <w:tcW w:w="4261" w:type="dxa"/>
          </w:tcPr>
          <w:p>
            <w:pPr>
              <w:pStyle w:val="a-BR353846"/>
              <w:spacing w:line="360" w:lineRule="auto"/>
              <w:rPr>
                <w:rFonts w:ascii="宋体" w:hAnsi="宋体"/>
                <w:szCs w:val="21"/>
              </w:rPr>
            </w:pPr>
            <w:r>
              <w:rPr>
                <w:rFonts w:ascii="宋体" w:hAnsi="宋体" w:hint="eastAsia"/>
                <w:szCs w:val="21"/>
              </w:rPr>
              <w:t>统一社会信用代码：</w:t>
            </w:r>
          </w:p>
        </w:tc>
      </w:tr>
      <w:tr>
        <w:tblPrEx>
          <w:tblW w:w="8522" w:type="dxa"/>
          <w:tblInd w:w="0" w:type="dxa"/>
          <w:tblLayout w:type="fixed"/>
          <w:tblCellMar>
            <w:top w:w="0" w:type="dxa"/>
            <w:left w:w="108" w:type="dxa"/>
            <w:bottom w:w="0" w:type="dxa"/>
            <w:right w:w="108" w:type="dxa"/>
          </w:tblCellMar>
        </w:tblPrEx>
        <w:tc>
          <w:tcPr>
            <w:tcW w:w="8522" w:type="dxa"/>
            <w:gridSpan w:val="2"/>
          </w:tcPr>
          <w:p>
            <w:pPr>
              <w:pStyle w:val="a-BR353846"/>
              <w:spacing w:line="360" w:lineRule="auto"/>
              <w:rPr>
                <w:rFonts w:ascii="宋体" w:hAnsi="宋体"/>
                <w:szCs w:val="21"/>
              </w:rPr>
            </w:pPr>
            <w:r>
              <w:rPr>
                <w:rFonts w:ascii="宋体" w:hAnsi="宋体" w:hint="eastAsia"/>
                <w:szCs w:val="21"/>
              </w:rPr>
              <w:t>联系地址：</w:t>
            </w:r>
          </w:p>
        </w:tc>
      </w:tr>
      <w:tr>
        <w:tblPrEx>
          <w:tblW w:w="8522" w:type="dxa"/>
          <w:tblInd w:w="0" w:type="dxa"/>
          <w:tblLayout w:type="fixed"/>
          <w:tblCellMar>
            <w:top w:w="0" w:type="dxa"/>
            <w:left w:w="108" w:type="dxa"/>
            <w:bottom w:w="0" w:type="dxa"/>
            <w:right w:w="108" w:type="dxa"/>
          </w:tblCellMar>
        </w:tblPrEx>
        <w:tc>
          <w:tcPr>
            <w:tcW w:w="4261" w:type="dxa"/>
          </w:tcPr>
          <w:p>
            <w:pPr>
              <w:pStyle w:val="a-BR353846"/>
              <w:spacing w:line="360" w:lineRule="auto"/>
              <w:rPr>
                <w:rFonts w:ascii="宋体" w:hAnsi="宋体"/>
                <w:szCs w:val="21"/>
              </w:rPr>
            </w:pPr>
            <w:r>
              <w:rPr>
                <w:rFonts w:ascii="宋体" w:hAnsi="宋体" w:hint="eastAsia"/>
                <w:szCs w:val="21"/>
              </w:rPr>
              <w:t>联系电话：</w:t>
            </w:r>
          </w:p>
        </w:tc>
        <w:tc>
          <w:tcPr>
            <w:tcW w:w="4261" w:type="dxa"/>
          </w:tcPr>
          <w:p>
            <w:pPr>
              <w:pStyle w:val="a-BR353846"/>
              <w:spacing w:line="360" w:lineRule="auto"/>
              <w:rPr>
                <w:rFonts w:ascii="宋体" w:hAnsi="宋体"/>
                <w:szCs w:val="21"/>
              </w:rPr>
            </w:pPr>
            <w:r>
              <w:rPr>
                <w:rFonts w:ascii="宋体" w:hAnsi="宋体" w:hint="eastAsia"/>
                <w:szCs w:val="21"/>
              </w:rPr>
              <w:t>电子邮箱</w:t>
            </w:r>
            <w:r>
              <w:rPr>
                <w:rFonts w:ascii="宋体" w:hAnsi="宋体"/>
                <w:szCs w:val="21"/>
              </w:rPr>
              <w:t>:</w:t>
            </w:r>
          </w:p>
        </w:tc>
      </w:tr>
    </w:tbl>
    <w:p>
      <w:pPr>
        <w:pStyle w:val="a-BR353846"/>
        <w:spacing w:line="360" w:lineRule="auto"/>
        <w:ind w:firstLine="420" w:firstLineChars="200"/>
        <w:rPr>
          <w:rFonts w:ascii="宋体" w:hAnsi="宋体"/>
          <w:b/>
          <w:bCs/>
          <w:szCs w:val="21"/>
        </w:rPr>
      </w:pPr>
      <w:r>
        <w:rPr>
          <w:rFonts w:ascii="宋体" w:hAnsi="宋体" w:hint="eastAsia"/>
          <w:b/>
          <w:bCs/>
          <w:szCs w:val="21"/>
        </w:rPr>
        <w:t>（二）基金投资者认购</w:t>
      </w:r>
      <w:r>
        <w:rPr>
          <w:rFonts w:ascii="宋体" w:hAnsi="宋体"/>
          <w:b/>
          <w:bCs/>
          <w:szCs w:val="21"/>
        </w:rPr>
        <w:t>/</w:t>
      </w:r>
      <w:r>
        <w:rPr>
          <w:rFonts w:ascii="宋体" w:hAnsi="宋体" w:hint="eastAsia"/>
          <w:b/>
          <w:bCs/>
          <w:szCs w:val="21"/>
        </w:rPr>
        <w:t>申购金额（扣除认购/申购费后（如有））</w:t>
      </w:r>
    </w:p>
    <w:tbl>
      <w:tblPr>
        <w:tblStyle w:val="a8-BR353846"/>
        <w:tblW w:w="8522" w:type="dxa"/>
        <w:tblInd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top w:w="0" w:type="dxa"/>
          <w:left w:w="108" w:type="dxa"/>
          <w:bottom w:w="0" w:type="dxa"/>
          <w:right w:w="108" w:type="dxa"/>
        </w:tblCellMar>
      </w:tblPr>
      <w:tblGrid>
        <w:gridCol w:w="3129"/>
        <w:gridCol w:w="5393"/>
      </w:tblGrid>
      <w:tr>
        <w:tblPrEx>
          <w:tblW w:w="8522" w:type="dxa"/>
          <w:tblInd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top w:w="0" w:type="dxa"/>
            <w:left w:w="108" w:type="dxa"/>
            <w:bottom w:w="0" w:type="dxa"/>
            <w:right w:w="108" w:type="dxa"/>
          </w:tblCellMar>
        </w:tblPrEx>
        <w:tc>
          <w:tcPr>
            <w:tcW w:w="3129" w:type="dxa"/>
          </w:tcPr>
          <w:p>
            <w:pPr>
              <w:pStyle w:val="a-BR353846"/>
              <w:spacing w:line="360" w:lineRule="auto"/>
              <w:rPr>
                <w:rFonts w:ascii="宋体" w:hAnsi="宋体"/>
                <w:szCs w:val="21"/>
              </w:rPr>
            </w:pPr>
            <w:r>
              <w:rPr>
                <w:rFonts w:ascii="宋体" w:hAnsi="宋体" w:hint="eastAsia"/>
                <w:szCs w:val="21"/>
              </w:rPr>
              <w:t>小写（￥）：</w:t>
            </w:r>
          </w:p>
        </w:tc>
        <w:tc>
          <w:tcPr>
            <w:tcW w:w="5393" w:type="dxa"/>
          </w:tcPr>
          <w:p>
            <w:pPr>
              <w:pStyle w:val="a-BR353846"/>
              <w:spacing w:line="360" w:lineRule="auto"/>
              <w:rPr>
                <w:rFonts w:ascii="宋体" w:hAnsi="宋体"/>
                <w:szCs w:val="21"/>
              </w:rPr>
            </w:pPr>
            <w:r>
              <w:rPr>
                <w:rFonts w:ascii="宋体" w:hAnsi="宋体" w:hint="eastAsia"/>
                <w:szCs w:val="21"/>
              </w:rPr>
              <w:t>大写（人民币）：</w:t>
            </w:r>
          </w:p>
        </w:tc>
      </w:tr>
    </w:tbl>
    <w:p>
      <w:pPr>
        <w:pStyle w:val="a-BR353846"/>
        <w:spacing w:line="360" w:lineRule="auto"/>
        <w:ind w:firstLine="420" w:firstLineChars="200"/>
        <w:rPr>
          <w:rFonts w:ascii="宋体" w:hAnsi="宋体"/>
          <w:b/>
          <w:bCs/>
          <w:szCs w:val="21"/>
        </w:rPr>
      </w:pPr>
      <w:r>
        <w:rPr>
          <w:rFonts w:ascii="宋体" w:hAnsi="宋体" w:hint="eastAsia"/>
          <w:b/>
          <w:bCs/>
          <w:szCs w:val="21"/>
        </w:rPr>
        <w:t>（三）基金投资者账户</w:t>
      </w:r>
    </w:p>
    <w:p>
      <w:pPr>
        <w:pStyle w:val="a-BR353846"/>
        <w:spacing w:line="360" w:lineRule="auto"/>
        <w:ind w:firstLine="420" w:firstLineChars="200"/>
        <w:rPr>
          <w:rFonts w:ascii="宋体" w:hAnsi="宋体"/>
          <w:szCs w:val="21"/>
        </w:rPr>
      </w:pPr>
      <w:r>
        <w:rPr>
          <w:rFonts w:ascii="宋体" w:hAnsi="宋体" w:hint="eastAsia"/>
          <w:szCs w:val="21"/>
        </w:rPr>
        <w:t>基金投资者账户即为基金合同中约定的“投资者收益账户”。基金投资者认购、申购基金的划出账户与赎回基金、分红款项的划入账户，必须为以基金投资者名义开立的同一个账户。</w:t>
      </w:r>
      <w:r>
        <w:rPr>
          <w:rFonts w:ascii="宋体" w:hAnsi="宋体" w:hint="eastAsia"/>
          <w:b/>
          <w:szCs w:val="21"/>
        </w:rPr>
        <w:t>特殊情况导致认购、申购和赎回基金和接受分红款项的账户信息不一致，基金投资者申请变更基金投资者账户信息的，应出具符合相关法律法规规定的书面说明并提供相关证明。私募基金管理人仅对基金投资者提供的前述材料进行形式审查，因变更基金投资者账户信息所导致的责任由基金投资者自行承担，但私募基金管理人存在过错的除外。</w:t>
      </w:r>
      <w:r>
        <w:rPr>
          <w:rFonts w:ascii="宋体" w:hAnsi="宋体" w:hint="eastAsia"/>
          <w:szCs w:val="21"/>
        </w:rPr>
        <w:t>基金投资者为其他资产管理产品的，需将其他产品的托管资金账户或专门的财产资金账户作为认购、申购基金的划出账户与赎回基金、分红款项的划入账户。基金投资者账户信息如下：</w:t>
      </w:r>
    </w:p>
    <w:p>
      <w:pPr>
        <w:pStyle w:val="a-BR353846"/>
        <w:spacing w:line="360" w:lineRule="auto"/>
        <w:ind w:firstLine="420" w:firstLineChars="200"/>
        <w:rPr>
          <w:rFonts w:ascii="宋体" w:hAnsi="宋体"/>
          <w:b/>
          <w:bCs/>
          <w:szCs w:val="21"/>
        </w:rPr>
      </w:pPr>
      <w:r>
        <w:rPr>
          <w:rFonts w:ascii="宋体" w:hAnsi="宋体" w:hint="eastAsia"/>
          <w:b/>
          <w:bCs/>
          <w:szCs w:val="21"/>
        </w:rPr>
        <w:t>账户名称：</w:t>
      </w:r>
    </w:p>
    <w:p>
      <w:pPr>
        <w:pStyle w:val="a-BR353846"/>
        <w:spacing w:line="360" w:lineRule="auto"/>
        <w:ind w:firstLine="420" w:firstLineChars="200"/>
        <w:rPr>
          <w:rFonts w:ascii="宋体" w:hAnsi="宋体"/>
          <w:b/>
          <w:bCs/>
          <w:szCs w:val="21"/>
        </w:rPr>
      </w:pPr>
      <w:r>
        <w:rPr>
          <w:rFonts w:ascii="宋体" w:hAnsi="宋体" w:hint="eastAsia"/>
          <w:b/>
          <w:bCs/>
          <w:szCs w:val="21"/>
        </w:rPr>
        <w:t>账号：</w:t>
      </w:r>
    </w:p>
    <w:p>
      <w:pPr>
        <w:pStyle w:val="a-BR353846"/>
        <w:spacing w:line="360" w:lineRule="auto"/>
        <w:ind w:firstLine="420" w:firstLineChars="200"/>
      </w:pPr>
      <w:r>
        <w:rPr>
          <w:rFonts w:ascii="宋体" w:hAnsi="宋体" w:hint="eastAsia"/>
          <w:b/>
          <w:bCs/>
          <w:szCs w:val="21"/>
        </w:rPr>
        <w:t>开户银行名称：</w:t>
      </w:r>
    </w:p>
    <w:p>
      <w:pPr>
        <w:spacing w:line="360" w:lineRule="auto"/>
      </w:pPr>
    </w:p>
    <w:sectPr>
      <w:headerReference w:type="even" r:id="rId9"/>
      <w:headerReference w:type="default" r:id="rId10"/>
      <w:footerReference w:type="default" r:id="rId11"/>
      <w:headerReference w:type="first" r:id="rId12"/>
      <w:pgSz w:w="11906" w:h="16838"/>
      <w:pgMar w:top="1440" w:right="1800" w:bottom="1440" w:left="1800" w:header="851" w:footer="992" w:gutter="0"/>
      <w:pgNumType w:start="0"/>
      <w:cols w:num="1" w:space="72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 w:name="方正仿宋简体">
    <w:altName w:val="宋体"/>
    <w:panose1 w:val="00000000000000000000"/>
    <w:charset w:val="86"/>
    <w:family w:val="auto"/>
    <w:pitch w:val="default"/>
    <w:sig w:usb0="00000000" w:usb1="00000000" w:usb2="00000010" w:usb3="00000000" w:csb0="00040000" w:csb1="00000000"/>
  </w:font>
  <w:font w:name="宋体-WinCharSetFFFF-H">
    <w:altName w:val="宋体"/>
    <w:panose1 w:val="00000000000000000000"/>
    <w:charset w:val="86"/>
    <w:family w:val="auto"/>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62</w:t>
    </w:r>
    <w:r>
      <w:rPr>
        <w:rStyle w:val="PageNumber"/>
      </w:rPr>
      <w:fldChar w:fldCharType="end"/>
    </w:r>
  </w:p>
  <w:p>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62</w:t>
    </w:r>
    <w:r>
      <w:rPr>
        <w:rStyle w:val="PageNumber"/>
      </w:rPr>
      <w:fldChar w:fldCharType="end"/>
    </w:r>
  </w:p>
  <w:p>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95</w:t>
    </w:r>
    <w:r>
      <w:rPr>
        <w:rStyle w:val="PageNumber"/>
      </w:rPr>
      <w:fldChar w:fldCharType="end"/>
    </w:r>
  </w:p>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right"/>
      <w:rPr>
        <w:rFonts w:ascii="宋体"/>
      </w:rPr>
    </w:pPr>
    <w:r>
      <w:rPr>
        <w:rFonts w:ascii="宋体" w:hAnsi="宋体"/>
      </w:rPr>
      <w:t>AAA</w:t>
    </w:r>
    <w:r>
      <w:rPr>
        <w:rFonts w:ascii="宋体" w:hAnsi="宋体" w:hint="eastAsia"/>
      </w:rPr>
      <w:t>基金基金合同</w:t>
    </w:r>
  </w:p>
  <w:p>
    <w:pPr>
      <w:pStyle w:val="Header"/>
    </w:pPr>
  </w:p>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pPr>
    <w:r>
      <w:rPr>
        <w:rFonts w:hint="eastAsia"/>
        <w:lang w:val="en-US"/>
      </w:rPr>
      <w:t>正仁1号私募证券投资基金私募基金合同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9E304"/>
    <w:multiLevelType w:val="multilevel"/>
    <w:tmpl w:val="0009E304"/>
    <w:lvl w:ilvl="0">
      <w:start w:val="1"/>
      <w:numFmt w:val="decimal"/>
      <w:suff w:val="space"/>
      <w:lvlText w:val="%1、"/>
      <w:lvlJc w:val="left"/>
      <w:pPr>
        <w:ind w:left="420" w:hanging="420"/>
      </w:pPr>
      <w:rPr>
        <w:rFonts w:hint="eastAsia"/>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1369D5"/>
    <w:multiLevelType w:val="multilevel"/>
    <w:tmpl w:val="001369D5"/>
    <w:lvl w:ilvl="0">
      <w:start w:val="1"/>
      <w:numFmt w:val="decimal"/>
      <w:suff w:val="space"/>
      <w:lvlText w:val="（%1）"/>
      <w:lvlJc w:val="left"/>
      <w:pPr>
        <w:ind w:left="840" w:hanging="420"/>
      </w:pPr>
      <w:rPr>
        <w:rFonts w:hint="eastAsia"/>
        <w:lang w:val="en-US"/>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nsid w:val="0013DB43"/>
    <w:multiLevelType w:val="singleLevel"/>
    <w:tmpl w:val="0013DB43"/>
    <w:lvl w:ilvl="0">
      <w:start w:val="1"/>
      <w:numFmt w:val="decimal"/>
      <w:suff w:val="nothing"/>
      <w:lvlText w:val="%1、"/>
      <w:lvlJc w:val="left"/>
    </w:lvl>
  </w:abstractNum>
  <w:abstractNum w:abstractNumId="3">
    <w:nsid w:val="001E23D5"/>
    <w:multiLevelType w:val="multilevel"/>
    <w:tmpl w:val="001E23D5"/>
    <w:lvl w:ilvl="0">
      <w:start w:val="1"/>
      <w:numFmt w:val="chineseCountingThousand"/>
      <w:lvlText w:val="（%1）"/>
      <w:lvlJc w:val="right"/>
      <w:pPr>
        <w:ind w:left="420" w:hanging="420"/>
      </w:pPr>
      <w:rPr>
        <w:rFonts w:hint="eastAsia"/>
      </w:rPr>
    </w:lvl>
    <w:lvl w:ilvl="1">
      <w:start w:val="1"/>
      <w:numFmt w:val="chineseCountingThousand"/>
      <w:suff w:val="space"/>
      <w:lvlText w:val="（%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264874"/>
    <w:multiLevelType w:val="multilevel"/>
    <w:tmpl w:val="00264874"/>
    <w:lvl w:ilvl="0">
      <w:start w:val="1"/>
      <w:numFmt w:val="bullet"/>
      <w:lvlText w:val=""/>
      <w:lvlJc w:val="left"/>
      <w:pPr>
        <w:ind w:left="3540" w:hanging="420"/>
      </w:pPr>
      <w:rPr>
        <w:rFonts w:ascii="Wingdings" w:hAnsi="Wingdings" w:hint="default"/>
      </w:rPr>
    </w:lvl>
    <w:lvl w:ilvl="1">
      <w:start w:val="1"/>
      <w:numFmt w:val="bullet"/>
      <w:lvlText w:val=""/>
      <w:lvlJc w:val="left"/>
      <w:pPr>
        <w:ind w:left="552" w:hanging="420"/>
      </w:pPr>
      <w:rPr>
        <w:rFonts w:ascii="Wingdings" w:hAnsi="Wingdings" w:hint="default"/>
      </w:rPr>
    </w:lvl>
    <w:lvl w:ilvl="2">
      <w:start w:val="1"/>
      <w:numFmt w:val="bullet"/>
      <w:lvlText w:val=""/>
      <w:lvlJc w:val="left"/>
      <w:pPr>
        <w:ind w:left="972" w:hanging="420"/>
      </w:pPr>
      <w:rPr>
        <w:rFonts w:ascii="Wingdings" w:hAnsi="Wingdings" w:hint="default"/>
      </w:rPr>
    </w:lvl>
    <w:lvl w:ilvl="3">
      <w:start w:val="1"/>
      <w:numFmt w:val="bullet"/>
      <w:lvlText w:val=""/>
      <w:lvlJc w:val="left"/>
      <w:pPr>
        <w:ind w:left="1392" w:hanging="420"/>
      </w:pPr>
      <w:rPr>
        <w:rFonts w:ascii="Wingdings" w:hAnsi="Wingdings" w:hint="default"/>
      </w:rPr>
    </w:lvl>
    <w:lvl w:ilvl="4">
      <w:start w:val="1"/>
      <w:numFmt w:val="bullet"/>
      <w:lvlText w:val=""/>
      <w:lvlJc w:val="left"/>
      <w:pPr>
        <w:ind w:left="1812" w:hanging="420"/>
      </w:pPr>
      <w:rPr>
        <w:rFonts w:ascii="Wingdings" w:hAnsi="Wingdings" w:hint="default"/>
      </w:rPr>
    </w:lvl>
    <w:lvl w:ilvl="5">
      <w:start w:val="1"/>
      <w:numFmt w:val="bullet"/>
      <w:lvlText w:val=""/>
      <w:lvlJc w:val="left"/>
      <w:pPr>
        <w:ind w:left="2232" w:hanging="420"/>
      </w:pPr>
      <w:rPr>
        <w:rFonts w:ascii="Wingdings" w:hAnsi="Wingdings" w:hint="default"/>
      </w:rPr>
    </w:lvl>
    <w:lvl w:ilvl="6">
      <w:start w:val="1"/>
      <w:numFmt w:val="bullet"/>
      <w:lvlText w:val=""/>
      <w:lvlJc w:val="left"/>
      <w:pPr>
        <w:ind w:left="2652" w:hanging="420"/>
      </w:pPr>
      <w:rPr>
        <w:rFonts w:ascii="Wingdings" w:hAnsi="Wingdings" w:hint="default"/>
      </w:rPr>
    </w:lvl>
    <w:lvl w:ilvl="7">
      <w:start w:val="1"/>
      <w:numFmt w:val="bullet"/>
      <w:lvlText w:val=""/>
      <w:lvlJc w:val="left"/>
      <w:pPr>
        <w:ind w:left="3072" w:hanging="420"/>
      </w:pPr>
      <w:rPr>
        <w:rFonts w:ascii="Wingdings" w:hAnsi="Wingdings" w:hint="default"/>
      </w:rPr>
    </w:lvl>
    <w:lvl w:ilvl="8">
      <w:start w:val="1"/>
      <w:numFmt w:val="bullet"/>
      <w:lvlText w:val=""/>
      <w:lvlJc w:val="left"/>
      <w:pPr>
        <w:ind w:left="3492" w:hanging="420"/>
      </w:pPr>
      <w:rPr>
        <w:rFonts w:ascii="Wingdings" w:hAnsi="Wingdings" w:hint="default"/>
      </w:rPr>
    </w:lvl>
  </w:abstractNum>
  <w:abstractNum w:abstractNumId="5">
    <w:nsid w:val="003BA2C2"/>
    <w:multiLevelType w:val="multilevel"/>
    <w:tmpl w:val="003BA2C2"/>
    <w:lvl w:ilvl="0">
      <w:start w:val="1"/>
      <w:numFmt w:val="decimal"/>
      <w:lvlText w:val="%1、"/>
      <w:lvlJc w:val="left"/>
      <w:pPr>
        <w:ind w:left="420" w:hanging="420"/>
      </w:pPr>
      <w:rPr>
        <w:rFonts w:hint="eastAsia"/>
        <w:b w:val="0"/>
      </w:rPr>
    </w:lvl>
    <w:lvl w:ilvl="1">
      <w:start w:val="1"/>
      <w:numFmt w:val="decimal"/>
      <w:suff w:val="space"/>
      <w:lvlText w:val="%2、"/>
      <w:lvlJc w:val="left"/>
      <w:pPr>
        <w:ind w:left="840" w:hanging="420"/>
      </w:pPr>
      <w:rPr>
        <w:rFonts w:hint="eastAsia"/>
        <w:b w:val="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00453F5A"/>
    <w:multiLevelType w:val="multilevel"/>
    <w:tmpl w:val="00453F5A"/>
    <w:lvl w:ilvl="0">
      <w:start w:val="1"/>
      <w:numFmt w:val="decimal"/>
      <w:suff w:val="space"/>
      <w:lvlText w:val="（%1）"/>
      <w:lvlJc w:val="left"/>
      <w:pPr>
        <w:ind w:left="840" w:hanging="420"/>
      </w:pPr>
      <w:rPr>
        <w:rFonts w:hint="eastAsia"/>
        <w:b w:val="0"/>
        <w:bCs w:val="0"/>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nsid w:val="00714C5C"/>
    <w:multiLevelType w:val="multilevel"/>
    <w:tmpl w:val="00714C5C"/>
    <w:lvl w:ilvl="0">
      <w:start w:val="1"/>
      <w:numFmt w:val="chineseCountingThousand"/>
      <w:suff w:val="space"/>
      <w:lvlText w:val="（%1）"/>
      <w:lvlJc w:val="left"/>
      <w:pPr>
        <w:ind w:left="420" w:hanging="420"/>
      </w:pPr>
      <w:rPr>
        <w:rFonts w:hint="eastAsia"/>
      </w:rPr>
    </w:lvl>
    <w:lvl w:ilvl="1">
      <w:start w:val="1"/>
      <w:numFmt w:val="chineseCountingThousand"/>
      <w:lvlText w:val="（%2）"/>
      <w:lvlJc w:val="left"/>
      <w:pPr>
        <w:ind w:left="840" w:hanging="420"/>
      </w:pPr>
      <w:rPr>
        <w:rFonts w:hint="eastAsia"/>
      </w:rPr>
    </w:lvl>
    <w:lvl w:ilvl="2">
      <w:start w:val="1"/>
      <w:numFmt w:val="chineseCountingThousand"/>
      <w:lvlText w:val="（%3）"/>
      <w:lvlJc w:val="left"/>
      <w:pPr>
        <w:ind w:left="1260" w:hanging="420"/>
      </w:pPr>
      <w:rPr>
        <w:rFonts w:hint="eastAsia"/>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00B837F7"/>
    <w:multiLevelType w:val="multilevel"/>
    <w:tmpl w:val="00B837F7"/>
    <w:lvl w:ilvl="0">
      <w:start w:val="1"/>
      <w:numFmt w:val="decimal"/>
      <w:suff w:val="space"/>
      <w:lvlText w:val="%1、"/>
      <w:lvlJc w:val="left"/>
      <w:pPr>
        <w:ind w:left="420" w:hanging="420"/>
      </w:pPr>
      <w:rPr>
        <w:rFonts w:hint="eastAsia"/>
        <w:b w:val="0"/>
      </w:rPr>
    </w:lvl>
    <w:lvl w:ilvl="1">
      <w:start w:val="1"/>
      <w:numFmt w:val="decimal"/>
      <w:lvlText w:val="%2、"/>
      <w:lvlJc w:val="left"/>
      <w:pPr>
        <w:ind w:left="840" w:hanging="420"/>
      </w:pPr>
      <w:rPr>
        <w:rFonts w:hint="eastAsia"/>
        <w:b w:val="0"/>
      </w:rPr>
    </w:lvl>
    <w:lvl w:ilvl="2">
      <w:start w:val="1"/>
      <w:numFmt w:val="decimal"/>
      <w:lvlText w:val="%3、"/>
      <w:lvlJc w:val="left"/>
      <w:pPr>
        <w:ind w:left="1260" w:hanging="420"/>
      </w:pPr>
      <w:rPr>
        <w:rFonts w:hint="eastAsia"/>
        <w:b w:val="0"/>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00C7C9D2"/>
    <w:multiLevelType w:val="singleLevel"/>
    <w:tmpl w:val="00C7C9D2"/>
    <w:lvl w:ilvl="0">
      <w:start w:val="1"/>
      <w:numFmt w:val="decimal"/>
      <w:suff w:val="nothing"/>
      <w:lvlText w:val="（%1）"/>
      <w:lvlJc w:val="left"/>
    </w:lvl>
  </w:abstractNum>
  <w:abstractNum w:abstractNumId="10">
    <w:nsid w:val="00F49A03"/>
    <w:multiLevelType w:val="multilevel"/>
    <w:tmpl w:val="00F49A03"/>
    <w:lvl w:ilvl="0">
      <w:start w:val="1"/>
      <w:numFmt w:val="decimal"/>
      <w:suff w:val="space"/>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nsid w:val="00F6DCB3"/>
    <w:multiLevelType w:val="multilevel"/>
    <w:tmpl w:val="00F6DCB3"/>
    <w:lvl w:ilvl="0">
      <w:start w:val="1"/>
      <w:numFmt w:val="decimal"/>
      <w:suff w:val="space"/>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4"/>
  </w:num>
  <w:num w:numId="2">
    <w:abstractNumId w:val="3"/>
  </w:num>
  <w:num w:numId="3">
    <w:abstractNumId w:val="11"/>
  </w:num>
  <w:num w:numId="4">
    <w:abstractNumId w:val="1"/>
  </w:num>
  <w:num w:numId="5">
    <w:abstractNumId w:val="7"/>
  </w:num>
  <w:num w:numId="6">
    <w:abstractNumId w:val="0"/>
  </w:num>
  <w:num w:numId="7">
    <w:abstractNumId w:val="2"/>
  </w:num>
  <w:num w:numId="8">
    <w:abstractNumId w:val="6"/>
  </w:num>
  <w:num w:numId="9">
    <w:abstractNumId w:val="10"/>
  </w:num>
  <w:num w:numId="10">
    <w:abstractNumId w:val="8"/>
  </w:num>
  <w:num w:numId="11">
    <w:abstractNumId w:val="5"/>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陈慧">
    <w15:presenceInfo w15:providerId="None" w15:userId="陈慧"/>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90"/>
  <w:bordersDoNotSurroundHeader/>
  <w:bordersDoNotSurroundFooter/>
  <w:trackRevisions/>
  <w:defaultTabStop w:val="420"/>
  <w:drawingGridHorizontalSpacing w:val="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427"/>
    <w:rsid w:val="000006F9"/>
    <w:rsid w:val="000009B9"/>
    <w:rsid w:val="00001789"/>
    <w:rsid w:val="00002437"/>
    <w:rsid w:val="00002860"/>
    <w:rsid w:val="00002A31"/>
    <w:rsid w:val="000033C2"/>
    <w:rsid w:val="000034E0"/>
    <w:rsid w:val="00003E8F"/>
    <w:rsid w:val="000045FB"/>
    <w:rsid w:val="000046B1"/>
    <w:rsid w:val="00004D7A"/>
    <w:rsid w:val="00004ED9"/>
    <w:rsid w:val="00005333"/>
    <w:rsid w:val="00005CA5"/>
    <w:rsid w:val="00007894"/>
    <w:rsid w:val="00007AAC"/>
    <w:rsid w:val="00007E9D"/>
    <w:rsid w:val="00007EAE"/>
    <w:rsid w:val="000117BF"/>
    <w:rsid w:val="000126E7"/>
    <w:rsid w:val="000143F0"/>
    <w:rsid w:val="00015519"/>
    <w:rsid w:val="000163AE"/>
    <w:rsid w:val="00016747"/>
    <w:rsid w:val="00016E2C"/>
    <w:rsid w:val="0001707F"/>
    <w:rsid w:val="000174AD"/>
    <w:rsid w:val="000209A5"/>
    <w:rsid w:val="00021879"/>
    <w:rsid w:val="000229A2"/>
    <w:rsid w:val="000235FA"/>
    <w:rsid w:val="0002410C"/>
    <w:rsid w:val="00025949"/>
    <w:rsid w:val="00025ACF"/>
    <w:rsid w:val="00025D4A"/>
    <w:rsid w:val="00026153"/>
    <w:rsid w:val="000261FF"/>
    <w:rsid w:val="00026432"/>
    <w:rsid w:val="00026666"/>
    <w:rsid w:val="00026879"/>
    <w:rsid w:val="000277F9"/>
    <w:rsid w:val="00031365"/>
    <w:rsid w:val="00031BB6"/>
    <w:rsid w:val="00031F0E"/>
    <w:rsid w:val="0003227D"/>
    <w:rsid w:val="000323BF"/>
    <w:rsid w:val="000324E9"/>
    <w:rsid w:val="00032E6C"/>
    <w:rsid w:val="00033618"/>
    <w:rsid w:val="00033CD5"/>
    <w:rsid w:val="0003417A"/>
    <w:rsid w:val="0003423A"/>
    <w:rsid w:val="0003473C"/>
    <w:rsid w:val="00035270"/>
    <w:rsid w:val="0003564C"/>
    <w:rsid w:val="000356C6"/>
    <w:rsid w:val="00035C9B"/>
    <w:rsid w:val="0003695F"/>
    <w:rsid w:val="00036F3D"/>
    <w:rsid w:val="00036FF7"/>
    <w:rsid w:val="000373DA"/>
    <w:rsid w:val="00037C76"/>
    <w:rsid w:val="0004020F"/>
    <w:rsid w:val="00040730"/>
    <w:rsid w:val="00040A3F"/>
    <w:rsid w:val="00040BE5"/>
    <w:rsid w:val="00040CFD"/>
    <w:rsid w:val="00040F4A"/>
    <w:rsid w:val="000416F7"/>
    <w:rsid w:val="0004197F"/>
    <w:rsid w:val="00042C89"/>
    <w:rsid w:val="00043815"/>
    <w:rsid w:val="00043AF6"/>
    <w:rsid w:val="00043CDE"/>
    <w:rsid w:val="000441A6"/>
    <w:rsid w:val="00044C9E"/>
    <w:rsid w:val="00044EA6"/>
    <w:rsid w:val="00045423"/>
    <w:rsid w:val="000458FD"/>
    <w:rsid w:val="0004606B"/>
    <w:rsid w:val="0004615F"/>
    <w:rsid w:val="000464A8"/>
    <w:rsid w:val="00046948"/>
    <w:rsid w:val="00046A90"/>
    <w:rsid w:val="00047730"/>
    <w:rsid w:val="0005031F"/>
    <w:rsid w:val="00050349"/>
    <w:rsid w:val="0005059F"/>
    <w:rsid w:val="00050660"/>
    <w:rsid w:val="00050716"/>
    <w:rsid w:val="000509B1"/>
    <w:rsid w:val="00050B1A"/>
    <w:rsid w:val="00050D4C"/>
    <w:rsid w:val="00051581"/>
    <w:rsid w:val="00051BDF"/>
    <w:rsid w:val="000527FB"/>
    <w:rsid w:val="000547E3"/>
    <w:rsid w:val="00054BD1"/>
    <w:rsid w:val="00055EE3"/>
    <w:rsid w:val="0005713D"/>
    <w:rsid w:val="000571AB"/>
    <w:rsid w:val="000603D3"/>
    <w:rsid w:val="000604C4"/>
    <w:rsid w:val="00060868"/>
    <w:rsid w:val="00060CA2"/>
    <w:rsid w:val="00060DD4"/>
    <w:rsid w:val="000610B3"/>
    <w:rsid w:val="000614CE"/>
    <w:rsid w:val="0006166C"/>
    <w:rsid w:val="00061C7B"/>
    <w:rsid w:val="00061C81"/>
    <w:rsid w:val="00061D9B"/>
    <w:rsid w:val="000627DF"/>
    <w:rsid w:val="0006356B"/>
    <w:rsid w:val="00063CE9"/>
    <w:rsid w:val="0006403E"/>
    <w:rsid w:val="0006526C"/>
    <w:rsid w:val="000665E1"/>
    <w:rsid w:val="00067B90"/>
    <w:rsid w:val="00067EAA"/>
    <w:rsid w:val="000708D4"/>
    <w:rsid w:val="0007138A"/>
    <w:rsid w:val="00071BF6"/>
    <w:rsid w:val="0007227E"/>
    <w:rsid w:val="00072437"/>
    <w:rsid w:val="00072848"/>
    <w:rsid w:val="00072BA6"/>
    <w:rsid w:val="00073596"/>
    <w:rsid w:val="00074A2B"/>
    <w:rsid w:val="0007607F"/>
    <w:rsid w:val="00076BE8"/>
    <w:rsid w:val="00076BFA"/>
    <w:rsid w:val="00076E31"/>
    <w:rsid w:val="00077072"/>
    <w:rsid w:val="000804D0"/>
    <w:rsid w:val="00081303"/>
    <w:rsid w:val="0008182D"/>
    <w:rsid w:val="000818F9"/>
    <w:rsid w:val="00081ADB"/>
    <w:rsid w:val="000824D7"/>
    <w:rsid w:val="0008258F"/>
    <w:rsid w:val="0008363E"/>
    <w:rsid w:val="00084196"/>
    <w:rsid w:val="0008485E"/>
    <w:rsid w:val="00085130"/>
    <w:rsid w:val="000855F7"/>
    <w:rsid w:val="0008683B"/>
    <w:rsid w:val="000900FD"/>
    <w:rsid w:val="00090C21"/>
    <w:rsid w:val="00090F2A"/>
    <w:rsid w:val="00091169"/>
    <w:rsid w:val="000913D5"/>
    <w:rsid w:val="000915DA"/>
    <w:rsid w:val="00091BF9"/>
    <w:rsid w:val="00092390"/>
    <w:rsid w:val="00092817"/>
    <w:rsid w:val="00092905"/>
    <w:rsid w:val="000931BD"/>
    <w:rsid w:val="000943D4"/>
    <w:rsid w:val="00094925"/>
    <w:rsid w:val="00095ABD"/>
    <w:rsid w:val="00095F9F"/>
    <w:rsid w:val="00095FA9"/>
    <w:rsid w:val="00096A46"/>
    <w:rsid w:val="00096DD2"/>
    <w:rsid w:val="00096E92"/>
    <w:rsid w:val="00097731"/>
    <w:rsid w:val="00097EB4"/>
    <w:rsid w:val="000A0853"/>
    <w:rsid w:val="000A097C"/>
    <w:rsid w:val="000A0D4B"/>
    <w:rsid w:val="000A0F1B"/>
    <w:rsid w:val="000A0F52"/>
    <w:rsid w:val="000A16F7"/>
    <w:rsid w:val="000A1B16"/>
    <w:rsid w:val="000A3323"/>
    <w:rsid w:val="000A3474"/>
    <w:rsid w:val="000A37DE"/>
    <w:rsid w:val="000A38EB"/>
    <w:rsid w:val="000A4137"/>
    <w:rsid w:val="000A51EB"/>
    <w:rsid w:val="000A541E"/>
    <w:rsid w:val="000A5E05"/>
    <w:rsid w:val="000A6DEA"/>
    <w:rsid w:val="000A73C2"/>
    <w:rsid w:val="000A78B4"/>
    <w:rsid w:val="000A7B3D"/>
    <w:rsid w:val="000B0200"/>
    <w:rsid w:val="000B0D36"/>
    <w:rsid w:val="000B1AA8"/>
    <w:rsid w:val="000B2748"/>
    <w:rsid w:val="000B2D89"/>
    <w:rsid w:val="000B2E19"/>
    <w:rsid w:val="000B30F6"/>
    <w:rsid w:val="000B3566"/>
    <w:rsid w:val="000B438B"/>
    <w:rsid w:val="000B488F"/>
    <w:rsid w:val="000B49F5"/>
    <w:rsid w:val="000B4A27"/>
    <w:rsid w:val="000B4ED3"/>
    <w:rsid w:val="000B51AE"/>
    <w:rsid w:val="000B7133"/>
    <w:rsid w:val="000B7487"/>
    <w:rsid w:val="000B74A1"/>
    <w:rsid w:val="000B7932"/>
    <w:rsid w:val="000C02FE"/>
    <w:rsid w:val="000C173F"/>
    <w:rsid w:val="000C1AE1"/>
    <w:rsid w:val="000C1E80"/>
    <w:rsid w:val="000C2431"/>
    <w:rsid w:val="000C2E39"/>
    <w:rsid w:val="000C2FDB"/>
    <w:rsid w:val="000C424A"/>
    <w:rsid w:val="000C4B50"/>
    <w:rsid w:val="000C547A"/>
    <w:rsid w:val="000C5A98"/>
    <w:rsid w:val="000C6A71"/>
    <w:rsid w:val="000C72E2"/>
    <w:rsid w:val="000C781F"/>
    <w:rsid w:val="000C7AA8"/>
    <w:rsid w:val="000D00F0"/>
    <w:rsid w:val="000D01BD"/>
    <w:rsid w:val="000D031B"/>
    <w:rsid w:val="000D0517"/>
    <w:rsid w:val="000D0E6B"/>
    <w:rsid w:val="000D13EA"/>
    <w:rsid w:val="000D18AB"/>
    <w:rsid w:val="000D1E4D"/>
    <w:rsid w:val="000D2097"/>
    <w:rsid w:val="000D35A3"/>
    <w:rsid w:val="000D3858"/>
    <w:rsid w:val="000D4316"/>
    <w:rsid w:val="000D48D5"/>
    <w:rsid w:val="000D4D0B"/>
    <w:rsid w:val="000D54AF"/>
    <w:rsid w:val="000D60D6"/>
    <w:rsid w:val="000D6363"/>
    <w:rsid w:val="000D7D22"/>
    <w:rsid w:val="000E010B"/>
    <w:rsid w:val="000E05B3"/>
    <w:rsid w:val="000E098B"/>
    <w:rsid w:val="000E10BD"/>
    <w:rsid w:val="000E1F1D"/>
    <w:rsid w:val="000E2344"/>
    <w:rsid w:val="000E30B8"/>
    <w:rsid w:val="000E3641"/>
    <w:rsid w:val="000E3CE8"/>
    <w:rsid w:val="000E4CD5"/>
    <w:rsid w:val="000E538C"/>
    <w:rsid w:val="000E598D"/>
    <w:rsid w:val="000E67F2"/>
    <w:rsid w:val="000E6D19"/>
    <w:rsid w:val="000E7743"/>
    <w:rsid w:val="000F05A7"/>
    <w:rsid w:val="000F08AB"/>
    <w:rsid w:val="000F0CBC"/>
    <w:rsid w:val="000F1676"/>
    <w:rsid w:val="000F2B9B"/>
    <w:rsid w:val="000F2BA1"/>
    <w:rsid w:val="000F2CD7"/>
    <w:rsid w:val="000F3C59"/>
    <w:rsid w:val="000F3CD4"/>
    <w:rsid w:val="000F4088"/>
    <w:rsid w:val="000F412C"/>
    <w:rsid w:val="000F42A6"/>
    <w:rsid w:val="000F539D"/>
    <w:rsid w:val="000F5ACE"/>
    <w:rsid w:val="000F6235"/>
    <w:rsid w:val="000F6334"/>
    <w:rsid w:val="000F65EE"/>
    <w:rsid w:val="000F6BA5"/>
    <w:rsid w:val="000F7130"/>
    <w:rsid w:val="000F7720"/>
    <w:rsid w:val="000F7ABD"/>
    <w:rsid w:val="000F7C33"/>
    <w:rsid w:val="000F7FD2"/>
    <w:rsid w:val="001002B5"/>
    <w:rsid w:val="0010043A"/>
    <w:rsid w:val="0010043E"/>
    <w:rsid w:val="0010083F"/>
    <w:rsid w:val="00100BFC"/>
    <w:rsid w:val="00100F5A"/>
    <w:rsid w:val="00102A04"/>
    <w:rsid w:val="00102A0C"/>
    <w:rsid w:val="00102A2F"/>
    <w:rsid w:val="00102B4D"/>
    <w:rsid w:val="00102FFB"/>
    <w:rsid w:val="001033DC"/>
    <w:rsid w:val="00103948"/>
    <w:rsid w:val="00103EBF"/>
    <w:rsid w:val="00105193"/>
    <w:rsid w:val="00105D62"/>
    <w:rsid w:val="0010655F"/>
    <w:rsid w:val="00106877"/>
    <w:rsid w:val="00106982"/>
    <w:rsid w:val="001104EC"/>
    <w:rsid w:val="0011096E"/>
    <w:rsid w:val="00110ABD"/>
    <w:rsid w:val="00110B6A"/>
    <w:rsid w:val="00111066"/>
    <w:rsid w:val="00111564"/>
    <w:rsid w:val="0011170B"/>
    <w:rsid w:val="00111954"/>
    <w:rsid w:val="00112463"/>
    <w:rsid w:val="00112B6D"/>
    <w:rsid w:val="0011319C"/>
    <w:rsid w:val="0011323E"/>
    <w:rsid w:val="00113451"/>
    <w:rsid w:val="0011349A"/>
    <w:rsid w:val="00113940"/>
    <w:rsid w:val="00113AE3"/>
    <w:rsid w:val="00114B63"/>
    <w:rsid w:val="0011528E"/>
    <w:rsid w:val="0011571A"/>
    <w:rsid w:val="0011581D"/>
    <w:rsid w:val="00115920"/>
    <w:rsid w:val="00115E14"/>
    <w:rsid w:val="00117A33"/>
    <w:rsid w:val="00117AFE"/>
    <w:rsid w:val="001200DB"/>
    <w:rsid w:val="00120313"/>
    <w:rsid w:val="00120484"/>
    <w:rsid w:val="00120993"/>
    <w:rsid w:val="001209E2"/>
    <w:rsid w:val="00120BF4"/>
    <w:rsid w:val="00120DC8"/>
    <w:rsid w:val="0012150A"/>
    <w:rsid w:val="00121D1A"/>
    <w:rsid w:val="00121E1A"/>
    <w:rsid w:val="00121F6C"/>
    <w:rsid w:val="00122192"/>
    <w:rsid w:val="00122DBB"/>
    <w:rsid w:val="00123129"/>
    <w:rsid w:val="00123340"/>
    <w:rsid w:val="00123941"/>
    <w:rsid w:val="00123C4B"/>
    <w:rsid w:val="00123C5C"/>
    <w:rsid w:val="001240C7"/>
    <w:rsid w:val="001240F2"/>
    <w:rsid w:val="001242D4"/>
    <w:rsid w:val="00124E14"/>
    <w:rsid w:val="0012566B"/>
    <w:rsid w:val="00125E2D"/>
    <w:rsid w:val="00126147"/>
    <w:rsid w:val="00126A69"/>
    <w:rsid w:val="00126BB4"/>
    <w:rsid w:val="00127158"/>
    <w:rsid w:val="0012764C"/>
    <w:rsid w:val="00127985"/>
    <w:rsid w:val="00133C6A"/>
    <w:rsid w:val="00134208"/>
    <w:rsid w:val="00134740"/>
    <w:rsid w:val="001347A4"/>
    <w:rsid w:val="00134985"/>
    <w:rsid w:val="00134AC4"/>
    <w:rsid w:val="00135ABE"/>
    <w:rsid w:val="001361B0"/>
    <w:rsid w:val="00136B25"/>
    <w:rsid w:val="001402F4"/>
    <w:rsid w:val="00141AE4"/>
    <w:rsid w:val="00141EDE"/>
    <w:rsid w:val="001423A8"/>
    <w:rsid w:val="00142892"/>
    <w:rsid w:val="00142A76"/>
    <w:rsid w:val="00142DC0"/>
    <w:rsid w:val="00143264"/>
    <w:rsid w:val="001437BB"/>
    <w:rsid w:val="00143861"/>
    <w:rsid w:val="00143BF8"/>
    <w:rsid w:val="00143C8B"/>
    <w:rsid w:val="001443E2"/>
    <w:rsid w:val="00144CF4"/>
    <w:rsid w:val="0014667C"/>
    <w:rsid w:val="001468C4"/>
    <w:rsid w:val="00146908"/>
    <w:rsid w:val="00146CC5"/>
    <w:rsid w:val="00147B8F"/>
    <w:rsid w:val="0015065F"/>
    <w:rsid w:val="001507F1"/>
    <w:rsid w:val="00150A1D"/>
    <w:rsid w:val="00150A4A"/>
    <w:rsid w:val="00150B69"/>
    <w:rsid w:val="0015162C"/>
    <w:rsid w:val="00153553"/>
    <w:rsid w:val="00153DDF"/>
    <w:rsid w:val="00154D47"/>
    <w:rsid w:val="0015600B"/>
    <w:rsid w:val="00157169"/>
    <w:rsid w:val="00157199"/>
    <w:rsid w:val="00157FA5"/>
    <w:rsid w:val="001600B3"/>
    <w:rsid w:val="00160766"/>
    <w:rsid w:val="00160863"/>
    <w:rsid w:val="00160DCD"/>
    <w:rsid w:val="00161204"/>
    <w:rsid w:val="00161BCE"/>
    <w:rsid w:val="0016240B"/>
    <w:rsid w:val="0016245F"/>
    <w:rsid w:val="00162E71"/>
    <w:rsid w:val="0016346F"/>
    <w:rsid w:val="0016352F"/>
    <w:rsid w:val="0016400D"/>
    <w:rsid w:val="001644DE"/>
    <w:rsid w:val="00164934"/>
    <w:rsid w:val="0016496D"/>
    <w:rsid w:val="00164F10"/>
    <w:rsid w:val="00165609"/>
    <w:rsid w:val="001659FC"/>
    <w:rsid w:val="00166ABC"/>
    <w:rsid w:val="00166C29"/>
    <w:rsid w:val="00167BA2"/>
    <w:rsid w:val="00167F03"/>
    <w:rsid w:val="00170947"/>
    <w:rsid w:val="00170CDB"/>
    <w:rsid w:val="0017138A"/>
    <w:rsid w:val="00171E37"/>
    <w:rsid w:val="00172196"/>
    <w:rsid w:val="0017234E"/>
    <w:rsid w:val="001723AD"/>
    <w:rsid w:val="001724A3"/>
    <w:rsid w:val="00172739"/>
    <w:rsid w:val="00172A27"/>
    <w:rsid w:val="001731D9"/>
    <w:rsid w:val="00173883"/>
    <w:rsid w:val="00173AD5"/>
    <w:rsid w:val="00174B4D"/>
    <w:rsid w:val="00174D24"/>
    <w:rsid w:val="00174D98"/>
    <w:rsid w:val="00174FC9"/>
    <w:rsid w:val="0017503C"/>
    <w:rsid w:val="001753AE"/>
    <w:rsid w:val="001754E9"/>
    <w:rsid w:val="00175636"/>
    <w:rsid w:val="0017592B"/>
    <w:rsid w:val="00175C08"/>
    <w:rsid w:val="001763A7"/>
    <w:rsid w:val="00176660"/>
    <w:rsid w:val="00176981"/>
    <w:rsid w:val="0017797D"/>
    <w:rsid w:val="00180129"/>
    <w:rsid w:val="00180775"/>
    <w:rsid w:val="001815C1"/>
    <w:rsid w:val="00181819"/>
    <w:rsid w:val="00181823"/>
    <w:rsid w:val="001818D0"/>
    <w:rsid w:val="00181AB0"/>
    <w:rsid w:val="001824C4"/>
    <w:rsid w:val="001826CF"/>
    <w:rsid w:val="00183001"/>
    <w:rsid w:val="00183661"/>
    <w:rsid w:val="001836F9"/>
    <w:rsid w:val="00183D67"/>
    <w:rsid w:val="00184181"/>
    <w:rsid w:val="0018423B"/>
    <w:rsid w:val="001847A1"/>
    <w:rsid w:val="00184BA0"/>
    <w:rsid w:val="00185ADA"/>
    <w:rsid w:val="001906F6"/>
    <w:rsid w:val="00190B6F"/>
    <w:rsid w:val="00191B37"/>
    <w:rsid w:val="00193695"/>
    <w:rsid w:val="00193E34"/>
    <w:rsid w:val="00193E3B"/>
    <w:rsid w:val="00194709"/>
    <w:rsid w:val="0019482C"/>
    <w:rsid w:val="00195008"/>
    <w:rsid w:val="00195154"/>
    <w:rsid w:val="00195AAB"/>
    <w:rsid w:val="00195CB1"/>
    <w:rsid w:val="00195CE8"/>
    <w:rsid w:val="001963BB"/>
    <w:rsid w:val="0019651C"/>
    <w:rsid w:val="0019691B"/>
    <w:rsid w:val="00196929"/>
    <w:rsid w:val="00196A78"/>
    <w:rsid w:val="00197A76"/>
    <w:rsid w:val="001A0518"/>
    <w:rsid w:val="001A05DA"/>
    <w:rsid w:val="001A0861"/>
    <w:rsid w:val="001A0D5A"/>
    <w:rsid w:val="001A17AE"/>
    <w:rsid w:val="001A1AF6"/>
    <w:rsid w:val="001A2698"/>
    <w:rsid w:val="001A2883"/>
    <w:rsid w:val="001A299A"/>
    <w:rsid w:val="001A33F5"/>
    <w:rsid w:val="001A4568"/>
    <w:rsid w:val="001A4B66"/>
    <w:rsid w:val="001A4BD0"/>
    <w:rsid w:val="001A4C4F"/>
    <w:rsid w:val="001A59A0"/>
    <w:rsid w:val="001A5A3E"/>
    <w:rsid w:val="001A5A40"/>
    <w:rsid w:val="001A61ED"/>
    <w:rsid w:val="001A623A"/>
    <w:rsid w:val="001A6283"/>
    <w:rsid w:val="001A67E1"/>
    <w:rsid w:val="001A6EEC"/>
    <w:rsid w:val="001A7DE6"/>
    <w:rsid w:val="001B070F"/>
    <w:rsid w:val="001B0EE8"/>
    <w:rsid w:val="001B221D"/>
    <w:rsid w:val="001B26DB"/>
    <w:rsid w:val="001B2CC1"/>
    <w:rsid w:val="001B2CD4"/>
    <w:rsid w:val="001B39F5"/>
    <w:rsid w:val="001B3D84"/>
    <w:rsid w:val="001B41ED"/>
    <w:rsid w:val="001B481C"/>
    <w:rsid w:val="001B49DB"/>
    <w:rsid w:val="001B5199"/>
    <w:rsid w:val="001B52EC"/>
    <w:rsid w:val="001B623D"/>
    <w:rsid w:val="001B641C"/>
    <w:rsid w:val="001B661A"/>
    <w:rsid w:val="001B6C4C"/>
    <w:rsid w:val="001B6D23"/>
    <w:rsid w:val="001B7187"/>
    <w:rsid w:val="001C033D"/>
    <w:rsid w:val="001C1C0B"/>
    <w:rsid w:val="001C31C4"/>
    <w:rsid w:val="001C374F"/>
    <w:rsid w:val="001C3D50"/>
    <w:rsid w:val="001C405F"/>
    <w:rsid w:val="001C439D"/>
    <w:rsid w:val="001C4665"/>
    <w:rsid w:val="001C4CAD"/>
    <w:rsid w:val="001C6F40"/>
    <w:rsid w:val="001C7377"/>
    <w:rsid w:val="001C7BF8"/>
    <w:rsid w:val="001C7F72"/>
    <w:rsid w:val="001D09A4"/>
    <w:rsid w:val="001D106C"/>
    <w:rsid w:val="001D1227"/>
    <w:rsid w:val="001D150F"/>
    <w:rsid w:val="001D1545"/>
    <w:rsid w:val="001D1D76"/>
    <w:rsid w:val="001D1EB7"/>
    <w:rsid w:val="001D1FDE"/>
    <w:rsid w:val="001D286A"/>
    <w:rsid w:val="001D2A08"/>
    <w:rsid w:val="001D2BA9"/>
    <w:rsid w:val="001D38BF"/>
    <w:rsid w:val="001D3A23"/>
    <w:rsid w:val="001D4E8E"/>
    <w:rsid w:val="001D5F36"/>
    <w:rsid w:val="001D6636"/>
    <w:rsid w:val="001D6C43"/>
    <w:rsid w:val="001D6F65"/>
    <w:rsid w:val="001D737E"/>
    <w:rsid w:val="001D783B"/>
    <w:rsid w:val="001E0DBD"/>
    <w:rsid w:val="001E139F"/>
    <w:rsid w:val="001E1581"/>
    <w:rsid w:val="001E202D"/>
    <w:rsid w:val="001E2742"/>
    <w:rsid w:val="001E28D4"/>
    <w:rsid w:val="001E2CAD"/>
    <w:rsid w:val="001E2CCC"/>
    <w:rsid w:val="001E319C"/>
    <w:rsid w:val="001E3DC6"/>
    <w:rsid w:val="001E3FCA"/>
    <w:rsid w:val="001E4417"/>
    <w:rsid w:val="001E5452"/>
    <w:rsid w:val="001E545E"/>
    <w:rsid w:val="001E55BB"/>
    <w:rsid w:val="001E57F0"/>
    <w:rsid w:val="001E5A1B"/>
    <w:rsid w:val="001E7449"/>
    <w:rsid w:val="001E766B"/>
    <w:rsid w:val="001E7B0E"/>
    <w:rsid w:val="001F0108"/>
    <w:rsid w:val="001F016F"/>
    <w:rsid w:val="001F0322"/>
    <w:rsid w:val="001F0479"/>
    <w:rsid w:val="001F05EC"/>
    <w:rsid w:val="001F0875"/>
    <w:rsid w:val="001F0DCC"/>
    <w:rsid w:val="001F15FB"/>
    <w:rsid w:val="001F175A"/>
    <w:rsid w:val="001F1B8D"/>
    <w:rsid w:val="001F1BF0"/>
    <w:rsid w:val="001F1D11"/>
    <w:rsid w:val="001F21BA"/>
    <w:rsid w:val="001F21C8"/>
    <w:rsid w:val="001F232E"/>
    <w:rsid w:val="001F25DC"/>
    <w:rsid w:val="001F342F"/>
    <w:rsid w:val="001F3544"/>
    <w:rsid w:val="001F5D7B"/>
    <w:rsid w:val="001F658A"/>
    <w:rsid w:val="001F68E3"/>
    <w:rsid w:val="001F6FB5"/>
    <w:rsid w:val="001F71DB"/>
    <w:rsid w:val="001F72D7"/>
    <w:rsid w:val="001F789B"/>
    <w:rsid w:val="001F7A9B"/>
    <w:rsid w:val="001F7B4F"/>
    <w:rsid w:val="0020029D"/>
    <w:rsid w:val="002005BE"/>
    <w:rsid w:val="002005C3"/>
    <w:rsid w:val="00200803"/>
    <w:rsid w:val="00200BC5"/>
    <w:rsid w:val="0020195B"/>
    <w:rsid w:val="002024A7"/>
    <w:rsid w:val="0020363B"/>
    <w:rsid w:val="00203996"/>
    <w:rsid w:val="00204058"/>
    <w:rsid w:val="00204A61"/>
    <w:rsid w:val="00204B97"/>
    <w:rsid w:val="00205E7E"/>
    <w:rsid w:val="00206D01"/>
    <w:rsid w:val="00206DB9"/>
    <w:rsid w:val="0020775C"/>
    <w:rsid w:val="00207E6F"/>
    <w:rsid w:val="002101B9"/>
    <w:rsid w:val="002101EC"/>
    <w:rsid w:val="002108A0"/>
    <w:rsid w:val="00210D6D"/>
    <w:rsid w:val="00210EF4"/>
    <w:rsid w:val="0021103D"/>
    <w:rsid w:val="00211C9A"/>
    <w:rsid w:val="0021211A"/>
    <w:rsid w:val="0021248D"/>
    <w:rsid w:val="0021293C"/>
    <w:rsid w:val="00212A6A"/>
    <w:rsid w:val="00212BE5"/>
    <w:rsid w:val="00213711"/>
    <w:rsid w:val="00213D94"/>
    <w:rsid w:val="002140EB"/>
    <w:rsid w:val="00214159"/>
    <w:rsid w:val="00214D0E"/>
    <w:rsid w:val="002165C1"/>
    <w:rsid w:val="00217A51"/>
    <w:rsid w:val="002200AA"/>
    <w:rsid w:val="00220718"/>
    <w:rsid w:val="00220B55"/>
    <w:rsid w:val="002210CE"/>
    <w:rsid w:val="002211B9"/>
    <w:rsid w:val="002217EA"/>
    <w:rsid w:val="0022216C"/>
    <w:rsid w:val="002224E1"/>
    <w:rsid w:val="00222628"/>
    <w:rsid w:val="00222ED4"/>
    <w:rsid w:val="00223FA9"/>
    <w:rsid w:val="002240D6"/>
    <w:rsid w:val="00224211"/>
    <w:rsid w:val="002247EB"/>
    <w:rsid w:val="00224893"/>
    <w:rsid w:val="0022593A"/>
    <w:rsid w:val="00225FAA"/>
    <w:rsid w:val="00226D0C"/>
    <w:rsid w:val="002271EC"/>
    <w:rsid w:val="0022736C"/>
    <w:rsid w:val="00227E01"/>
    <w:rsid w:val="0023006B"/>
    <w:rsid w:val="002303DC"/>
    <w:rsid w:val="00230A9E"/>
    <w:rsid w:val="00230E57"/>
    <w:rsid w:val="00230F52"/>
    <w:rsid w:val="0023189E"/>
    <w:rsid w:val="00231E92"/>
    <w:rsid w:val="00232AEB"/>
    <w:rsid w:val="00232B19"/>
    <w:rsid w:val="00232E45"/>
    <w:rsid w:val="00233BD5"/>
    <w:rsid w:val="00233F50"/>
    <w:rsid w:val="0023456D"/>
    <w:rsid w:val="002346C3"/>
    <w:rsid w:val="00234A01"/>
    <w:rsid w:val="00235061"/>
    <w:rsid w:val="00235257"/>
    <w:rsid w:val="002353BE"/>
    <w:rsid w:val="00235ADB"/>
    <w:rsid w:val="00235F62"/>
    <w:rsid w:val="002361F6"/>
    <w:rsid w:val="002368BB"/>
    <w:rsid w:val="00240416"/>
    <w:rsid w:val="00240B03"/>
    <w:rsid w:val="00240D54"/>
    <w:rsid w:val="002424E3"/>
    <w:rsid w:val="0024273A"/>
    <w:rsid w:val="002432D1"/>
    <w:rsid w:val="002433B1"/>
    <w:rsid w:val="00243BF9"/>
    <w:rsid w:val="00243C2B"/>
    <w:rsid w:val="00244021"/>
    <w:rsid w:val="00244690"/>
    <w:rsid w:val="002448DE"/>
    <w:rsid w:val="00245491"/>
    <w:rsid w:val="0024584A"/>
    <w:rsid w:val="00245D83"/>
    <w:rsid w:val="00245E05"/>
    <w:rsid w:val="00246355"/>
    <w:rsid w:val="002465D5"/>
    <w:rsid w:val="00246676"/>
    <w:rsid w:val="00246C77"/>
    <w:rsid w:val="00246F75"/>
    <w:rsid w:val="00250532"/>
    <w:rsid w:val="002507AC"/>
    <w:rsid w:val="00250CDD"/>
    <w:rsid w:val="00250D89"/>
    <w:rsid w:val="0025104C"/>
    <w:rsid w:val="002542D7"/>
    <w:rsid w:val="002554A4"/>
    <w:rsid w:val="0025589E"/>
    <w:rsid w:val="0025614D"/>
    <w:rsid w:val="00256563"/>
    <w:rsid w:val="0025656A"/>
    <w:rsid w:val="002568DA"/>
    <w:rsid w:val="00256D3E"/>
    <w:rsid w:val="002571E1"/>
    <w:rsid w:val="00257429"/>
    <w:rsid w:val="00260A14"/>
    <w:rsid w:val="00260FAA"/>
    <w:rsid w:val="00261075"/>
    <w:rsid w:val="00261F2D"/>
    <w:rsid w:val="002621BA"/>
    <w:rsid w:val="00262C6B"/>
    <w:rsid w:val="00262CA2"/>
    <w:rsid w:val="00263460"/>
    <w:rsid w:val="00263511"/>
    <w:rsid w:val="002639C1"/>
    <w:rsid w:val="00264A65"/>
    <w:rsid w:val="0026682F"/>
    <w:rsid w:val="00266F77"/>
    <w:rsid w:val="0026797A"/>
    <w:rsid w:val="00267B0B"/>
    <w:rsid w:val="00270266"/>
    <w:rsid w:val="002710C9"/>
    <w:rsid w:val="002720CF"/>
    <w:rsid w:val="0027302A"/>
    <w:rsid w:val="00273F4B"/>
    <w:rsid w:val="002740D8"/>
    <w:rsid w:val="002741CA"/>
    <w:rsid w:val="002746AF"/>
    <w:rsid w:val="00274AEA"/>
    <w:rsid w:val="00275185"/>
    <w:rsid w:val="002751AC"/>
    <w:rsid w:val="00275234"/>
    <w:rsid w:val="00275F46"/>
    <w:rsid w:val="0027633F"/>
    <w:rsid w:val="0027688B"/>
    <w:rsid w:val="00276AC0"/>
    <w:rsid w:val="00276B01"/>
    <w:rsid w:val="00276B29"/>
    <w:rsid w:val="00276F5F"/>
    <w:rsid w:val="0027708C"/>
    <w:rsid w:val="002774EC"/>
    <w:rsid w:val="00277E68"/>
    <w:rsid w:val="002800F4"/>
    <w:rsid w:val="0028058A"/>
    <w:rsid w:val="0028088C"/>
    <w:rsid w:val="002809F7"/>
    <w:rsid w:val="002813E1"/>
    <w:rsid w:val="0028155B"/>
    <w:rsid w:val="00281617"/>
    <w:rsid w:val="0028179D"/>
    <w:rsid w:val="00281ECA"/>
    <w:rsid w:val="00283563"/>
    <w:rsid w:val="00283AF8"/>
    <w:rsid w:val="00283B36"/>
    <w:rsid w:val="00284146"/>
    <w:rsid w:val="00285718"/>
    <w:rsid w:val="00285816"/>
    <w:rsid w:val="00285A73"/>
    <w:rsid w:val="0028609E"/>
    <w:rsid w:val="0028618C"/>
    <w:rsid w:val="002862AF"/>
    <w:rsid w:val="002864B3"/>
    <w:rsid w:val="00287225"/>
    <w:rsid w:val="00290D67"/>
    <w:rsid w:val="00291470"/>
    <w:rsid w:val="002944B2"/>
    <w:rsid w:val="002952E8"/>
    <w:rsid w:val="002952F4"/>
    <w:rsid w:val="002959BE"/>
    <w:rsid w:val="00295BBA"/>
    <w:rsid w:val="0029626F"/>
    <w:rsid w:val="002967EB"/>
    <w:rsid w:val="00296A6B"/>
    <w:rsid w:val="002971AF"/>
    <w:rsid w:val="00297BDA"/>
    <w:rsid w:val="002A088B"/>
    <w:rsid w:val="002A112E"/>
    <w:rsid w:val="002A1923"/>
    <w:rsid w:val="002A1ED8"/>
    <w:rsid w:val="002A29E3"/>
    <w:rsid w:val="002A2AB1"/>
    <w:rsid w:val="002A2AEB"/>
    <w:rsid w:val="002A34A3"/>
    <w:rsid w:val="002A58A2"/>
    <w:rsid w:val="002A5A1C"/>
    <w:rsid w:val="002A61EA"/>
    <w:rsid w:val="002A67D4"/>
    <w:rsid w:val="002A6850"/>
    <w:rsid w:val="002A6B39"/>
    <w:rsid w:val="002A7128"/>
    <w:rsid w:val="002A783B"/>
    <w:rsid w:val="002A7A7E"/>
    <w:rsid w:val="002B0073"/>
    <w:rsid w:val="002B04E6"/>
    <w:rsid w:val="002B074F"/>
    <w:rsid w:val="002B0B94"/>
    <w:rsid w:val="002B16F6"/>
    <w:rsid w:val="002B1D8C"/>
    <w:rsid w:val="002B2484"/>
    <w:rsid w:val="002B24D0"/>
    <w:rsid w:val="002B2560"/>
    <w:rsid w:val="002B266C"/>
    <w:rsid w:val="002B2F97"/>
    <w:rsid w:val="002B3B68"/>
    <w:rsid w:val="002B3B6B"/>
    <w:rsid w:val="002B3DA2"/>
    <w:rsid w:val="002B3E02"/>
    <w:rsid w:val="002B4401"/>
    <w:rsid w:val="002B4C65"/>
    <w:rsid w:val="002B5299"/>
    <w:rsid w:val="002B569C"/>
    <w:rsid w:val="002B5BE4"/>
    <w:rsid w:val="002B624B"/>
    <w:rsid w:val="002B687D"/>
    <w:rsid w:val="002B7335"/>
    <w:rsid w:val="002B769B"/>
    <w:rsid w:val="002C0137"/>
    <w:rsid w:val="002C0846"/>
    <w:rsid w:val="002C092E"/>
    <w:rsid w:val="002C098B"/>
    <w:rsid w:val="002C0D2C"/>
    <w:rsid w:val="002C1753"/>
    <w:rsid w:val="002C2047"/>
    <w:rsid w:val="002C2849"/>
    <w:rsid w:val="002C3081"/>
    <w:rsid w:val="002C3668"/>
    <w:rsid w:val="002C4088"/>
    <w:rsid w:val="002C45FF"/>
    <w:rsid w:val="002C4746"/>
    <w:rsid w:val="002C4A32"/>
    <w:rsid w:val="002C5534"/>
    <w:rsid w:val="002C58B5"/>
    <w:rsid w:val="002C5C75"/>
    <w:rsid w:val="002C61EE"/>
    <w:rsid w:val="002C68EE"/>
    <w:rsid w:val="002C6F64"/>
    <w:rsid w:val="002C7CC2"/>
    <w:rsid w:val="002C7EB8"/>
    <w:rsid w:val="002D0937"/>
    <w:rsid w:val="002D0EA3"/>
    <w:rsid w:val="002D111D"/>
    <w:rsid w:val="002D1341"/>
    <w:rsid w:val="002D18E5"/>
    <w:rsid w:val="002D2199"/>
    <w:rsid w:val="002D26FD"/>
    <w:rsid w:val="002D2ED6"/>
    <w:rsid w:val="002D3692"/>
    <w:rsid w:val="002D3A7F"/>
    <w:rsid w:val="002D3E07"/>
    <w:rsid w:val="002D4555"/>
    <w:rsid w:val="002D4DE3"/>
    <w:rsid w:val="002D558C"/>
    <w:rsid w:val="002D5644"/>
    <w:rsid w:val="002D68A7"/>
    <w:rsid w:val="002D6F12"/>
    <w:rsid w:val="002D753E"/>
    <w:rsid w:val="002D7B74"/>
    <w:rsid w:val="002D7EB6"/>
    <w:rsid w:val="002E027E"/>
    <w:rsid w:val="002E03CB"/>
    <w:rsid w:val="002E044C"/>
    <w:rsid w:val="002E0475"/>
    <w:rsid w:val="002E171A"/>
    <w:rsid w:val="002E21A2"/>
    <w:rsid w:val="002E22FE"/>
    <w:rsid w:val="002E30A4"/>
    <w:rsid w:val="002E36A8"/>
    <w:rsid w:val="002E486E"/>
    <w:rsid w:val="002E55B4"/>
    <w:rsid w:val="002E55F4"/>
    <w:rsid w:val="002E584D"/>
    <w:rsid w:val="002E58E6"/>
    <w:rsid w:val="002E6055"/>
    <w:rsid w:val="002E6853"/>
    <w:rsid w:val="002E6BB1"/>
    <w:rsid w:val="002E754F"/>
    <w:rsid w:val="002E7B96"/>
    <w:rsid w:val="002E7DAF"/>
    <w:rsid w:val="002F079F"/>
    <w:rsid w:val="002F1656"/>
    <w:rsid w:val="002F1D6D"/>
    <w:rsid w:val="002F2459"/>
    <w:rsid w:val="002F2A48"/>
    <w:rsid w:val="002F3260"/>
    <w:rsid w:val="002F3CE8"/>
    <w:rsid w:val="002F4345"/>
    <w:rsid w:val="002F44A5"/>
    <w:rsid w:val="002F4A17"/>
    <w:rsid w:val="002F4F42"/>
    <w:rsid w:val="002F5234"/>
    <w:rsid w:val="002F7130"/>
    <w:rsid w:val="002F799E"/>
    <w:rsid w:val="002F7B6D"/>
    <w:rsid w:val="002F7EBC"/>
    <w:rsid w:val="002F7FE6"/>
    <w:rsid w:val="00301472"/>
    <w:rsid w:val="00301CC8"/>
    <w:rsid w:val="00302C0C"/>
    <w:rsid w:val="003030AA"/>
    <w:rsid w:val="0030319D"/>
    <w:rsid w:val="0030428D"/>
    <w:rsid w:val="00304E23"/>
    <w:rsid w:val="003061B9"/>
    <w:rsid w:val="00306BF1"/>
    <w:rsid w:val="003075A4"/>
    <w:rsid w:val="003105FB"/>
    <w:rsid w:val="00310AD7"/>
    <w:rsid w:val="00310B30"/>
    <w:rsid w:val="00311244"/>
    <w:rsid w:val="00311463"/>
    <w:rsid w:val="00311596"/>
    <w:rsid w:val="0031267C"/>
    <w:rsid w:val="00312CCD"/>
    <w:rsid w:val="003135EA"/>
    <w:rsid w:val="0031430A"/>
    <w:rsid w:val="0031507F"/>
    <w:rsid w:val="003151D2"/>
    <w:rsid w:val="003157C6"/>
    <w:rsid w:val="003157D4"/>
    <w:rsid w:val="00316B1C"/>
    <w:rsid w:val="00316E5E"/>
    <w:rsid w:val="003177A0"/>
    <w:rsid w:val="00317880"/>
    <w:rsid w:val="003204A7"/>
    <w:rsid w:val="003218AF"/>
    <w:rsid w:val="00321B61"/>
    <w:rsid w:val="00322C10"/>
    <w:rsid w:val="00322F6D"/>
    <w:rsid w:val="00323B76"/>
    <w:rsid w:val="003241C4"/>
    <w:rsid w:val="003242B6"/>
    <w:rsid w:val="003243C7"/>
    <w:rsid w:val="00324C69"/>
    <w:rsid w:val="0032580B"/>
    <w:rsid w:val="00325C0E"/>
    <w:rsid w:val="00326C4C"/>
    <w:rsid w:val="00327037"/>
    <w:rsid w:val="00330114"/>
    <w:rsid w:val="003303C0"/>
    <w:rsid w:val="00330AD1"/>
    <w:rsid w:val="00332664"/>
    <w:rsid w:val="003328FC"/>
    <w:rsid w:val="00333014"/>
    <w:rsid w:val="0033382D"/>
    <w:rsid w:val="0033388D"/>
    <w:rsid w:val="00333AC3"/>
    <w:rsid w:val="00333B70"/>
    <w:rsid w:val="00333FFC"/>
    <w:rsid w:val="0033405E"/>
    <w:rsid w:val="00334A90"/>
    <w:rsid w:val="00334E8D"/>
    <w:rsid w:val="003351BA"/>
    <w:rsid w:val="003352DC"/>
    <w:rsid w:val="00335803"/>
    <w:rsid w:val="00335F3D"/>
    <w:rsid w:val="00336422"/>
    <w:rsid w:val="00337299"/>
    <w:rsid w:val="00337549"/>
    <w:rsid w:val="003378A1"/>
    <w:rsid w:val="00337A35"/>
    <w:rsid w:val="00337C4A"/>
    <w:rsid w:val="0034042E"/>
    <w:rsid w:val="003409CA"/>
    <w:rsid w:val="00341120"/>
    <w:rsid w:val="003414A9"/>
    <w:rsid w:val="0034357F"/>
    <w:rsid w:val="00343F69"/>
    <w:rsid w:val="00344537"/>
    <w:rsid w:val="00344553"/>
    <w:rsid w:val="0034521B"/>
    <w:rsid w:val="003460BF"/>
    <w:rsid w:val="0034682E"/>
    <w:rsid w:val="0034704F"/>
    <w:rsid w:val="00347143"/>
    <w:rsid w:val="003471F2"/>
    <w:rsid w:val="00347334"/>
    <w:rsid w:val="003476B5"/>
    <w:rsid w:val="0034778B"/>
    <w:rsid w:val="00351977"/>
    <w:rsid w:val="003521B1"/>
    <w:rsid w:val="003526D8"/>
    <w:rsid w:val="0035368A"/>
    <w:rsid w:val="0035373C"/>
    <w:rsid w:val="0035419F"/>
    <w:rsid w:val="00355A9A"/>
    <w:rsid w:val="00356BA4"/>
    <w:rsid w:val="0035760E"/>
    <w:rsid w:val="003576F5"/>
    <w:rsid w:val="003579B4"/>
    <w:rsid w:val="00357F14"/>
    <w:rsid w:val="003600C2"/>
    <w:rsid w:val="00360B50"/>
    <w:rsid w:val="00360D01"/>
    <w:rsid w:val="00360EC7"/>
    <w:rsid w:val="003610AD"/>
    <w:rsid w:val="003621E9"/>
    <w:rsid w:val="003634F8"/>
    <w:rsid w:val="00363576"/>
    <w:rsid w:val="003641D5"/>
    <w:rsid w:val="003647BE"/>
    <w:rsid w:val="003647EA"/>
    <w:rsid w:val="003648FB"/>
    <w:rsid w:val="00365EC7"/>
    <w:rsid w:val="00366AF8"/>
    <w:rsid w:val="00366E19"/>
    <w:rsid w:val="00366ED2"/>
    <w:rsid w:val="00367BC8"/>
    <w:rsid w:val="00367C69"/>
    <w:rsid w:val="00367CFC"/>
    <w:rsid w:val="003700E1"/>
    <w:rsid w:val="003701D9"/>
    <w:rsid w:val="00370373"/>
    <w:rsid w:val="003711C8"/>
    <w:rsid w:val="003712E2"/>
    <w:rsid w:val="0037138D"/>
    <w:rsid w:val="00371886"/>
    <w:rsid w:val="00371EAD"/>
    <w:rsid w:val="003729E1"/>
    <w:rsid w:val="00372B26"/>
    <w:rsid w:val="003732DC"/>
    <w:rsid w:val="0037371D"/>
    <w:rsid w:val="00374178"/>
    <w:rsid w:val="00374593"/>
    <w:rsid w:val="0037586A"/>
    <w:rsid w:val="00375A03"/>
    <w:rsid w:val="00376157"/>
    <w:rsid w:val="00376533"/>
    <w:rsid w:val="00376609"/>
    <w:rsid w:val="00376723"/>
    <w:rsid w:val="0037695C"/>
    <w:rsid w:val="00376A55"/>
    <w:rsid w:val="003801C2"/>
    <w:rsid w:val="003803C1"/>
    <w:rsid w:val="0038119D"/>
    <w:rsid w:val="0038140A"/>
    <w:rsid w:val="00382ACB"/>
    <w:rsid w:val="003836B9"/>
    <w:rsid w:val="00383DB2"/>
    <w:rsid w:val="00384030"/>
    <w:rsid w:val="003840D2"/>
    <w:rsid w:val="0038459A"/>
    <w:rsid w:val="00384810"/>
    <w:rsid w:val="0038565F"/>
    <w:rsid w:val="00385AD0"/>
    <w:rsid w:val="00385B9F"/>
    <w:rsid w:val="003862D6"/>
    <w:rsid w:val="003866B3"/>
    <w:rsid w:val="0038687E"/>
    <w:rsid w:val="00386C2A"/>
    <w:rsid w:val="00387520"/>
    <w:rsid w:val="003875E3"/>
    <w:rsid w:val="00387AFA"/>
    <w:rsid w:val="0039004E"/>
    <w:rsid w:val="00390087"/>
    <w:rsid w:val="00391BBF"/>
    <w:rsid w:val="003935E2"/>
    <w:rsid w:val="0039360F"/>
    <w:rsid w:val="003945DE"/>
    <w:rsid w:val="00394AAE"/>
    <w:rsid w:val="00395CA9"/>
    <w:rsid w:val="00395CAF"/>
    <w:rsid w:val="003961E4"/>
    <w:rsid w:val="003968DB"/>
    <w:rsid w:val="00396CAE"/>
    <w:rsid w:val="00397122"/>
    <w:rsid w:val="00397263"/>
    <w:rsid w:val="003976DB"/>
    <w:rsid w:val="003A0162"/>
    <w:rsid w:val="003A1193"/>
    <w:rsid w:val="003A14F3"/>
    <w:rsid w:val="003A1655"/>
    <w:rsid w:val="003A1D45"/>
    <w:rsid w:val="003A2DDA"/>
    <w:rsid w:val="003A42B6"/>
    <w:rsid w:val="003A42C0"/>
    <w:rsid w:val="003A7A6B"/>
    <w:rsid w:val="003A7C94"/>
    <w:rsid w:val="003B0845"/>
    <w:rsid w:val="003B08FA"/>
    <w:rsid w:val="003B244B"/>
    <w:rsid w:val="003B285B"/>
    <w:rsid w:val="003B329F"/>
    <w:rsid w:val="003B36AB"/>
    <w:rsid w:val="003B5871"/>
    <w:rsid w:val="003B6AE9"/>
    <w:rsid w:val="003C07BB"/>
    <w:rsid w:val="003C0FAA"/>
    <w:rsid w:val="003C12CE"/>
    <w:rsid w:val="003C13C1"/>
    <w:rsid w:val="003C2841"/>
    <w:rsid w:val="003C31F4"/>
    <w:rsid w:val="003C3325"/>
    <w:rsid w:val="003C3C53"/>
    <w:rsid w:val="003C3E4B"/>
    <w:rsid w:val="003C41A6"/>
    <w:rsid w:val="003C43EC"/>
    <w:rsid w:val="003C4596"/>
    <w:rsid w:val="003C47A0"/>
    <w:rsid w:val="003C4E78"/>
    <w:rsid w:val="003C53A8"/>
    <w:rsid w:val="003C622E"/>
    <w:rsid w:val="003C6BC5"/>
    <w:rsid w:val="003C7DEF"/>
    <w:rsid w:val="003D086E"/>
    <w:rsid w:val="003D1011"/>
    <w:rsid w:val="003D1195"/>
    <w:rsid w:val="003D18DA"/>
    <w:rsid w:val="003D1921"/>
    <w:rsid w:val="003D21A5"/>
    <w:rsid w:val="003D26E4"/>
    <w:rsid w:val="003D35BD"/>
    <w:rsid w:val="003D35E7"/>
    <w:rsid w:val="003D4141"/>
    <w:rsid w:val="003D4D56"/>
    <w:rsid w:val="003D5531"/>
    <w:rsid w:val="003D5B60"/>
    <w:rsid w:val="003D5B9D"/>
    <w:rsid w:val="003D6E24"/>
    <w:rsid w:val="003D7140"/>
    <w:rsid w:val="003D77A6"/>
    <w:rsid w:val="003E0166"/>
    <w:rsid w:val="003E1809"/>
    <w:rsid w:val="003E1858"/>
    <w:rsid w:val="003E1A0C"/>
    <w:rsid w:val="003E1F08"/>
    <w:rsid w:val="003E2073"/>
    <w:rsid w:val="003E22D7"/>
    <w:rsid w:val="003E2C76"/>
    <w:rsid w:val="003E2DF9"/>
    <w:rsid w:val="003E2F1C"/>
    <w:rsid w:val="003E3178"/>
    <w:rsid w:val="003E318E"/>
    <w:rsid w:val="003E3F1E"/>
    <w:rsid w:val="003E5559"/>
    <w:rsid w:val="003E5E22"/>
    <w:rsid w:val="003E645C"/>
    <w:rsid w:val="003E64DD"/>
    <w:rsid w:val="003E6B4B"/>
    <w:rsid w:val="003E70D9"/>
    <w:rsid w:val="003E743D"/>
    <w:rsid w:val="003E7473"/>
    <w:rsid w:val="003E79C0"/>
    <w:rsid w:val="003E7A13"/>
    <w:rsid w:val="003E7F46"/>
    <w:rsid w:val="003F0075"/>
    <w:rsid w:val="003F0C3C"/>
    <w:rsid w:val="003F0E63"/>
    <w:rsid w:val="003F0F24"/>
    <w:rsid w:val="003F107B"/>
    <w:rsid w:val="003F19FB"/>
    <w:rsid w:val="003F19FC"/>
    <w:rsid w:val="003F1DF0"/>
    <w:rsid w:val="003F431F"/>
    <w:rsid w:val="003F4868"/>
    <w:rsid w:val="003F4A28"/>
    <w:rsid w:val="003F4B59"/>
    <w:rsid w:val="003F5C6D"/>
    <w:rsid w:val="003F6405"/>
    <w:rsid w:val="003F6A04"/>
    <w:rsid w:val="003F6C81"/>
    <w:rsid w:val="003F7884"/>
    <w:rsid w:val="003F78F1"/>
    <w:rsid w:val="00400188"/>
    <w:rsid w:val="004009C6"/>
    <w:rsid w:val="00400FB6"/>
    <w:rsid w:val="0040199B"/>
    <w:rsid w:val="00401A89"/>
    <w:rsid w:val="00401EAB"/>
    <w:rsid w:val="004026C7"/>
    <w:rsid w:val="00402718"/>
    <w:rsid w:val="00403BE5"/>
    <w:rsid w:val="004041F7"/>
    <w:rsid w:val="0040420B"/>
    <w:rsid w:val="0040533C"/>
    <w:rsid w:val="00405437"/>
    <w:rsid w:val="0040578E"/>
    <w:rsid w:val="00405E0A"/>
    <w:rsid w:val="0040601A"/>
    <w:rsid w:val="004068E9"/>
    <w:rsid w:val="00407DB3"/>
    <w:rsid w:val="00407DBB"/>
    <w:rsid w:val="00407ECE"/>
    <w:rsid w:val="00410436"/>
    <w:rsid w:val="00411A6F"/>
    <w:rsid w:val="00411A74"/>
    <w:rsid w:val="00411E17"/>
    <w:rsid w:val="00411E7E"/>
    <w:rsid w:val="004123CB"/>
    <w:rsid w:val="00412672"/>
    <w:rsid w:val="0041369B"/>
    <w:rsid w:val="00413C89"/>
    <w:rsid w:val="00414641"/>
    <w:rsid w:val="00414A79"/>
    <w:rsid w:val="00414C2C"/>
    <w:rsid w:val="00414E91"/>
    <w:rsid w:val="004153EF"/>
    <w:rsid w:val="00416232"/>
    <w:rsid w:val="00416B6D"/>
    <w:rsid w:val="00416CD6"/>
    <w:rsid w:val="004173F0"/>
    <w:rsid w:val="0041763C"/>
    <w:rsid w:val="00417708"/>
    <w:rsid w:val="004202E7"/>
    <w:rsid w:val="00420FB0"/>
    <w:rsid w:val="00420FD3"/>
    <w:rsid w:val="00421909"/>
    <w:rsid w:val="00421B42"/>
    <w:rsid w:val="00422044"/>
    <w:rsid w:val="0042221F"/>
    <w:rsid w:val="0042282B"/>
    <w:rsid w:val="00422C60"/>
    <w:rsid w:val="00422E67"/>
    <w:rsid w:val="00424276"/>
    <w:rsid w:val="0042436D"/>
    <w:rsid w:val="0042453F"/>
    <w:rsid w:val="00424549"/>
    <w:rsid w:val="00424BC8"/>
    <w:rsid w:val="00425033"/>
    <w:rsid w:val="00425358"/>
    <w:rsid w:val="00426981"/>
    <w:rsid w:val="00426E7A"/>
    <w:rsid w:val="0042745A"/>
    <w:rsid w:val="00427BF3"/>
    <w:rsid w:val="004304C6"/>
    <w:rsid w:val="00430D2F"/>
    <w:rsid w:val="00430E83"/>
    <w:rsid w:val="00431142"/>
    <w:rsid w:val="00431154"/>
    <w:rsid w:val="004313AD"/>
    <w:rsid w:val="00432118"/>
    <w:rsid w:val="00432492"/>
    <w:rsid w:val="00432859"/>
    <w:rsid w:val="00433BAD"/>
    <w:rsid w:val="0043403B"/>
    <w:rsid w:val="00434B75"/>
    <w:rsid w:val="004356A0"/>
    <w:rsid w:val="004359BB"/>
    <w:rsid w:val="00435D05"/>
    <w:rsid w:val="00436AE9"/>
    <w:rsid w:val="00437B1B"/>
    <w:rsid w:val="00440988"/>
    <w:rsid w:val="00441937"/>
    <w:rsid w:val="00441A8F"/>
    <w:rsid w:val="004423E5"/>
    <w:rsid w:val="00442B6E"/>
    <w:rsid w:val="00443515"/>
    <w:rsid w:val="004435E9"/>
    <w:rsid w:val="00443911"/>
    <w:rsid w:val="00444A4A"/>
    <w:rsid w:val="00445897"/>
    <w:rsid w:val="00445A0A"/>
    <w:rsid w:val="0044647C"/>
    <w:rsid w:val="00446756"/>
    <w:rsid w:val="00447097"/>
    <w:rsid w:val="0044719F"/>
    <w:rsid w:val="004477A7"/>
    <w:rsid w:val="004500F8"/>
    <w:rsid w:val="00450CC6"/>
    <w:rsid w:val="00451088"/>
    <w:rsid w:val="004515AB"/>
    <w:rsid w:val="00451665"/>
    <w:rsid w:val="0045199A"/>
    <w:rsid w:val="0045269A"/>
    <w:rsid w:val="00452B9C"/>
    <w:rsid w:val="00453A35"/>
    <w:rsid w:val="00453ADA"/>
    <w:rsid w:val="00454814"/>
    <w:rsid w:val="00454FC5"/>
    <w:rsid w:val="004556DE"/>
    <w:rsid w:val="00455845"/>
    <w:rsid w:val="004559C3"/>
    <w:rsid w:val="00455F46"/>
    <w:rsid w:val="004564DE"/>
    <w:rsid w:val="00456B9A"/>
    <w:rsid w:val="00456CC2"/>
    <w:rsid w:val="00457798"/>
    <w:rsid w:val="00460038"/>
    <w:rsid w:val="00460157"/>
    <w:rsid w:val="00460654"/>
    <w:rsid w:val="00461153"/>
    <w:rsid w:val="004620FB"/>
    <w:rsid w:val="00463BD6"/>
    <w:rsid w:val="00463E7A"/>
    <w:rsid w:val="00464AEE"/>
    <w:rsid w:val="00464DB7"/>
    <w:rsid w:val="00465226"/>
    <w:rsid w:val="00465A29"/>
    <w:rsid w:val="00465B86"/>
    <w:rsid w:val="00465FD0"/>
    <w:rsid w:val="00466D58"/>
    <w:rsid w:val="00466EF2"/>
    <w:rsid w:val="00467622"/>
    <w:rsid w:val="0046769C"/>
    <w:rsid w:val="004679C9"/>
    <w:rsid w:val="00467AFD"/>
    <w:rsid w:val="00467ED4"/>
    <w:rsid w:val="00470108"/>
    <w:rsid w:val="004705F6"/>
    <w:rsid w:val="004708C8"/>
    <w:rsid w:val="00470ED1"/>
    <w:rsid w:val="00470EFD"/>
    <w:rsid w:val="00471119"/>
    <w:rsid w:val="00471292"/>
    <w:rsid w:val="0047181C"/>
    <w:rsid w:val="00471BDB"/>
    <w:rsid w:val="004726CE"/>
    <w:rsid w:val="00472701"/>
    <w:rsid w:val="00473E1B"/>
    <w:rsid w:val="00474234"/>
    <w:rsid w:val="004762E1"/>
    <w:rsid w:val="0047641E"/>
    <w:rsid w:val="00476B9E"/>
    <w:rsid w:val="00477469"/>
    <w:rsid w:val="0047754C"/>
    <w:rsid w:val="00477890"/>
    <w:rsid w:val="0048009B"/>
    <w:rsid w:val="0048125D"/>
    <w:rsid w:val="00481994"/>
    <w:rsid w:val="0048266A"/>
    <w:rsid w:val="00482C7C"/>
    <w:rsid w:val="00482DCA"/>
    <w:rsid w:val="004836DD"/>
    <w:rsid w:val="004836DE"/>
    <w:rsid w:val="00483F51"/>
    <w:rsid w:val="004846EE"/>
    <w:rsid w:val="004854B9"/>
    <w:rsid w:val="00485500"/>
    <w:rsid w:val="00485703"/>
    <w:rsid w:val="00485933"/>
    <w:rsid w:val="004867E4"/>
    <w:rsid w:val="00486901"/>
    <w:rsid w:val="004878DE"/>
    <w:rsid w:val="00487B04"/>
    <w:rsid w:val="00490102"/>
    <w:rsid w:val="00490B0D"/>
    <w:rsid w:val="00491717"/>
    <w:rsid w:val="0049173C"/>
    <w:rsid w:val="00491BC1"/>
    <w:rsid w:val="00491E64"/>
    <w:rsid w:val="00492280"/>
    <w:rsid w:val="004926EB"/>
    <w:rsid w:val="0049270C"/>
    <w:rsid w:val="004928AE"/>
    <w:rsid w:val="00492EB9"/>
    <w:rsid w:val="00492FED"/>
    <w:rsid w:val="0049326C"/>
    <w:rsid w:val="0049341A"/>
    <w:rsid w:val="00493A17"/>
    <w:rsid w:val="00493A81"/>
    <w:rsid w:val="00493AD9"/>
    <w:rsid w:val="00494809"/>
    <w:rsid w:val="00494E88"/>
    <w:rsid w:val="00495008"/>
    <w:rsid w:val="004954B5"/>
    <w:rsid w:val="004972E6"/>
    <w:rsid w:val="00497330"/>
    <w:rsid w:val="004973DB"/>
    <w:rsid w:val="004A0104"/>
    <w:rsid w:val="004A0403"/>
    <w:rsid w:val="004A1777"/>
    <w:rsid w:val="004A1B78"/>
    <w:rsid w:val="004A1F1E"/>
    <w:rsid w:val="004A1F8B"/>
    <w:rsid w:val="004A30D8"/>
    <w:rsid w:val="004A3696"/>
    <w:rsid w:val="004A441C"/>
    <w:rsid w:val="004A4DD1"/>
    <w:rsid w:val="004A5129"/>
    <w:rsid w:val="004A57FC"/>
    <w:rsid w:val="004A5FE3"/>
    <w:rsid w:val="004A69C5"/>
    <w:rsid w:val="004A7169"/>
    <w:rsid w:val="004A774E"/>
    <w:rsid w:val="004A7908"/>
    <w:rsid w:val="004A7A2D"/>
    <w:rsid w:val="004B035D"/>
    <w:rsid w:val="004B0CFD"/>
    <w:rsid w:val="004B29F2"/>
    <w:rsid w:val="004B2BD3"/>
    <w:rsid w:val="004B2F1A"/>
    <w:rsid w:val="004B3C95"/>
    <w:rsid w:val="004B452E"/>
    <w:rsid w:val="004B4F6F"/>
    <w:rsid w:val="004B52CF"/>
    <w:rsid w:val="004B547B"/>
    <w:rsid w:val="004B577A"/>
    <w:rsid w:val="004B5E91"/>
    <w:rsid w:val="004B62DF"/>
    <w:rsid w:val="004B6E72"/>
    <w:rsid w:val="004C10A5"/>
    <w:rsid w:val="004C127B"/>
    <w:rsid w:val="004C21B5"/>
    <w:rsid w:val="004C23AE"/>
    <w:rsid w:val="004C2510"/>
    <w:rsid w:val="004C284B"/>
    <w:rsid w:val="004C38E2"/>
    <w:rsid w:val="004C40AD"/>
    <w:rsid w:val="004C4589"/>
    <w:rsid w:val="004C4EFD"/>
    <w:rsid w:val="004C5676"/>
    <w:rsid w:val="004C6019"/>
    <w:rsid w:val="004C7860"/>
    <w:rsid w:val="004C7AA3"/>
    <w:rsid w:val="004C7ED6"/>
    <w:rsid w:val="004D0118"/>
    <w:rsid w:val="004D02B9"/>
    <w:rsid w:val="004D1F49"/>
    <w:rsid w:val="004D21A3"/>
    <w:rsid w:val="004D23F3"/>
    <w:rsid w:val="004D2465"/>
    <w:rsid w:val="004D2692"/>
    <w:rsid w:val="004D2BE0"/>
    <w:rsid w:val="004D338A"/>
    <w:rsid w:val="004D3635"/>
    <w:rsid w:val="004D3878"/>
    <w:rsid w:val="004D3F16"/>
    <w:rsid w:val="004D41E8"/>
    <w:rsid w:val="004D46B2"/>
    <w:rsid w:val="004D4FF2"/>
    <w:rsid w:val="004D5796"/>
    <w:rsid w:val="004D589E"/>
    <w:rsid w:val="004D5A9F"/>
    <w:rsid w:val="004D5C06"/>
    <w:rsid w:val="004D5FB4"/>
    <w:rsid w:val="004D61FD"/>
    <w:rsid w:val="004D64A9"/>
    <w:rsid w:val="004D6EE2"/>
    <w:rsid w:val="004D7726"/>
    <w:rsid w:val="004D7789"/>
    <w:rsid w:val="004E0629"/>
    <w:rsid w:val="004E0A56"/>
    <w:rsid w:val="004E0BB0"/>
    <w:rsid w:val="004E112B"/>
    <w:rsid w:val="004E201A"/>
    <w:rsid w:val="004E202F"/>
    <w:rsid w:val="004E218A"/>
    <w:rsid w:val="004E2743"/>
    <w:rsid w:val="004E2B8C"/>
    <w:rsid w:val="004E3568"/>
    <w:rsid w:val="004E371A"/>
    <w:rsid w:val="004E3F34"/>
    <w:rsid w:val="004E423A"/>
    <w:rsid w:val="004E59E7"/>
    <w:rsid w:val="004E5F4A"/>
    <w:rsid w:val="004E622D"/>
    <w:rsid w:val="004E6B44"/>
    <w:rsid w:val="004E7027"/>
    <w:rsid w:val="004E7F7B"/>
    <w:rsid w:val="004F01E0"/>
    <w:rsid w:val="004F0456"/>
    <w:rsid w:val="004F0A4B"/>
    <w:rsid w:val="004F0E26"/>
    <w:rsid w:val="004F1004"/>
    <w:rsid w:val="004F11F4"/>
    <w:rsid w:val="004F17DC"/>
    <w:rsid w:val="004F1DCA"/>
    <w:rsid w:val="004F1E0B"/>
    <w:rsid w:val="004F215C"/>
    <w:rsid w:val="004F2180"/>
    <w:rsid w:val="004F2386"/>
    <w:rsid w:val="004F2790"/>
    <w:rsid w:val="004F28D9"/>
    <w:rsid w:val="004F2940"/>
    <w:rsid w:val="004F2BA1"/>
    <w:rsid w:val="004F489D"/>
    <w:rsid w:val="004F492D"/>
    <w:rsid w:val="004F4C56"/>
    <w:rsid w:val="004F5B70"/>
    <w:rsid w:val="004F5DC9"/>
    <w:rsid w:val="004F6650"/>
    <w:rsid w:val="004F6ACE"/>
    <w:rsid w:val="004F707E"/>
    <w:rsid w:val="004F70D3"/>
    <w:rsid w:val="004F75A0"/>
    <w:rsid w:val="004F762A"/>
    <w:rsid w:val="005004F4"/>
    <w:rsid w:val="005005CF"/>
    <w:rsid w:val="00501657"/>
    <w:rsid w:val="005019AF"/>
    <w:rsid w:val="005019EF"/>
    <w:rsid w:val="0050254F"/>
    <w:rsid w:val="0050271D"/>
    <w:rsid w:val="00502918"/>
    <w:rsid w:val="00502B81"/>
    <w:rsid w:val="00503360"/>
    <w:rsid w:val="00503518"/>
    <w:rsid w:val="00503C2F"/>
    <w:rsid w:val="00504740"/>
    <w:rsid w:val="00505193"/>
    <w:rsid w:val="00505A17"/>
    <w:rsid w:val="00505EC8"/>
    <w:rsid w:val="00506022"/>
    <w:rsid w:val="005069CE"/>
    <w:rsid w:val="00506FB2"/>
    <w:rsid w:val="00507BE8"/>
    <w:rsid w:val="00507C18"/>
    <w:rsid w:val="00510AE5"/>
    <w:rsid w:val="00510BAD"/>
    <w:rsid w:val="005110EA"/>
    <w:rsid w:val="005116A2"/>
    <w:rsid w:val="00511AF8"/>
    <w:rsid w:val="00511D32"/>
    <w:rsid w:val="00512238"/>
    <w:rsid w:val="00512419"/>
    <w:rsid w:val="00512568"/>
    <w:rsid w:val="00513A60"/>
    <w:rsid w:val="00513AC3"/>
    <w:rsid w:val="005143C6"/>
    <w:rsid w:val="00514642"/>
    <w:rsid w:val="005148CD"/>
    <w:rsid w:val="00515366"/>
    <w:rsid w:val="0051588E"/>
    <w:rsid w:val="0051628C"/>
    <w:rsid w:val="0051697C"/>
    <w:rsid w:val="00516BEC"/>
    <w:rsid w:val="00516C1A"/>
    <w:rsid w:val="0051776E"/>
    <w:rsid w:val="00517FEC"/>
    <w:rsid w:val="00520062"/>
    <w:rsid w:val="00520480"/>
    <w:rsid w:val="005204CD"/>
    <w:rsid w:val="00520C9A"/>
    <w:rsid w:val="00520D62"/>
    <w:rsid w:val="00520FCB"/>
    <w:rsid w:val="0052117E"/>
    <w:rsid w:val="00521A7E"/>
    <w:rsid w:val="005228D6"/>
    <w:rsid w:val="00522CCD"/>
    <w:rsid w:val="00522F20"/>
    <w:rsid w:val="005231F5"/>
    <w:rsid w:val="00524000"/>
    <w:rsid w:val="005243F5"/>
    <w:rsid w:val="005244A5"/>
    <w:rsid w:val="00524E27"/>
    <w:rsid w:val="00526B39"/>
    <w:rsid w:val="0052723F"/>
    <w:rsid w:val="00527497"/>
    <w:rsid w:val="0053062B"/>
    <w:rsid w:val="005308D9"/>
    <w:rsid w:val="00531610"/>
    <w:rsid w:val="005318E8"/>
    <w:rsid w:val="00531D66"/>
    <w:rsid w:val="00531E1B"/>
    <w:rsid w:val="0053232F"/>
    <w:rsid w:val="00532680"/>
    <w:rsid w:val="00533234"/>
    <w:rsid w:val="005339D9"/>
    <w:rsid w:val="00533B1C"/>
    <w:rsid w:val="005343C6"/>
    <w:rsid w:val="00534BAD"/>
    <w:rsid w:val="00535892"/>
    <w:rsid w:val="0053632B"/>
    <w:rsid w:val="00536368"/>
    <w:rsid w:val="00536B36"/>
    <w:rsid w:val="005372FB"/>
    <w:rsid w:val="0054019D"/>
    <w:rsid w:val="00540ECB"/>
    <w:rsid w:val="00541745"/>
    <w:rsid w:val="005418EA"/>
    <w:rsid w:val="005421BE"/>
    <w:rsid w:val="00542505"/>
    <w:rsid w:val="0054295E"/>
    <w:rsid w:val="0054491D"/>
    <w:rsid w:val="00545382"/>
    <w:rsid w:val="0054622D"/>
    <w:rsid w:val="0054659D"/>
    <w:rsid w:val="005473FA"/>
    <w:rsid w:val="00550182"/>
    <w:rsid w:val="005502E0"/>
    <w:rsid w:val="00550BBC"/>
    <w:rsid w:val="005511DF"/>
    <w:rsid w:val="005515DB"/>
    <w:rsid w:val="00551635"/>
    <w:rsid w:val="00551D57"/>
    <w:rsid w:val="00552366"/>
    <w:rsid w:val="00552435"/>
    <w:rsid w:val="0055318E"/>
    <w:rsid w:val="00553609"/>
    <w:rsid w:val="0055399F"/>
    <w:rsid w:val="00553DD3"/>
    <w:rsid w:val="00554235"/>
    <w:rsid w:val="00554544"/>
    <w:rsid w:val="00554930"/>
    <w:rsid w:val="00555767"/>
    <w:rsid w:val="00556250"/>
    <w:rsid w:val="00556CA5"/>
    <w:rsid w:val="005571CC"/>
    <w:rsid w:val="005571FB"/>
    <w:rsid w:val="00560B76"/>
    <w:rsid w:val="00560DC4"/>
    <w:rsid w:val="00560EB7"/>
    <w:rsid w:val="00560FE7"/>
    <w:rsid w:val="00562718"/>
    <w:rsid w:val="00563254"/>
    <w:rsid w:val="005634FA"/>
    <w:rsid w:val="005641CC"/>
    <w:rsid w:val="0056531E"/>
    <w:rsid w:val="00565773"/>
    <w:rsid w:val="00565AC6"/>
    <w:rsid w:val="005663AB"/>
    <w:rsid w:val="00566869"/>
    <w:rsid w:val="0056713C"/>
    <w:rsid w:val="005671EB"/>
    <w:rsid w:val="00570427"/>
    <w:rsid w:val="005707FD"/>
    <w:rsid w:val="00570E78"/>
    <w:rsid w:val="00570F03"/>
    <w:rsid w:val="00571465"/>
    <w:rsid w:val="0057195A"/>
    <w:rsid w:val="00573190"/>
    <w:rsid w:val="00573470"/>
    <w:rsid w:val="00573956"/>
    <w:rsid w:val="00573F0F"/>
    <w:rsid w:val="00574076"/>
    <w:rsid w:val="0057413D"/>
    <w:rsid w:val="00574444"/>
    <w:rsid w:val="00574577"/>
    <w:rsid w:val="00574C0E"/>
    <w:rsid w:val="00574DD6"/>
    <w:rsid w:val="0057536C"/>
    <w:rsid w:val="005758A3"/>
    <w:rsid w:val="00575ADB"/>
    <w:rsid w:val="00575B5E"/>
    <w:rsid w:val="00575DC8"/>
    <w:rsid w:val="00575DDE"/>
    <w:rsid w:val="00576863"/>
    <w:rsid w:val="0058015A"/>
    <w:rsid w:val="0058023B"/>
    <w:rsid w:val="00580601"/>
    <w:rsid w:val="00580784"/>
    <w:rsid w:val="0058102D"/>
    <w:rsid w:val="00581A6C"/>
    <w:rsid w:val="0058250C"/>
    <w:rsid w:val="00582983"/>
    <w:rsid w:val="00582AB5"/>
    <w:rsid w:val="00583297"/>
    <w:rsid w:val="005833C4"/>
    <w:rsid w:val="00584C03"/>
    <w:rsid w:val="0058572B"/>
    <w:rsid w:val="00585780"/>
    <w:rsid w:val="0058637A"/>
    <w:rsid w:val="00586525"/>
    <w:rsid w:val="00586649"/>
    <w:rsid w:val="00586965"/>
    <w:rsid w:val="005869C0"/>
    <w:rsid w:val="00586ACF"/>
    <w:rsid w:val="00587CE4"/>
    <w:rsid w:val="00590D24"/>
    <w:rsid w:val="00591167"/>
    <w:rsid w:val="0059143E"/>
    <w:rsid w:val="00591454"/>
    <w:rsid w:val="00591B7F"/>
    <w:rsid w:val="00591CB7"/>
    <w:rsid w:val="00592150"/>
    <w:rsid w:val="0059303C"/>
    <w:rsid w:val="0059325C"/>
    <w:rsid w:val="0059351B"/>
    <w:rsid w:val="005949D8"/>
    <w:rsid w:val="00594CD3"/>
    <w:rsid w:val="00594DA4"/>
    <w:rsid w:val="005954BD"/>
    <w:rsid w:val="00595799"/>
    <w:rsid w:val="00595EAC"/>
    <w:rsid w:val="00596311"/>
    <w:rsid w:val="00596B1F"/>
    <w:rsid w:val="00596C2C"/>
    <w:rsid w:val="00596C4A"/>
    <w:rsid w:val="00597248"/>
    <w:rsid w:val="00597603"/>
    <w:rsid w:val="00597A16"/>
    <w:rsid w:val="005A0609"/>
    <w:rsid w:val="005A09F3"/>
    <w:rsid w:val="005A0CC6"/>
    <w:rsid w:val="005A1018"/>
    <w:rsid w:val="005A1161"/>
    <w:rsid w:val="005A1407"/>
    <w:rsid w:val="005A1807"/>
    <w:rsid w:val="005A1BAB"/>
    <w:rsid w:val="005A1D99"/>
    <w:rsid w:val="005A1EB5"/>
    <w:rsid w:val="005A29C6"/>
    <w:rsid w:val="005A2D16"/>
    <w:rsid w:val="005A3693"/>
    <w:rsid w:val="005A3768"/>
    <w:rsid w:val="005A3913"/>
    <w:rsid w:val="005A415E"/>
    <w:rsid w:val="005A443A"/>
    <w:rsid w:val="005A48ED"/>
    <w:rsid w:val="005A49D4"/>
    <w:rsid w:val="005A4C2E"/>
    <w:rsid w:val="005A4F8E"/>
    <w:rsid w:val="005A54B7"/>
    <w:rsid w:val="005A6138"/>
    <w:rsid w:val="005A648E"/>
    <w:rsid w:val="005A66B0"/>
    <w:rsid w:val="005A691D"/>
    <w:rsid w:val="005A6F7C"/>
    <w:rsid w:val="005A70C4"/>
    <w:rsid w:val="005A7196"/>
    <w:rsid w:val="005A7909"/>
    <w:rsid w:val="005B0FDC"/>
    <w:rsid w:val="005B1801"/>
    <w:rsid w:val="005B1AD8"/>
    <w:rsid w:val="005B2619"/>
    <w:rsid w:val="005B2D27"/>
    <w:rsid w:val="005B2E54"/>
    <w:rsid w:val="005B3068"/>
    <w:rsid w:val="005B3379"/>
    <w:rsid w:val="005B3474"/>
    <w:rsid w:val="005B36E5"/>
    <w:rsid w:val="005B3AEA"/>
    <w:rsid w:val="005B3F08"/>
    <w:rsid w:val="005B4B4B"/>
    <w:rsid w:val="005B4DE6"/>
    <w:rsid w:val="005B4FAA"/>
    <w:rsid w:val="005B518D"/>
    <w:rsid w:val="005B55C6"/>
    <w:rsid w:val="005B6717"/>
    <w:rsid w:val="005B6D75"/>
    <w:rsid w:val="005B6F1E"/>
    <w:rsid w:val="005B7AA6"/>
    <w:rsid w:val="005C0367"/>
    <w:rsid w:val="005C036F"/>
    <w:rsid w:val="005C189A"/>
    <w:rsid w:val="005C22C3"/>
    <w:rsid w:val="005C23A0"/>
    <w:rsid w:val="005C3515"/>
    <w:rsid w:val="005C3AAF"/>
    <w:rsid w:val="005C3E13"/>
    <w:rsid w:val="005C454B"/>
    <w:rsid w:val="005C4566"/>
    <w:rsid w:val="005C46C8"/>
    <w:rsid w:val="005C4A4C"/>
    <w:rsid w:val="005C4F26"/>
    <w:rsid w:val="005C4F8C"/>
    <w:rsid w:val="005C5DB7"/>
    <w:rsid w:val="005C71C1"/>
    <w:rsid w:val="005C7545"/>
    <w:rsid w:val="005C763E"/>
    <w:rsid w:val="005C7C37"/>
    <w:rsid w:val="005D0A30"/>
    <w:rsid w:val="005D19F8"/>
    <w:rsid w:val="005D2A19"/>
    <w:rsid w:val="005D2AF2"/>
    <w:rsid w:val="005D2BDC"/>
    <w:rsid w:val="005D2D82"/>
    <w:rsid w:val="005D3005"/>
    <w:rsid w:val="005D31BB"/>
    <w:rsid w:val="005D3EB4"/>
    <w:rsid w:val="005D452B"/>
    <w:rsid w:val="005D4A0E"/>
    <w:rsid w:val="005D5E27"/>
    <w:rsid w:val="005D668C"/>
    <w:rsid w:val="005D6755"/>
    <w:rsid w:val="005D680F"/>
    <w:rsid w:val="005D75ED"/>
    <w:rsid w:val="005D7BB3"/>
    <w:rsid w:val="005E05DD"/>
    <w:rsid w:val="005E0AD7"/>
    <w:rsid w:val="005E0F05"/>
    <w:rsid w:val="005E171F"/>
    <w:rsid w:val="005E26A1"/>
    <w:rsid w:val="005E37C6"/>
    <w:rsid w:val="005E3C76"/>
    <w:rsid w:val="005E48CE"/>
    <w:rsid w:val="005E4D1B"/>
    <w:rsid w:val="005E5A4E"/>
    <w:rsid w:val="005E5C83"/>
    <w:rsid w:val="005E5D2B"/>
    <w:rsid w:val="005E720B"/>
    <w:rsid w:val="005F0477"/>
    <w:rsid w:val="005F0ED3"/>
    <w:rsid w:val="005F102B"/>
    <w:rsid w:val="005F1478"/>
    <w:rsid w:val="005F155F"/>
    <w:rsid w:val="005F18EF"/>
    <w:rsid w:val="005F1E65"/>
    <w:rsid w:val="005F2F3A"/>
    <w:rsid w:val="005F3A0E"/>
    <w:rsid w:val="005F3E54"/>
    <w:rsid w:val="005F4322"/>
    <w:rsid w:val="005F533A"/>
    <w:rsid w:val="005F5400"/>
    <w:rsid w:val="005F5B5A"/>
    <w:rsid w:val="005F5D75"/>
    <w:rsid w:val="005F6FE9"/>
    <w:rsid w:val="005F7222"/>
    <w:rsid w:val="005F7584"/>
    <w:rsid w:val="005F7797"/>
    <w:rsid w:val="005F78AB"/>
    <w:rsid w:val="0060042D"/>
    <w:rsid w:val="00600DC8"/>
    <w:rsid w:val="0060121B"/>
    <w:rsid w:val="00601339"/>
    <w:rsid w:val="006014D3"/>
    <w:rsid w:val="006014D8"/>
    <w:rsid w:val="006018FE"/>
    <w:rsid w:val="00601C56"/>
    <w:rsid w:val="00602F7C"/>
    <w:rsid w:val="006034C1"/>
    <w:rsid w:val="006045F4"/>
    <w:rsid w:val="00604663"/>
    <w:rsid w:val="00604935"/>
    <w:rsid w:val="00604EA8"/>
    <w:rsid w:val="00605477"/>
    <w:rsid w:val="00605651"/>
    <w:rsid w:val="006057DF"/>
    <w:rsid w:val="00605DD1"/>
    <w:rsid w:val="00605E58"/>
    <w:rsid w:val="00606174"/>
    <w:rsid w:val="006063BF"/>
    <w:rsid w:val="00606498"/>
    <w:rsid w:val="00607A31"/>
    <w:rsid w:val="00610AF2"/>
    <w:rsid w:val="00611C1C"/>
    <w:rsid w:val="00612916"/>
    <w:rsid w:val="00612BBD"/>
    <w:rsid w:val="00613047"/>
    <w:rsid w:val="00613317"/>
    <w:rsid w:val="00613F1D"/>
    <w:rsid w:val="00614430"/>
    <w:rsid w:val="0061454E"/>
    <w:rsid w:val="00614A46"/>
    <w:rsid w:val="00614FC2"/>
    <w:rsid w:val="006155AD"/>
    <w:rsid w:val="00615878"/>
    <w:rsid w:val="00615CFD"/>
    <w:rsid w:val="00615FB5"/>
    <w:rsid w:val="006164FF"/>
    <w:rsid w:val="00616D34"/>
    <w:rsid w:val="00616F11"/>
    <w:rsid w:val="00617C35"/>
    <w:rsid w:val="00617DE0"/>
    <w:rsid w:val="00620548"/>
    <w:rsid w:val="006207C6"/>
    <w:rsid w:val="006211B6"/>
    <w:rsid w:val="00621E89"/>
    <w:rsid w:val="00622AE8"/>
    <w:rsid w:val="00623243"/>
    <w:rsid w:val="006238CA"/>
    <w:rsid w:val="0062398D"/>
    <w:rsid w:val="00623A51"/>
    <w:rsid w:val="00623AC8"/>
    <w:rsid w:val="00624116"/>
    <w:rsid w:val="00624148"/>
    <w:rsid w:val="00624284"/>
    <w:rsid w:val="006260CC"/>
    <w:rsid w:val="00626789"/>
    <w:rsid w:val="00626967"/>
    <w:rsid w:val="00626FE5"/>
    <w:rsid w:val="0062723F"/>
    <w:rsid w:val="00627382"/>
    <w:rsid w:val="00627987"/>
    <w:rsid w:val="00630857"/>
    <w:rsid w:val="006316C8"/>
    <w:rsid w:val="00631E2D"/>
    <w:rsid w:val="0063295D"/>
    <w:rsid w:val="00632F4B"/>
    <w:rsid w:val="0063362D"/>
    <w:rsid w:val="00633EEB"/>
    <w:rsid w:val="0063417F"/>
    <w:rsid w:val="00634A8B"/>
    <w:rsid w:val="00634F30"/>
    <w:rsid w:val="006353DC"/>
    <w:rsid w:val="006357D1"/>
    <w:rsid w:val="00635A28"/>
    <w:rsid w:val="00635A78"/>
    <w:rsid w:val="00635D06"/>
    <w:rsid w:val="00635D2D"/>
    <w:rsid w:val="006364C9"/>
    <w:rsid w:val="006365F1"/>
    <w:rsid w:val="006367BC"/>
    <w:rsid w:val="00636D22"/>
    <w:rsid w:val="0063757B"/>
    <w:rsid w:val="00637BFA"/>
    <w:rsid w:val="006403A6"/>
    <w:rsid w:val="0064059A"/>
    <w:rsid w:val="00640CA8"/>
    <w:rsid w:val="0064117C"/>
    <w:rsid w:val="0064168C"/>
    <w:rsid w:val="006416FF"/>
    <w:rsid w:val="00641A4A"/>
    <w:rsid w:val="0064266A"/>
    <w:rsid w:val="00642B8E"/>
    <w:rsid w:val="00642C28"/>
    <w:rsid w:val="006442D9"/>
    <w:rsid w:val="00644D0F"/>
    <w:rsid w:val="006451ED"/>
    <w:rsid w:val="00645878"/>
    <w:rsid w:val="00645FD5"/>
    <w:rsid w:val="0064610C"/>
    <w:rsid w:val="006467F8"/>
    <w:rsid w:val="0064709E"/>
    <w:rsid w:val="0064777C"/>
    <w:rsid w:val="00647D95"/>
    <w:rsid w:val="0065014E"/>
    <w:rsid w:val="00651148"/>
    <w:rsid w:val="006527C4"/>
    <w:rsid w:val="00653DDA"/>
    <w:rsid w:val="00654D18"/>
    <w:rsid w:val="00654F94"/>
    <w:rsid w:val="006557C8"/>
    <w:rsid w:val="00656946"/>
    <w:rsid w:val="00656F63"/>
    <w:rsid w:val="00657278"/>
    <w:rsid w:val="006574CB"/>
    <w:rsid w:val="0065787A"/>
    <w:rsid w:val="00657C1C"/>
    <w:rsid w:val="00657DD4"/>
    <w:rsid w:val="006604E5"/>
    <w:rsid w:val="00660D9E"/>
    <w:rsid w:val="00660FB1"/>
    <w:rsid w:val="00660FD4"/>
    <w:rsid w:val="006613DE"/>
    <w:rsid w:val="00661B13"/>
    <w:rsid w:val="00661F26"/>
    <w:rsid w:val="0066216D"/>
    <w:rsid w:val="0066293B"/>
    <w:rsid w:val="00662A33"/>
    <w:rsid w:val="006630FC"/>
    <w:rsid w:val="00663624"/>
    <w:rsid w:val="00663AA7"/>
    <w:rsid w:val="00663B24"/>
    <w:rsid w:val="006644F5"/>
    <w:rsid w:val="0066459F"/>
    <w:rsid w:val="00664C29"/>
    <w:rsid w:val="00665A7A"/>
    <w:rsid w:val="00665E33"/>
    <w:rsid w:val="00665F5F"/>
    <w:rsid w:val="0066638E"/>
    <w:rsid w:val="00666A92"/>
    <w:rsid w:val="00667BCB"/>
    <w:rsid w:val="00670325"/>
    <w:rsid w:val="006704BF"/>
    <w:rsid w:val="00670850"/>
    <w:rsid w:val="006710AF"/>
    <w:rsid w:val="006713A1"/>
    <w:rsid w:val="006718C3"/>
    <w:rsid w:val="00671945"/>
    <w:rsid w:val="00671AD0"/>
    <w:rsid w:val="00672024"/>
    <w:rsid w:val="006725F6"/>
    <w:rsid w:val="006734E1"/>
    <w:rsid w:val="00673E52"/>
    <w:rsid w:val="00674769"/>
    <w:rsid w:val="00676068"/>
    <w:rsid w:val="006768A1"/>
    <w:rsid w:val="006770B1"/>
    <w:rsid w:val="006776EA"/>
    <w:rsid w:val="006777EC"/>
    <w:rsid w:val="00677AD6"/>
    <w:rsid w:val="00680623"/>
    <w:rsid w:val="0068098F"/>
    <w:rsid w:val="0068135F"/>
    <w:rsid w:val="00681521"/>
    <w:rsid w:val="006818B5"/>
    <w:rsid w:val="00681C19"/>
    <w:rsid w:val="00682270"/>
    <w:rsid w:val="006823A4"/>
    <w:rsid w:val="00682614"/>
    <w:rsid w:val="00683007"/>
    <w:rsid w:val="006830B5"/>
    <w:rsid w:val="006835DF"/>
    <w:rsid w:val="00683CC8"/>
    <w:rsid w:val="00684831"/>
    <w:rsid w:val="00684F92"/>
    <w:rsid w:val="006856BF"/>
    <w:rsid w:val="006857C5"/>
    <w:rsid w:val="00685E81"/>
    <w:rsid w:val="006877CA"/>
    <w:rsid w:val="006879CD"/>
    <w:rsid w:val="00687B82"/>
    <w:rsid w:val="00690D74"/>
    <w:rsid w:val="006916C6"/>
    <w:rsid w:val="00691AA3"/>
    <w:rsid w:val="00692247"/>
    <w:rsid w:val="006929AC"/>
    <w:rsid w:val="00692C4B"/>
    <w:rsid w:val="006938DE"/>
    <w:rsid w:val="00693F92"/>
    <w:rsid w:val="0069463E"/>
    <w:rsid w:val="00694BB9"/>
    <w:rsid w:val="00695244"/>
    <w:rsid w:val="006954A9"/>
    <w:rsid w:val="006955BD"/>
    <w:rsid w:val="00696262"/>
    <w:rsid w:val="0069651A"/>
    <w:rsid w:val="006965B5"/>
    <w:rsid w:val="0069663E"/>
    <w:rsid w:val="00697040"/>
    <w:rsid w:val="00697841"/>
    <w:rsid w:val="00697873"/>
    <w:rsid w:val="00697BE7"/>
    <w:rsid w:val="00697F85"/>
    <w:rsid w:val="006A02AC"/>
    <w:rsid w:val="006A102D"/>
    <w:rsid w:val="006A1125"/>
    <w:rsid w:val="006A12BD"/>
    <w:rsid w:val="006A1DC6"/>
    <w:rsid w:val="006A1F82"/>
    <w:rsid w:val="006A2A1D"/>
    <w:rsid w:val="006A3193"/>
    <w:rsid w:val="006A3F1F"/>
    <w:rsid w:val="006A42E7"/>
    <w:rsid w:val="006A461C"/>
    <w:rsid w:val="006A5058"/>
    <w:rsid w:val="006A5366"/>
    <w:rsid w:val="006A54D4"/>
    <w:rsid w:val="006A6BD7"/>
    <w:rsid w:val="006A797D"/>
    <w:rsid w:val="006B023F"/>
    <w:rsid w:val="006B0E26"/>
    <w:rsid w:val="006B13BA"/>
    <w:rsid w:val="006B14B4"/>
    <w:rsid w:val="006B1700"/>
    <w:rsid w:val="006B1E57"/>
    <w:rsid w:val="006B2D8C"/>
    <w:rsid w:val="006B35CC"/>
    <w:rsid w:val="006B3617"/>
    <w:rsid w:val="006B3816"/>
    <w:rsid w:val="006B3A07"/>
    <w:rsid w:val="006B4B96"/>
    <w:rsid w:val="006B584C"/>
    <w:rsid w:val="006B6496"/>
    <w:rsid w:val="006B7AC4"/>
    <w:rsid w:val="006B7B33"/>
    <w:rsid w:val="006C0E2D"/>
    <w:rsid w:val="006C130E"/>
    <w:rsid w:val="006C1432"/>
    <w:rsid w:val="006C17D0"/>
    <w:rsid w:val="006C1D5E"/>
    <w:rsid w:val="006C1DC0"/>
    <w:rsid w:val="006C1E17"/>
    <w:rsid w:val="006C33B4"/>
    <w:rsid w:val="006C34C8"/>
    <w:rsid w:val="006C3873"/>
    <w:rsid w:val="006C39E3"/>
    <w:rsid w:val="006C3FE8"/>
    <w:rsid w:val="006C434C"/>
    <w:rsid w:val="006C4547"/>
    <w:rsid w:val="006C46DA"/>
    <w:rsid w:val="006C488F"/>
    <w:rsid w:val="006C4B08"/>
    <w:rsid w:val="006C58FC"/>
    <w:rsid w:val="006C6160"/>
    <w:rsid w:val="006C6291"/>
    <w:rsid w:val="006C6876"/>
    <w:rsid w:val="006C6B99"/>
    <w:rsid w:val="006C76E5"/>
    <w:rsid w:val="006C795E"/>
    <w:rsid w:val="006C7BE7"/>
    <w:rsid w:val="006C7E05"/>
    <w:rsid w:val="006D207E"/>
    <w:rsid w:val="006D2CD9"/>
    <w:rsid w:val="006D39BD"/>
    <w:rsid w:val="006D41B3"/>
    <w:rsid w:val="006D45A8"/>
    <w:rsid w:val="006D4824"/>
    <w:rsid w:val="006D4A42"/>
    <w:rsid w:val="006D5F3F"/>
    <w:rsid w:val="006D7351"/>
    <w:rsid w:val="006D78CB"/>
    <w:rsid w:val="006E02FF"/>
    <w:rsid w:val="006E23C4"/>
    <w:rsid w:val="006E2DD9"/>
    <w:rsid w:val="006E345E"/>
    <w:rsid w:val="006E38A8"/>
    <w:rsid w:val="006E3ACD"/>
    <w:rsid w:val="006E46C6"/>
    <w:rsid w:val="006E6469"/>
    <w:rsid w:val="006E68F1"/>
    <w:rsid w:val="006E694C"/>
    <w:rsid w:val="006E6D62"/>
    <w:rsid w:val="006E7A2D"/>
    <w:rsid w:val="006F10E0"/>
    <w:rsid w:val="006F1291"/>
    <w:rsid w:val="006F12D9"/>
    <w:rsid w:val="006F14B2"/>
    <w:rsid w:val="006F18AD"/>
    <w:rsid w:val="006F1D4D"/>
    <w:rsid w:val="006F1DDE"/>
    <w:rsid w:val="006F2162"/>
    <w:rsid w:val="006F256E"/>
    <w:rsid w:val="006F2597"/>
    <w:rsid w:val="006F26CB"/>
    <w:rsid w:val="006F26F0"/>
    <w:rsid w:val="006F27EF"/>
    <w:rsid w:val="006F2952"/>
    <w:rsid w:val="006F2B4B"/>
    <w:rsid w:val="006F3B0C"/>
    <w:rsid w:val="006F4133"/>
    <w:rsid w:val="006F4D4E"/>
    <w:rsid w:val="006F59E7"/>
    <w:rsid w:val="006F5A37"/>
    <w:rsid w:val="006F6198"/>
    <w:rsid w:val="006F64B2"/>
    <w:rsid w:val="006F6FAA"/>
    <w:rsid w:val="006F72DE"/>
    <w:rsid w:val="006F7CF2"/>
    <w:rsid w:val="007000C9"/>
    <w:rsid w:val="00700433"/>
    <w:rsid w:val="00700458"/>
    <w:rsid w:val="00700623"/>
    <w:rsid w:val="007012ED"/>
    <w:rsid w:val="0070141E"/>
    <w:rsid w:val="00701EDE"/>
    <w:rsid w:val="00702109"/>
    <w:rsid w:val="0070258A"/>
    <w:rsid w:val="00702A02"/>
    <w:rsid w:val="00702F95"/>
    <w:rsid w:val="007032DA"/>
    <w:rsid w:val="007035F3"/>
    <w:rsid w:val="007048D3"/>
    <w:rsid w:val="00704B8C"/>
    <w:rsid w:val="00704F81"/>
    <w:rsid w:val="007055FB"/>
    <w:rsid w:val="0070599A"/>
    <w:rsid w:val="00705D01"/>
    <w:rsid w:val="00706957"/>
    <w:rsid w:val="007069D2"/>
    <w:rsid w:val="00706F29"/>
    <w:rsid w:val="0070725F"/>
    <w:rsid w:val="00707B47"/>
    <w:rsid w:val="00707D16"/>
    <w:rsid w:val="00710140"/>
    <w:rsid w:val="0071032A"/>
    <w:rsid w:val="00711203"/>
    <w:rsid w:val="00711A63"/>
    <w:rsid w:val="0071292D"/>
    <w:rsid w:val="00712B0B"/>
    <w:rsid w:val="0071335C"/>
    <w:rsid w:val="007134B3"/>
    <w:rsid w:val="00713F6D"/>
    <w:rsid w:val="0071480D"/>
    <w:rsid w:val="00714C86"/>
    <w:rsid w:val="00714DB4"/>
    <w:rsid w:val="00714DCD"/>
    <w:rsid w:val="007154B0"/>
    <w:rsid w:val="0071629C"/>
    <w:rsid w:val="00716718"/>
    <w:rsid w:val="00716BC4"/>
    <w:rsid w:val="00716C06"/>
    <w:rsid w:val="0071782F"/>
    <w:rsid w:val="007179B0"/>
    <w:rsid w:val="00717B0B"/>
    <w:rsid w:val="00720657"/>
    <w:rsid w:val="0072153F"/>
    <w:rsid w:val="007215FE"/>
    <w:rsid w:val="00722063"/>
    <w:rsid w:val="007227ED"/>
    <w:rsid w:val="00722EB3"/>
    <w:rsid w:val="0072362F"/>
    <w:rsid w:val="00723B93"/>
    <w:rsid w:val="00724170"/>
    <w:rsid w:val="0072434B"/>
    <w:rsid w:val="00724A94"/>
    <w:rsid w:val="00724CBB"/>
    <w:rsid w:val="007251D1"/>
    <w:rsid w:val="00725734"/>
    <w:rsid w:val="0072599D"/>
    <w:rsid w:val="0072619C"/>
    <w:rsid w:val="0072648F"/>
    <w:rsid w:val="0072721C"/>
    <w:rsid w:val="00730574"/>
    <w:rsid w:val="00730AD9"/>
    <w:rsid w:val="00730B61"/>
    <w:rsid w:val="007310D1"/>
    <w:rsid w:val="0073158A"/>
    <w:rsid w:val="0073259E"/>
    <w:rsid w:val="0073546F"/>
    <w:rsid w:val="00735620"/>
    <w:rsid w:val="00735840"/>
    <w:rsid w:val="00735CDF"/>
    <w:rsid w:val="00735D46"/>
    <w:rsid w:val="007360A9"/>
    <w:rsid w:val="00736209"/>
    <w:rsid w:val="0073673F"/>
    <w:rsid w:val="00736B5C"/>
    <w:rsid w:val="00737BC0"/>
    <w:rsid w:val="0074036D"/>
    <w:rsid w:val="00741A4A"/>
    <w:rsid w:val="00741B0B"/>
    <w:rsid w:val="00741EED"/>
    <w:rsid w:val="00741EF0"/>
    <w:rsid w:val="00742D85"/>
    <w:rsid w:val="00744203"/>
    <w:rsid w:val="00744C8A"/>
    <w:rsid w:val="007451A3"/>
    <w:rsid w:val="0074584D"/>
    <w:rsid w:val="00745912"/>
    <w:rsid w:val="00745DB4"/>
    <w:rsid w:val="00745FBA"/>
    <w:rsid w:val="0074611D"/>
    <w:rsid w:val="00746D8F"/>
    <w:rsid w:val="00747013"/>
    <w:rsid w:val="0074704D"/>
    <w:rsid w:val="0074713D"/>
    <w:rsid w:val="00747178"/>
    <w:rsid w:val="00747BA3"/>
    <w:rsid w:val="00751D7B"/>
    <w:rsid w:val="00751F96"/>
    <w:rsid w:val="0075322F"/>
    <w:rsid w:val="00753911"/>
    <w:rsid w:val="00753B5D"/>
    <w:rsid w:val="00755D11"/>
    <w:rsid w:val="00756385"/>
    <w:rsid w:val="007563D5"/>
    <w:rsid w:val="00756572"/>
    <w:rsid w:val="00756E06"/>
    <w:rsid w:val="00757797"/>
    <w:rsid w:val="007607D4"/>
    <w:rsid w:val="00761CCF"/>
    <w:rsid w:val="0076226B"/>
    <w:rsid w:val="0076253D"/>
    <w:rsid w:val="0076330A"/>
    <w:rsid w:val="0076476C"/>
    <w:rsid w:val="0076501A"/>
    <w:rsid w:val="007650CC"/>
    <w:rsid w:val="00765166"/>
    <w:rsid w:val="00765388"/>
    <w:rsid w:val="007658FF"/>
    <w:rsid w:val="00765ED9"/>
    <w:rsid w:val="00766943"/>
    <w:rsid w:val="007669A8"/>
    <w:rsid w:val="00766D48"/>
    <w:rsid w:val="0076731C"/>
    <w:rsid w:val="00767DD5"/>
    <w:rsid w:val="00770194"/>
    <w:rsid w:val="0077070A"/>
    <w:rsid w:val="00770FFB"/>
    <w:rsid w:val="00771200"/>
    <w:rsid w:val="007718A3"/>
    <w:rsid w:val="00771E34"/>
    <w:rsid w:val="00771F3B"/>
    <w:rsid w:val="00772672"/>
    <w:rsid w:val="007732D4"/>
    <w:rsid w:val="00773820"/>
    <w:rsid w:val="007759E6"/>
    <w:rsid w:val="0077695A"/>
    <w:rsid w:val="00776F85"/>
    <w:rsid w:val="0077745E"/>
    <w:rsid w:val="00777745"/>
    <w:rsid w:val="00777B0A"/>
    <w:rsid w:val="00777B52"/>
    <w:rsid w:val="00777FCC"/>
    <w:rsid w:val="007805D6"/>
    <w:rsid w:val="00780A15"/>
    <w:rsid w:val="00780D22"/>
    <w:rsid w:val="007819FA"/>
    <w:rsid w:val="00781F26"/>
    <w:rsid w:val="007823EF"/>
    <w:rsid w:val="00783537"/>
    <w:rsid w:val="00783E1A"/>
    <w:rsid w:val="00784276"/>
    <w:rsid w:val="007843CE"/>
    <w:rsid w:val="007846B4"/>
    <w:rsid w:val="00784D3F"/>
    <w:rsid w:val="00785298"/>
    <w:rsid w:val="007855B6"/>
    <w:rsid w:val="00785ADC"/>
    <w:rsid w:val="00785CBB"/>
    <w:rsid w:val="00786230"/>
    <w:rsid w:val="007869B8"/>
    <w:rsid w:val="00786C4C"/>
    <w:rsid w:val="00786D8D"/>
    <w:rsid w:val="00786E5C"/>
    <w:rsid w:val="0078742C"/>
    <w:rsid w:val="007876CB"/>
    <w:rsid w:val="0078785E"/>
    <w:rsid w:val="00787A2E"/>
    <w:rsid w:val="00787DF5"/>
    <w:rsid w:val="00790F8A"/>
    <w:rsid w:val="00790FDC"/>
    <w:rsid w:val="007918FF"/>
    <w:rsid w:val="00791A48"/>
    <w:rsid w:val="0079245C"/>
    <w:rsid w:val="007930D7"/>
    <w:rsid w:val="007931A3"/>
    <w:rsid w:val="00793280"/>
    <w:rsid w:val="00793774"/>
    <w:rsid w:val="00793843"/>
    <w:rsid w:val="00794D91"/>
    <w:rsid w:val="007957D6"/>
    <w:rsid w:val="0079581A"/>
    <w:rsid w:val="00797427"/>
    <w:rsid w:val="00797A0C"/>
    <w:rsid w:val="007A2355"/>
    <w:rsid w:val="007A3617"/>
    <w:rsid w:val="007A3A69"/>
    <w:rsid w:val="007A3C7C"/>
    <w:rsid w:val="007A40E6"/>
    <w:rsid w:val="007A431E"/>
    <w:rsid w:val="007A463D"/>
    <w:rsid w:val="007A499B"/>
    <w:rsid w:val="007A5353"/>
    <w:rsid w:val="007A5855"/>
    <w:rsid w:val="007A64A9"/>
    <w:rsid w:val="007A6507"/>
    <w:rsid w:val="007A6660"/>
    <w:rsid w:val="007A6EDC"/>
    <w:rsid w:val="007A7C68"/>
    <w:rsid w:val="007B01DE"/>
    <w:rsid w:val="007B0878"/>
    <w:rsid w:val="007B23A2"/>
    <w:rsid w:val="007B25F4"/>
    <w:rsid w:val="007B2FD8"/>
    <w:rsid w:val="007B35F1"/>
    <w:rsid w:val="007B4296"/>
    <w:rsid w:val="007B42E8"/>
    <w:rsid w:val="007B44B9"/>
    <w:rsid w:val="007B5D23"/>
    <w:rsid w:val="007B5F6E"/>
    <w:rsid w:val="007B6BCB"/>
    <w:rsid w:val="007B6D9D"/>
    <w:rsid w:val="007B6E5A"/>
    <w:rsid w:val="007B73CA"/>
    <w:rsid w:val="007B7BDD"/>
    <w:rsid w:val="007C0C4E"/>
    <w:rsid w:val="007C17F1"/>
    <w:rsid w:val="007C227F"/>
    <w:rsid w:val="007C3394"/>
    <w:rsid w:val="007C3561"/>
    <w:rsid w:val="007C3A45"/>
    <w:rsid w:val="007C3D13"/>
    <w:rsid w:val="007C405A"/>
    <w:rsid w:val="007C4482"/>
    <w:rsid w:val="007C47B5"/>
    <w:rsid w:val="007C4B94"/>
    <w:rsid w:val="007C4D9E"/>
    <w:rsid w:val="007C4F4B"/>
    <w:rsid w:val="007C4F8B"/>
    <w:rsid w:val="007C5178"/>
    <w:rsid w:val="007C6083"/>
    <w:rsid w:val="007C6838"/>
    <w:rsid w:val="007C7AC0"/>
    <w:rsid w:val="007C7D27"/>
    <w:rsid w:val="007C7DDE"/>
    <w:rsid w:val="007D005C"/>
    <w:rsid w:val="007D0111"/>
    <w:rsid w:val="007D10C5"/>
    <w:rsid w:val="007D1344"/>
    <w:rsid w:val="007D1C95"/>
    <w:rsid w:val="007D2BCF"/>
    <w:rsid w:val="007D30EC"/>
    <w:rsid w:val="007D50A3"/>
    <w:rsid w:val="007D5A11"/>
    <w:rsid w:val="007D5AB5"/>
    <w:rsid w:val="007D6873"/>
    <w:rsid w:val="007D6EB2"/>
    <w:rsid w:val="007D71B7"/>
    <w:rsid w:val="007D7815"/>
    <w:rsid w:val="007E0602"/>
    <w:rsid w:val="007E115D"/>
    <w:rsid w:val="007E1C69"/>
    <w:rsid w:val="007E2413"/>
    <w:rsid w:val="007E29CE"/>
    <w:rsid w:val="007E37C9"/>
    <w:rsid w:val="007E471D"/>
    <w:rsid w:val="007E5DA1"/>
    <w:rsid w:val="007E71E5"/>
    <w:rsid w:val="007E7644"/>
    <w:rsid w:val="007E7B07"/>
    <w:rsid w:val="007E7E08"/>
    <w:rsid w:val="007F0D88"/>
    <w:rsid w:val="007F0E0C"/>
    <w:rsid w:val="007F18CE"/>
    <w:rsid w:val="007F18EA"/>
    <w:rsid w:val="007F1BB5"/>
    <w:rsid w:val="007F279F"/>
    <w:rsid w:val="007F2A6C"/>
    <w:rsid w:val="007F3D95"/>
    <w:rsid w:val="007F3DF7"/>
    <w:rsid w:val="007F4C65"/>
    <w:rsid w:val="007F517B"/>
    <w:rsid w:val="007F55F0"/>
    <w:rsid w:val="007F59B6"/>
    <w:rsid w:val="007F5ADC"/>
    <w:rsid w:val="007F6E77"/>
    <w:rsid w:val="007F7083"/>
    <w:rsid w:val="007F7B57"/>
    <w:rsid w:val="00800A03"/>
    <w:rsid w:val="00803B06"/>
    <w:rsid w:val="00803DCD"/>
    <w:rsid w:val="00803F73"/>
    <w:rsid w:val="008044B0"/>
    <w:rsid w:val="0080468E"/>
    <w:rsid w:val="008046D4"/>
    <w:rsid w:val="00804AF9"/>
    <w:rsid w:val="0080506B"/>
    <w:rsid w:val="00805B55"/>
    <w:rsid w:val="008068CB"/>
    <w:rsid w:val="0080690B"/>
    <w:rsid w:val="00806B49"/>
    <w:rsid w:val="008075DC"/>
    <w:rsid w:val="008112DC"/>
    <w:rsid w:val="008114EB"/>
    <w:rsid w:val="00811CEB"/>
    <w:rsid w:val="00811DDB"/>
    <w:rsid w:val="00812132"/>
    <w:rsid w:val="008136CF"/>
    <w:rsid w:val="00813EEA"/>
    <w:rsid w:val="0081434A"/>
    <w:rsid w:val="008149C6"/>
    <w:rsid w:val="00814D56"/>
    <w:rsid w:val="0081530F"/>
    <w:rsid w:val="008153A3"/>
    <w:rsid w:val="008153FC"/>
    <w:rsid w:val="0081559B"/>
    <w:rsid w:val="008155AD"/>
    <w:rsid w:val="00815A99"/>
    <w:rsid w:val="00816026"/>
    <w:rsid w:val="0081631F"/>
    <w:rsid w:val="00820211"/>
    <w:rsid w:val="00820811"/>
    <w:rsid w:val="00820B5E"/>
    <w:rsid w:val="00820D4D"/>
    <w:rsid w:val="00822D24"/>
    <w:rsid w:val="00823ED2"/>
    <w:rsid w:val="008241F7"/>
    <w:rsid w:val="00824306"/>
    <w:rsid w:val="0082551F"/>
    <w:rsid w:val="00826237"/>
    <w:rsid w:val="008262A1"/>
    <w:rsid w:val="0082671A"/>
    <w:rsid w:val="00826730"/>
    <w:rsid w:val="0082709A"/>
    <w:rsid w:val="00827275"/>
    <w:rsid w:val="008274C6"/>
    <w:rsid w:val="0082770F"/>
    <w:rsid w:val="0082773B"/>
    <w:rsid w:val="00827C09"/>
    <w:rsid w:val="008306AA"/>
    <w:rsid w:val="00830E4B"/>
    <w:rsid w:val="00830F01"/>
    <w:rsid w:val="008315D9"/>
    <w:rsid w:val="00831D02"/>
    <w:rsid w:val="00832179"/>
    <w:rsid w:val="00832CE6"/>
    <w:rsid w:val="008336BA"/>
    <w:rsid w:val="008340D9"/>
    <w:rsid w:val="00834A42"/>
    <w:rsid w:val="00834CF1"/>
    <w:rsid w:val="00835118"/>
    <w:rsid w:val="008357F7"/>
    <w:rsid w:val="008358F0"/>
    <w:rsid w:val="00836543"/>
    <w:rsid w:val="0083667C"/>
    <w:rsid w:val="0083668C"/>
    <w:rsid w:val="00837BEF"/>
    <w:rsid w:val="00840DDA"/>
    <w:rsid w:val="00842060"/>
    <w:rsid w:val="008421AC"/>
    <w:rsid w:val="0084337B"/>
    <w:rsid w:val="0084367E"/>
    <w:rsid w:val="00843718"/>
    <w:rsid w:val="00843C3D"/>
    <w:rsid w:val="00843D90"/>
    <w:rsid w:val="00844C4A"/>
    <w:rsid w:val="00845398"/>
    <w:rsid w:val="008454D0"/>
    <w:rsid w:val="00845962"/>
    <w:rsid w:val="00845BFE"/>
    <w:rsid w:val="0084680D"/>
    <w:rsid w:val="0084689C"/>
    <w:rsid w:val="00846AA1"/>
    <w:rsid w:val="008471BD"/>
    <w:rsid w:val="0084751C"/>
    <w:rsid w:val="00850047"/>
    <w:rsid w:val="008509EE"/>
    <w:rsid w:val="008510F1"/>
    <w:rsid w:val="008514DF"/>
    <w:rsid w:val="00852171"/>
    <w:rsid w:val="00852B54"/>
    <w:rsid w:val="008541C9"/>
    <w:rsid w:val="0085427A"/>
    <w:rsid w:val="00854A65"/>
    <w:rsid w:val="00854D2B"/>
    <w:rsid w:val="00855369"/>
    <w:rsid w:val="008563FD"/>
    <w:rsid w:val="008567A9"/>
    <w:rsid w:val="00857099"/>
    <w:rsid w:val="0085767E"/>
    <w:rsid w:val="008577C5"/>
    <w:rsid w:val="00857866"/>
    <w:rsid w:val="008607B5"/>
    <w:rsid w:val="008609D9"/>
    <w:rsid w:val="00860CA5"/>
    <w:rsid w:val="00861202"/>
    <w:rsid w:val="008621ED"/>
    <w:rsid w:val="00862753"/>
    <w:rsid w:val="00862B02"/>
    <w:rsid w:val="008632C1"/>
    <w:rsid w:val="00863367"/>
    <w:rsid w:val="008634F3"/>
    <w:rsid w:val="008636BB"/>
    <w:rsid w:val="008636FA"/>
    <w:rsid w:val="008639F1"/>
    <w:rsid w:val="00863C67"/>
    <w:rsid w:val="00864120"/>
    <w:rsid w:val="0086472C"/>
    <w:rsid w:val="00864C19"/>
    <w:rsid w:val="008662D4"/>
    <w:rsid w:val="00866B9C"/>
    <w:rsid w:val="008672FB"/>
    <w:rsid w:val="008679C5"/>
    <w:rsid w:val="00870303"/>
    <w:rsid w:val="00871059"/>
    <w:rsid w:val="008718E1"/>
    <w:rsid w:val="00871BB8"/>
    <w:rsid w:val="00872E25"/>
    <w:rsid w:val="008730F1"/>
    <w:rsid w:val="008736D7"/>
    <w:rsid w:val="0087430C"/>
    <w:rsid w:val="0087498E"/>
    <w:rsid w:val="00874A22"/>
    <w:rsid w:val="00874A60"/>
    <w:rsid w:val="008751C0"/>
    <w:rsid w:val="008756A6"/>
    <w:rsid w:val="008761A5"/>
    <w:rsid w:val="008763C3"/>
    <w:rsid w:val="00876939"/>
    <w:rsid w:val="00876CA5"/>
    <w:rsid w:val="00876FF5"/>
    <w:rsid w:val="00877949"/>
    <w:rsid w:val="00877BA6"/>
    <w:rsid w:val="00880493"/>
    <w:rsid w:val="00881DA7"/>
    <w:rsid w:val="008824FC"/>
    <w:rsid w:val="00882D73"/>
    <w:rsid w:val="0088430C"/>
    <w:rsid w:val="00884917"/>
    <w:rsid w:val="008850AA"/>
    <w:rsid w:val="0088551C"/>
    <w:rsid w:val="008861B5"/>
    <w:rsid w:val="00886319"/>
    <w:rsid w:val="00886A5D"/>
    <w:rsid w:val="00886DA2"/>
    <w:rsid w:val="008871E4"/>
    <w:rsid w:val="008871EF"/>
    <w:rsid w:val="008874E6"/>
    <w:rsid w:val="00887569"/>
    <w:rsid w:val="00887A2F"/>
    <w:rsid w:val="00887BA0"/>
    <w:rsid w:val="00887D46"/>
    <w:rsid w:val="00887EB1"/>
    <w:rsid w:val="00890B3C"/>
    <w:rsid w:val="008910DF"/>
    <w:rsid w:val="00891752"/>
    <w:rsid w:val="00891AFF"/>
    <w:rsid w:val="00891DEC"/>
    <w:rsid w:val="008928C5"/>
    <w:rsid w:val="0089351A"/>
    <w:rsid w:val="00893B45"/>
    <w:rsid w:val="00893EC5"/>
    <w:rsid w:val="008952C6"/>
    <w:rsid w:val="00895481"/>
    <w:rsid w:val="00895C47"/>
    <w:rsid w:val="00895E43"/>
    <w:rsid w:val="008961CC"/>
    <w:rsid w:val="00896992"/>
    <w:rsid w:val="00896C50"/>
    <w:rsid w:val="00896E9C"/>
    <w:rsid w:val="00897A09"/>
    <w:rsid w:val="008A09B5"/>
    <w:rsid w:val="008A1158"/>
    <w:rsid w:val="008A1520"/>
    <w:rsid w:val="008A2E0B"/>
    <w:rsid w:val="008A3189"/>
    <w:rsid w:val="008A34D5"/>
    <w:rsid w:val="008A4242"/>
    <w:rsid w:val="008A47DA"/>
    <w:rsid w:val="008A4E1C"/>
    <w:rsid w:val="008A5B72"/>
    <w:rsid w:val="008A5E3E"/>
    <w:rsid w:val="008A6642"/>
    <w:rsid w:val="008A6819"/>
    <w:rsid w:val="008A7DB5"/>
    <w:rsid w:val="008B0452"/>
    <w:rsid w:val="008B0557"/>
    <w:rsid w:val="008B097E"/>
    <w:rsid w:val="008B0DE0"/>
    <w:rsid w:val="008B13C9"/>
    <w:rsid w:val="008B14AE"/>
    <w:rsid w:val="008B15B0"/>
    <w:rsid w:val="008B2350"/>
    <w:rsid w:val="008B30B2"/>
    <w:rsid w:val="008B323D"/>
    <w:rsid w:val="008B3B7C"/>
    <w:rsid w:val="008B42DB"/>
    <w:rsid w:val="008B438E"/>
    <w:rsid w:val="008B471D"/>
    <w:rsid w:val="008B566E"/>
    <w:rsid w:val="008B61B1"/>
    <w:rsid w:val="008B6C3E"/>
    <w:rsid w:val="008B6F0A"/>
    <w:rsid w:val="008B7532"/>
    <w:rsid w:val="008B7595"/>
    <w:rsid w:val="008B78C4"/>
    <w:rsid w:val="008C021C"/>
    <w:rsid w:val="008C07B7"/>
    <w:rsid w:val="008C1458"/>
    <w:rsid w:val="008C151C"/>
    <w:rsid w:val="008C164A"/>
    <w:rsid w:val="008C1B02"/>
    <w:rsid w:val="008C1B44"/>
    <w:rsid w:val="008C1EF3"/>
    <w:rsid w:val="008C1F74"/>
    <w:rsid w:val="008C22B6"/>
    <w:rsid w:val="008C2624"/>
    <w:rsid w:val="008C2687"/>
    <w:rsid w:val="008C2779"/>
    <w:rsid w:val="008C2B5D"/>
    <w:rsid w:val="008C2C0E"/>
    <w:rsid w:val="008C36E3"/>
    <w:rsid w:val="008C3A28"/>
    <w:rsid w:val="008C3F91"/>
    <w:rsid w:val="008C418E"/>
    <w:rsid w:val="008C46F8"/>
    <w:rsid w:val="008C4F2E"/>
    <w:rsid w:val="008C51F4"/>
    <w:rsid w:val="008C52E8"/>
    <w:rsid w:val="008C56FC"/>
    <w:rsid w:val="008C5758"/>
    <w:rsid w:val="008C63B9"/>
    <w:rsid w:val="008C64CA"/>
    <w:rsid w:val="008C6EE2"/>
    <w:rsid w:val="008C6F49"/>
    <w:rsid w:val="008C7281"/>
    <w:rsid w:val="008C73A4"/>
    <w:rsid w:val="008C7EDC"/>
    <w:rsid w:val="008D003D"/>
    <w:rsid w:val="008D0125"/>
    <w:rsid w:val="008D0212"/>
    <w:rsid w:val="008D06B3"/>
    <w:rsid w:val="008D1134"/>
    <w:rsid w:val="008D1845"/>
    <w:rsid w:val="008D3CBC"/>
    <w:rsid w:val="008D3DB1"/>
    <w:rsid w:val="008D4292"/>
    <w:rsid w:val="008D4752"/>
    <w:rsid w:val="008D4B7E"/>
    <w:rsid w:val="008D68C5"/>
    <w:rsid w:val="008D6D04"/>
    <w:rsid w:val="008D6DBB"/>
    <w:rsid w:val="008D7EB1"/>
    <w:rsid w:val="008E0179"/>
    <w:rsid w:val="008E092C"/>
    <w:rsid w:val="008E0C1D"/>
    <w:rsid w:val="008E23A7"/>
    <w:rsid w:val="008E2E3F"/>
    <w:rsid w:val="008E3074"/>
    <w:rsid w:val="008E368F"/>
    <w:rsid w:val="008E38B3"/>
    <w:rsid w:val="008E4743"/>
    <w:rsid w:val="008E4881"/>
    <w:rsid w:val="008E4950"/>
    <w:rsid w:val="008E5143"/>
    <w:rsid w:val="008E55A3"/>
    <w:rsid w:val="008E5F9E"/>
    <w:rsid w:val="008E65C4"/>
    <w:rsid w:val="008E720D"/>
    <w:rsid w:val="008E7812"/>
    <w:rsid w:val="008E7A52"/>
    <w:rsid w:val="008E7C57"/>
    <w:rsid w:val="008F0B4E"/>
    <w:rsid w:val="008F18A4"/>
    <w:rsid w:val="008F18CE"/>
    <w:rsid w:val="008F1B6C"/>
    <w:rsid w:val="008F22EA"/>
    <w:rsid w:val="008F28D0"/>
    <w:rsid w:val="008F2A0A"/>
    <w:rsid w:val="008F2B8E"/>
    <w:rsid w:val="008F2E74"/>
    <w:rsid w:val="008F3835"/>
    <w:rsid w:val="008F3F20"/>
    <w:rsid w:val="008F45CC"/>
    <w:rsid w:val="008F481F"/>
    <w:rsid w:val="008F58AD"/>
    <w:rsid w:val="008F629F"/>
    <w:rsid w:val="008F6C15"/>
    <w:rsid w:val="008F71F3"/>
    <w:rsid w:val="008F7D3A"/>
    <w:rsid w:val="00900E14"/>
    <w:rsid w:val="00900F39"/>
    <w:rsid w:val="009026D6"/>
    <w:rsid w:val="009028C4"/>
    <w:rsid w:val="00903C83"/>
    <w:rsid w:val="00904123"/>
    <w:rsid w:val="00905A0E"/>
    <w:rsid w:val="00905B0F"/>
    <w:rsid w:val="00906172"/>
    <w:rsid w:val="00906463"/>
    <w:rsid w:val="00906521"/>
    <w:rsid w:val="00907E13"/>
    <w:rsid w:val="00910050"/>
    <w:rsid w:val="00910146"/>
    <w:rsid w:val="00910613"/>
    <w:rsid w:val="00910B54"/>
    <w:rsid w:val="00910D22"/>
    <w:rsid w:val="009112DF"/>
    <w:rsid w:val="0091189E"/>
    <w:rsid w:val="0091215E"/>
    <w:rsid w:val="009125B7"/>
    <w:rsid w:val="00913189"/>
    <w:rsid w:val="00913532"/>
    <w:rsid w:val="00913781"/>
    <w:rsid w:val="0091383C"/>
    <w:rsid w:val="00914099"/>
    <w:rsid w:val="00914B90"/>
    <w:rsid w:val="00914BB7"/>
    <w:rsid w:val="0091523A"/>
    <w:rsid w:val="00915496"/>
    <w:rsid w:val="009156E3"/>
    <w:rsid w:val="00916C8A"/>
    <w:rsid w:val="00916D71"/>
    <w:rsid w:val="00916EB6"/>
    <w:rsid w:val="00917D6D"/>
    <w:rsid w:val="00917E5C"/>
    <w:rsid w:val="00920587"/>
    <w:rsid w:val="009205A2"/>
    <w:rsid w:val="009205C4"/>
    <w:rsid w:val="0092138D"/>
    <w:rsid w:val="0092231F"/>
    <w:rsid w:val="00922B3D"/>
    <w:rsid w:val="009232AA"/>
    <w:rsid w:val="009235AA"/>
    <w:rsid w:val="009236B7"/>
    <w:rsid w:val="009237D8"/>
    <w:rsid w:val="00923F44"/>
    <w:rsid w:val="009243DE"/>
    <w:rsid w:val="009246C1"/>
    <w:rsid w:val="00924A52"/>
    <w:rsid w:val="00925169"/>
    <w:rsid w:val="009259C6"/>
    <w:rsid w:val="0092605D"/>
    <w:rsid w:val="009261C7"/>
    <w:rsid w:val="00927F41"/>
    <w:rsid w:val="0093075F"/>
    <w:rsid w:val="0093102B"/>
    <w:rsid w:val="009312A0"/>
    <w:rsid w:val="00932034"/>
    <w:rsid w:val="009322A7"/>
    <w:rsid w:val="009322EB"/>
    <w:rsid w:val="0093232E"/>
    <w:rsid w:val="00932494"/>
    <w:rsid w:val="00932A73"/>
    <w:rsid w:val="0093317A"/>
    <w:rsid w:val="00933521"/>
    <w:rsid w:val="00933B6B"/>
    <w:rsid w:val="00933FB6"/>
    <w:rsid w:val="00934900"/>
    <w:rsid w:val="00935964"/>
    <w:rsid w:val="009379E9"/>
    <w:rsid w:val="00937A55"/>
    <w:rsid w:val="00937D7D"/>
    <w:rsid w:val="00940585"/>
    <w:rsid w:val="00940630"/>
    <w:rsid w:val="00940829"/>
    <w:rsid w:val="00940E41"/>
    <w:rsid w:val="00940EF0"/>
    <w:rsid w:val="00941364"/>
    <w:rsid w:val="0094165A"/>
    <w:rsid w:val="00942702"/>
    <w:rsid w:val="00942748"/>
    <w:rsid w:val="009436BF"/>
    <w:rsid w:val="009441A5"/>
    <w:rsid w:val="00944230"/>
    <w:rsid w:val="0094466D"/>
    <w:rsid w:val="00944CFF"/>
    <w:rsid w:val="009450D1"/>
    <w:rsid w:val="0094519C"/>
    <w:rsid w:val="00945397"/>
    <w:rsid w:val="00945DCC"/>
    <w:rsid w:val="00946077"/>
    <w:rsid w:val="0094628C"/>
    <w:rsid w:val="00946589"/>
    <w:rsid w:val="00946EAE"/>
    <w:rsid w:val="00947A5E"/>
    <w:rsid w:val="0095114C"/>
    <w:rsid w:val="009515BF"/>
    <w:rsid w:val="009516F8"/>
    <w:rsid w:val="00952605"/>
    <w:rsid w:val="00952DC1"/>
    <w:rsid w:val="00953983"/>
    <w:rsid w:val="00955A92"/>
    <w:rsid w:val="00955E59"/>
    <w:rsid w:val="00956018"/>
    <w:rsid w:val="00956E50"/>
    <w:rsid w:val="0095774D"/>
    <w:rsid w:val="00957A16"/>
    <w:rsid w:val="00957F46"/>
    <w:rsid w:val="009605AF"/>
    <w:rsid w:val="00960938"/>
    <w:rsid w:val="00961611"/>
    <w:rsid w:val="00961DD5"/>
    <w:rsid w:val="00961E6A"/>
    <w:rsid w:val="0096215F"/>
    <w:rsid w:val="009621CA"/>
    <w:rsid w:val="00962FEC"/>
    <w:rsid w:val="00963D28"/>
    <w:rsid w:val="00963D30"/>
    <w:rsid w:val="00963D44"/>
    <w:rsid w:val="0096446B"/>
    <w:rsid w:val="009659AA"/>
    <w:rsid w:val="00965AF6"/>
    <w:rsid w:val="0096697B"/>
    <w:rsid w:val="00966A3D"/>
    <w:rsid w:val="00967A37"/>
    <w:rsid w:val="00970D81"/>
    <w:rsid w:val="009722EA"/>
    <w:rsid w:val="0097339C"/>
    <w:rsid w:val="009733A0"/>
    <w:rsid w:val="00973742"/>
    <w:rsid w:val="00973B24"/>
    <w:rsid w:val="00973EFE"/>
    <w:rsid w:val="00974255"/>
    <w:rsid w:val="0097435F"/>
    <w:rsid w:val="00974E68"/>
    <w:rsid w:val="00975131"/>
    <w:rsid w:val="00975144"/>
    <w:rsid w:val="009756CE"/>
    <w:rsid w:val="00977371"/>
    <w:rsid w:val="00980E46"/>
    <w:rsid w:val="0098132B"/>
    <w:rsid w:val="00981814"/>
    <w:rsid w:val="00981EF5"/>
    <w:rsid w:val="009824BE"/>
    <w:rsid w:val="009825FE"/>
    <w:rsid w:val="00982B1A"/>
    <w:rsid w:val="00982F26"/>
    <w:rsid w:val="00983532"/>
    <w:rsid w:val="009838F9"/>
    <w:rsid w:val="00983B65"/>
    <w:rsid w:val="0098432D"/>
    <w:rsid w:val="0098492D"/>
    <w:rsid w:val="00985070"/>
    <w:rsid w:val="009873F2"/>
    <w:rsid w:val="009873F6"/>
    <w:rsid w:val="009874D1"/>
    <w:rsid w:val="00987621"/>
    <w:rsid w:val="009876C9"/>
    <w:rsid w:val="00987CF0"/>
    <w:rsid w:val="00987FE0"/>
    <w:rsid w:val="00990C53"/>
    <w:rsid w:val="00991246"/>
    <w:rsid w:val="00991BF8"/>
    <w:rsid w:val="00991CE0"/>
    <w:rsid w:val="00992506"/>
    <w:rsid w:val="009928FE"/>
    <w:rsid w:val="00992C00"/>
    <w:rsid w:val="00993897"/>
    <w:rsid w:val="00993B54"/>
    <w:rsid w:val="009940F3"/>
    <w:rsid w:val="00994319"/>
    <w:rsid w:val="00995183"/>
    <w:rsid w:val="0099565E"/>
    <w:rsid w:val="009957F1"/>
    <w:rsid w:val="00995838"/>
    <w:rsid w:val="009960F5"/>
    <w:rsid w:val="00996D7A"/>
    <w:rsid w:val="00997105"/>
    <w:rsid w:val="00997279"/>
    <w:rsid w:val="009A018D"/>
    <w:rsid w:val="009A039C"/>
    <w:rsid w:val="009A09C0"/>
    <w:rsid w:val="009A0CB2"/>
    <w:rsid w:val="009A18E7"/>
    <w:rsid w:val="009A22A6"/>
    <w:rsid w:val="009A2398"/>
    <w:rsid w:val="009A2FB8"/>
    <w:rsid w:val="009A31A9"/>
    <w:rsid w:val="009A37FE"/>
    <w:rsid w:val="009A3A01"/>
    <w:rsid w:val="009A3ABD"/>
    <w:rsid w:val="009A454C"/>
    <w:rsid w:val="009A6DB3"/>
    <w:rsid w:val="009A6F97"/>
    <w:rsid w:val="009A7FF2"/>
    <w:rsid w:val="009B0335"/>
    <w:rsid w:val="009B0569"/>
    <w:rsid w:val="009B074F"/>
    <w:rsid w:val="009B1075"/>
    <w:rsid w:val="009B182B"/>
    <w:rsid w:val="009B2DB2"/>
    <w:rsid w:val="009B3D0F"/>
    <w:rsid w:val="009B4393"/>
    <w:rsid w:val="009B46ED"/>
    <w:rsid w:val="009B5170"/>
    <w:rsid w:val="009B5EE5"/>
    <w:rsid w:val="009B63A0"/>
    <w:rsid w:val="009B6524"/>
    <w:rsid w:val="009B655A"/>
    <w:rsid w:val="009B6794"/>
    <w:rsid w:val="009B6ABA"/>
    <w:rsid w:val="009B6B5E"/>
    <w:rsid w:val="009B6BEF"/>
    <w:rsid w:val="009B7211"/>
    <w:rsid w:val="009B78C1"/>
    <w:rsid w:val="009B7B12"/>
    <w:rsid w:val="009B7B82"/>
    <w:rsid w:val="009B7B90"/>
    <w:rsid w:val="009B7BAF"/>
    <w:rsid w:val="009B7C45"/>
    <w:rsid w:val="009B7E53"/>
    <w:rsid w:val="009C112B"/>
    <w:rsid w:val="009C11F8"/>
    <w:rsid w:val="009C1593"/>
    <w:rsid w:val="009C2122"/>
    <w:rsid w:val="009C29C9"/>
    <w:rsid w:val="009C2BF3"/>
    <w:rsid w:val="009C48CB"/>
    <w:rsid w:val="009C4B55"/>
    <w:rsid w:val="009C5A82"/>
    <w:rsid w:val="009C5CA8"/>
    <w:rsid w:val="009C5CBF"/>
    <w:rsid w:val="009C5EE9"/>
    <w:rsid w:val="009C6736"/>
    <w:rsid w:val="009C6EB9"/>
    <w:rsid w:val="009C6F7B"/>
    <w:rsid w:val="009C7330"/>
    <w:rsid w:val="009C76C1"/>
    <w:rsid w:val="009C7E5D"/>
    <w:rsid w:val="009C7FF5"/>
    <w:rsid w:val="009D0522"/>
    <w:rsid w:val="009D05D7"/>
    <w:rsid w:val="009D0F10"/>
    <w:rsid w:val="009D0F48"/>
    <w:rsid w:val="009D1830"/>
    <w:rsid w:val="009D1DAA"/>
    <w:rsid w:val="009D3674"/>
    <w:rsid w:val="009D36C3"/>
    <w:rsid w:val="009D3CE6"/>
    <w:rsid w:val="009D433E"/>
    <w:rsid w:val="009D4E6F"/>
    <w:rsid w:val="009D5A5B"/>
    <w:rsid w:val="009D5F3D"/>
    <w:rsid w:val="009D622A"/>
    <w:rsid w:val="009D647B"/>
    <w:rsid w:val="009D6F86"/>
    <w:rsid w:val="009D7381"/>
    <w:rsid w:val="009D7679"/>
    <w:rsid w:val="009D7A17"/>
    <w:rsid w:val="009E075A"/>
    <w:rsid w:val="009E079B"/>
    <w:rsid w:val="009E0984"/>
    <w:rsid w:val="009E0B39"/>
    <w:rsid w:val="009E0BFC"/>
    <w:rsid w:val="009E1164"/>
    <w:rsid w:val="009E1580"/>
    <w:rsid w:val="009E1A7C"/>
    <w:rsid w:val="009E1CDC"/>
    <w:rsid w:val="009E1E78"/>
    <w:rsid w:val="009E25E3"/>
    <w:rsid w:val="009E29D8"/>
    <w:rsid w:val="009E2C27"/>
    <w:rsid w:val="009E38A5"/>
    <w:rsid w:val="009E3C77"/>
    <w:rsid w:val="009E3CC7"/>
    <w:rsid w:val="009E4383"/>
    <w:rsid w:val="009E4630"/>
    <w:rsid w:val="009E517F"/>
    <w:rsid w:val="009E52A7"/>
    <w:rsid w:val="009E6199"/>
    <w:rsid w:val="009E62EE"/>
    <w:rsid w:val="009E744F"/>
    <w:rsid w:val="009F0232"/>
    <w:rsid w:val="009F0563"/>
    <w:rsid w:val="009F0EF3"/>
    <w:rsid w:val="009F11D3"/>
    <w:rsid w:val="009F19F2"/>
    <w:rsid w:val="009F2291"/>
    <w:rsid w:val="009F2918"/>
    <w:rsid w:val="009F31EA"/>
    <w:rsid w:val="009F42E6"/>
    <w:rsid w:val="009F443E"/>
    <w:rsid w:val="009F49D7"/>
    <w:rsid w:val="009F4D43"/>
    <w:rsid w:val="009F4F47"/>
    <w:rsid w:val="009F50E2"/>
    <w:rsid w:val="009F52BB"/>
    <w:rsid w:val="009F544F"/>
    <w:rsid w:val="009F5961"/>
    <w:rsid w:val="009F644A"/>
    <w:rsid w:val="009F6C05"/>
    <w:rsid w:val="009F6EC6"/>
    <w:rsid w:val="009F77C6"/>
    <w:rsid w:val="009F78A1"/>
    <w:rsid w:val="009F7B40"/>
    <w:rsid w:val="00A0006F"/>
    <w:rsid w:val="00A01535"/>
    <w:rsid w:val="00A01666"/>
    <w:rsid w:val="00A01C64"/>
    <w:rsid w:val="00A02BCE"/>
    <w:rsid w:val="00A02DD0"/>
    <w:rsid w:val="00A03D42"/>
    <w:rsid w:val="00A042EF"/>
    <w:rsid w:val="00A04D5E"/>
    <w:rsid w:val="00A05809"/>
    <w:rsid w:val="00A05A86"/>
    <w:rsid w:val="00A06755"/>
    <w:rsid w:val="00A07104"/>
    <w:rsid w:val="00A07756"/>
    <w:rsid w:val="00A0792F"/>
    <w:rsid w:val="00A1049C"/>
    <w:rsid w:val="00A1052E"/>
    <w:rsid w:val="00A10684"/>
    <w:rsid w:val="00A1071B"/>
    <w:rsid w:val="00A10BAF"/>
    <w:rsid w:val="00A11112"/>
    <w:rsid w:val="00A11131"/>
    <w:rsid w:val="00A1246F"/>
    <w:rsid w:val="00A124E8"/>
    <w:rsid w:val="00A12936"/>
    <w:rsid w:val="00A134B6"/>
    <w:rsid w:val="00A139CE"/>
    <w:rsid w:val="00A146B4"/>
    <w:rsid w:val="00A14BC2"/>
    <w:rsid w:val="00A15603"/>
    <w:rsid w:val="00A15F3D"/>
    <w:rsid w:val="00A15FDC"/>
    <w:rsid w:val="00A16322"/>
    <w:rsid w:val="00A1633F"/>
    <w:rsid w:val="00A164C4"/>
    <w:rsid w:val="00A16AAA"/>
    <w:rsid w:val="00A16B8C"/>
    <w:rsid w:val="00A16DBD"/>
    <w:rsid w:val="00A17348"/>
    <w:rsid w:val="00A17CC6"/>
    <w:rsid w:val="00A20C2D"/>
    <w:rsid w:val="00A21796"/>
    <w:rsid w:val="00A229FD"/>
    <w:rsid w:val="00A22BB8"/>
    <w:rsid w:val="00A239B7"/>
    <w:rsid w:val="00A23BC2"/>
    <w:rsid w:val="00A23EF9"/>
    <w:rsid w:val="00A24371"/>
    <w:rsid w:val="00A25045"/>
    <w:rsid w:val="00A252B3"/>
    <w:rsid w:val="00A25BC6"/>
    <w:rsid w:val="00A26593"/>
    <w:rsid w:val="00A272EB"/>
    <w:rsid w:val="00A2794C"/>
    <w:rsid w:val="00A30294"/>
    <w:rsid w:val="00A302F8"/>
    <w:rsid w:val="00A305F1"/>
    <w:rsid w:val="00A30B6B"/>
    <w:rsid w:val="00A30B9C"/>
    <w:rsid w:val="00A30EE7"/>
    <w:rsid w:val="00A30F75"/>
    <w:rsid w:val="00A31131"/>
    <w:rsid w:val="00A312EA"/>
    <w:rsid w:val="00A3229A"/>
    <w:rsid w:val="00A32C76"/>
    <w:rsid w:val="00A331E8"/>
    <w:rsid w:val="00A33810"/>
    <w:rsid w:val="00A33D67"/>
    <w:rsid w:val="00A343FB"/>
    <w:rsid w:val="00A34A83"/>
    <w:rsid w:val="00A35502"/>
    <w:rsid w:val="00A35E66"/>
    <w:rsid w:val="00A35F80"/>
    <w:rsid w:val="00A3672F"/>
    <w:rsid w:val="00A36BAC"/>
    <w:rsid w:val="00A36CB4"/>
    <w:rsid w:val="00A36D53"/>
    <w:rsid w:val="00A37633"/>
    <w:rsid w:val="00A376DC"/>
    <w:rsid w:val="00A37880"/>
    <w:rsid w:val="00A37F99"/>
    <w:rsid w:val="00A40126"/>
    <w:rsid w:val="00A40829"/>
    <w:rsid w:val="00A41678"/>
    <w:rsid w:val="00A417DE"/>
    <w:rsid w:val="00A41AAB"/>
    <w:rsid w:val="00A42D99"/>
    <w:rsid w:val="00A43DF9"/>
    <w:rsid w:val="00A44838"/>
    <w:rsid w:val="00A4494A"/>
    <w:rsid w:val="00A44BDB"/>
    <w:rsid w:val="00A44FD2"/>
    <w:rsid w:val="00A458A2"/>
    <w:rsid w:val="00A45A04"/>
    <w:rsid w:val="00A46692"/>
    <w:rsid w:val="00A47526"/>
    <w:rsid w:val="00A47787"/>
    <w:rsid w:val="00A47ECB"/>
    <w:rsid w:val="00A47F44"/>
    <w:rsid w:val="00A51020"/>
    <w:rsid w:val="00A51876"/>
    <w:rsid w:val="00A51A3E"/>
    <w:rsid w:val="00A521EF"/>
    <w:rsid w:val="00A529F7"/>
    <w:rsid w:val="00A52CA5"/>
    <w:rsid w:val="00A52EF3"/>
    <w:rsid w:val="00A53010"/>
    <w:rsid w:val="00A542E5"/>
    <w:rsid w:val="00A5540E"/>
    <w:rsid w:val="00A55866"/>
    <w:rsid w:val="00A5592C"/>
    <w:rsid w:val="00A55F22"/>
    <w:rsid w:val="00A5609E"/>
    <w:rsid w:val="00A56513"/>
    <w:rsid w:val="00A568BD"/>
    <w:rsid w:val="00A570CB"/>
    <w:rsid w:val="00A60156"/>
    <w:rsid w:val="00A61144"/>
    <w:rsid w:val="00A619DD"/>
    <w:rsid w:val="00A62327"/>
    <w:rsid w:val="00A646C0"/>
    <w:rsid w:val="00A64750"/>
    <w:rsid w:val="00A64C48"/>
    <w:rsid w:val="00A65F73"/>
    <w:rsid w:val="00A65FD1"/>
    <w:rsid w:val="00A6606B"/>
    <w:rsid w:val="00A66A31"/>
    <w:rsid w:val="00A67900"/>
    <w:rsid w:val="00A70251"/>
    <w:rsid w:val="00A703B3"/>
    <w:rsid w:val="00A70850"/>
    <w:rsid w:val="00A71310"/>
    <w:rsid w:val="00A71A7F"/>
    <w:rsid w:val="00A71C5E"/>
    <w:rsid w:val="00A72058"/>
    <w:rsid w:val="00A72570"/>
    <w:rsid w:val="00A72663"/>
    <w:rsid w:val="00A72B0B"/>
    <w:rsid w:val="00A73B24"/>
    <w:rsid w:val="00A746CF"/>
    <w:rsid w:val="00A74D66"/>
    <w:rsid w:val="00A74DFE"/>
    <w:rsid w:val="00A7560E"/>
    <w:rsid w:val="00A758E1"/>
    <w:rsid w:val="00A75969"/>
    <w:rsid w:val="00A76A2D"/>
    <w:rsid w:val="00A76DC5"/>
    <w:rsid w:val="00A77CE1"/>
    <w:rsid w:val="00A81424"/>
    <w:rsid w:val="00A82444"/>
    <w:rsid w:val="00A825A6"/>
    <w:rsid w:val="00A828F2"/>
    <w:rsid w:val="00A82CE1"/>
    <w:rsid w:val="00A83981"/>
    <w:rsid w:val="00A83CA3"/>
    <w:rsid w:val="00A84268"/>
    <w:rsid w:val="00A84A8C"/>
    <w:rsid w:val="00A84F9D"/>
    <w:rsid w:val="00A855CF"/>
    <w:rsid w:val="00A86456"/>
    <w:rsid w:val="00A86CD3"/>
    <w:rsid w:val="00A86D23"/>
    <w:rsid w:val="00A87B5E"/>
    <w:rsid w:val="00A909C9"/>
    <w:rsid w:val="00A90C7B"/>
    <w:rsid w:val="00A9255C"/>
    <w:rsid w:val="00A92984"/>
    <w:rsid w:val="00A92A5B"/>
    <w:rsid w:val="00A92A9D"/>
    <w:rsid w:val="00A92C60"/>
    <w:rsid w:val="00A92E52"/>
    <w:rsid w:val="00A930AA"/>
    <w:rsid w:val="00A93200"/>
    <w:rsid w:val="00A93758"/>
    <w:rsid w:val="00A948D4"/>
    <w:rsid w:val="00A95842"/>
    <w:rsid w:val="00A95AF9"/>
    <w:rsid w:val="00A9626D"/>
    <w:rsid w:val="00A966B3"/>
    <w:rsid w:val="00A96FA6"/>
    <w:rsid w:val="00A97398"/>
    <w:rsid w:val="00A97659"/>
    <w:rsid w:val="00A9765A"/>
    <w:rsid w:val="00A97DFE"/>
    <w:rsid w:val="00AA0108"/>
    <w:rsid w:val="00AA05E6"/>
    <w:rsid w:val="00AA0B9F"/>
    <w:rsid w:val="00AA196D"/>
    <w:rsid w:val="00AA197D"/>
    <w:rsid w:val="00AA1E16"/>
    <w:rsid w:val="00AA2629"/>
    <w:rsid w:val="00AA2E0A"/>
    <w:rsid w:val="00AA3561"/>
    <w:rsid w:val="00AA38E1"/>
    <w:rsid w:val="00AA3C43"/>
    <w:rsid w:val="00AA3CD7"/>
    <w:rsid w:val="00AA4365"/>
    <w:rsid w:val="00AA43DC"/>
    <w:rsid w:val="00AA5439"/>
    <w:rsid w:val="00AA597D"/>
    <w:rsid w:val="00AA5DCD"/>
    <w:rsid w:val="00AA6489"/>
    <w:rsid w:val="00AA6B01"/>
    <w:rsid w:val="00AA6CA1"/>
    <w:rsid w:val="00AA7071"/>
    <w:rsid w:val="00AA75FF"/>
    <w:rsid w:val="00AA7940"/>
    <w:rsid w:val="00AB039C"/>
    <w:rsid w:val="00AB0A50"/>
    <w:rsid w:val="00AB0F62"/>
    <w:rsid w:val="00AB101E"/>
    <w:rsid w:val="00AB2277"/>
    <w:rsid w:val="00AB28C1"/>
    <w:rsid w:val="00AB335E"/>
    <w:rsid w:val="00AB3C3E"/>
    <w:rsid w:val="00AB4121"/>
    <w:rsid w:val="00AB4495"/>
    <w:rsid w:val="00AB453E"/>
    <w:rsid w:val="00AB5679"/>
    <w:rsid w:val="00AB58EC"/>
    <w:rsid w:val="00AB6E38"/>
    <w:rsid w:val="00AB7BF7"/>
    <w:rsid w:val="00AC040D"/>
    <w:rsid w:val="00AC1988"/>
    <w:rsid w:val="00AC1E61"/>
    <w:rsid w:val="00AC2A28"/>
    <w:rsid w:val="00AC2FCA"/>
    <w:rsid w:val="00AC2FE7"/>
    <w:rsid w:val="00AC3153"/>
    <w:rsid w:val="00AC3368"/>
    <w:rsid w:val="00AC3BC5"/>
    <w:rsid w:val="00AC423E"/>
    <w:rsid w:val="00AC48C7"/>
    <w:rsid w:val="00AC4AB3"/>
    <w:rsid w:val="00AC5529"/>
    <w:rsid w:val="00AC57CA"/>
    <w:rsid w:val="00AC5B3F"/>
    <w:rsid w:val="00AC5C0A"/>
    <w:rsid w:val="00AC6101"/>
    <w:rsid w:val="00AC639C"/>
    <w:rsid w:val="00AC6618"/>
    <w:rsid w:val="00AC6D3B"/>
    <w:rsid w:val="00AC6F12"/>
    <w:rsid w:val="00AC773C"/>
    <w:rsid w:val="00AC7CD1"/>
    <w:rsid w:val="00AC7DE3"/>
    <w:rsid w:val="00AD02EF"/>
    <w:rsid w:val="00AD0FBF"/>
    <w:rsid w:val="00AD19B9"/>
    <w:rsid w:val="00AD1E51"/>
    <w:rsid w:val="00AD2282"/>
    <w:rsid w:val="00AD268F"/>
    <w:rsid w:val="00AD30A3"/>
    <w:rsid w:val="00AD3171"/>
    <w:rsid w:val="00AD39EE"/>
    <w:rsid w:val="00AD4C1E"/>
    <w:rsid w:val="00AD57F7"/>
    <w:rsid w:val="00AD5E3C"/>
    <w:rsid w:val="00AD75EA"/>
    <w:rsid w:val="00AD76C9"/>
    <w:rsid w:val="00AD7E81"/>
    <w:rsid w:val="00AE0B69"/>
    <w:rsid w:val="00AE105D"/>
    <w:rsid w:val="00AE13AA"/>
    <w:rsid w:val="00AE17B2"/>
    <w:rsid w:val="00AE19EF"/>
    <w:rsid w:val="00AE1E71"/>
    <w:rsid w:val="00AE2795"/>
    <w:rsid w:val="00AE3413"/>
    <w:rsid w:val="00AE38AD"/>
    <w:rsid w:val="00AE3C86"/>
    <w:rsid w:val="00AE3E4A"/>
    <w:rsid w:val="00AE3EB5"/>
    <w:rsid w:val="00AE41C5"/>
    <w:rsid w:val="00AE530B"/>
    <w:rsid w:val="00AE5D29"/>
    <w:rsid w:val="00AE637F"/>
    <w:rsid w:val="00AE63AA"/>
    <w:rsid w:val="00AE66A7"/>
    <w:rsid w:val="00AE6C86"/>
    <w:rsid w:val="00AE7247"/>
    <w:rsid w:val="00AE743B"/>
    <w:rsid w:val="00AF02FA"/>
    <w:rsid w:val="00AF057D"/>
    <w:rsid w:val="00AF12E9"/>
    <w:rsid w:val="00AF1320"/>
    <w:rsid w:val="00AF19E5"/>
    <w:rsid w:val="00AF1E74"/>
    <w:rsid w:val="00AF20FD"/>
    <w:rsid w:val="00AF270A"/>
    <w:rsid w:val="00AF2941"/>
    <w:rsid w:val="00AF31D5"/>
    <w:rsid w:val="00AF3242"/>
    <w:rsid w:val="00AF3A35"/>
    <w:rsid w:val="00AF3A80"/>
    <w:rsid w:val="00AF4101"/>
    <w:rsid w:val="00AF42CB"/>
    <w:rsid w:val="00AF43AC"/>
    <w:rsid w:val="00AF4D96"/>
    <w:rsid w:val="00AF5288"/>
    <w:rsid w:val="00AF5578"/>
    <w:rsid w:val="00AF5C2A"/>
    <w:rsid w:val="00AF616C"/>
    <w:rsid w:val="00AF6341"/>
    <w:rsid w:val="00AF6BD9"/>
    <w:rsid w:val="00AF74F4"/>
    <w:rsid w:val="00AF7951"/>
    <w:rsid w:val="00B0090A"/>
    <w:rsid w:val="00B009FA"/>
    <w:rsid w:val="00B00E2C"/>
    <w:rsid w:val="00B0121E"/>
    <w:rsid w:val="00B0205A"/>
    <w:rsid w:val="00B020D9"/>
    <w:rsid w:val="00B0247D"/>
    <w:rsid w:val="00B02C68"/>
    <w:rsid w:val="00B02CE9"/>
    <w:rsid w:val="00B02D4C"/>
    <w:rsid w:val="00B03CA7"/>
    <w:rsid w:val="00B04CA9"/>
    <w:rsid w:val="00B051A5"/>
    <w:rsid w:val="00B0633A"/>
    <w:rsid w:val="00B0679A"/>
    <w:rsid w:val="00B068AD"/>
    <w:rsid w:val="00B068E2"/>
    <w:rsid w:val="00B10185"/>
    <w:rsid w:val="00B11457"/>
    <w:rsid w:val="00B11AF4"/>
    <w:rsid w:val="00B127BA"/>
    <w:rsid w:val="00B12B0D"/>
    <w:rsid w:val="00B12EAE"/>
    <w:rsid w:val="00B12FC2"/>
    <w:rsid w:val="00B13118"/>
    <w:rsid w:val="00B13680"/>
    <w:rsid w:val="00B13CFB"/>
    <w:rsid w:val="00B13F37"/>
    <w:rsid w:val="00B1482D"/>
    <w:rsid w:val="00B14EF8"/>
    <w:rsid w:val="00B1502D"/>
    <w:rsid w:val="00B151F2"/>
    <w:rsid w:val="00B1585F"/>
    <w:rsid w:val="00B158B4"/>
    <w:rsid w:val="00B15C32"/>
    <w:rsid w:val="00B15D04"/>
    <w:rsid w:val="00B17102"/>
    <w:rsid w:val="00B17223"/>
    <w:rsid w:val="00B172EB"/>
    <w:rsid w:val="00B174C8"/>
    <w:rsid w:val="00B20CBE"/>
    <w:rsid w:val="00B21082"/>
    <w:rsid w:val="00B21376"/>
    <w:rsid w:val="00B21CDB"/>
    <w:rsid w:val="00B22FDE"/>
    <w:rsid w:val="00B2307F"/>
    <w:rsid w:val="00B236C7"/>
    <w:rsid w:val="00B23813"/>
    <w:rsid w:val="00B23B09"/>
    <w:rsid w:val="00B2436F"/>
    <w:rsid w:val="00B25487"/>
    <w:rsid w:val="00B25BAC"/>
    <w:rsid w:val="00B26258"/>
    <w:rsid w:val="00B2749B"/>
    <w:rsid w:val="00B27857"/>
    <w:rsid w:val="00B27B16"/>
    <w:rsid w:val="00B27D21"/>
    <w:rsid w:val="00B27F6B"/>
    <w:rsid w:val="00B30A67"/>
    <w:rsid w:val="00B30B3D"/>
    <w:rsid w:val="00B30D0B"/>
    <w:rsid w:val="00B3164E"/>
    <w:rsid w:val="00B3181D"/>
    <w:rsid w:val="00B32657"/>
    <w:rsid w:val="00B3296C"/>
    <w:rsid w:val="00B3329C"/>
    <w:rsid w:val="00B33F31"/>
    <w:rsid w:val="00B34470"/>
    <w:rsid w:val="00B34C62"/>
    <w:rsid w:val="00B34D12"/>
    <w:rsid w:val="00B351E5"/>
    <w:rsid w:val="00B35F93"/>
    <w:rsid w:val="00B36989"/>
    <w:rsid w:val="00B372D4"/>
    <w:rsid w:val="00B37A89"/>
    <w:rsid w:val="00B37B30"/>
    <w:rsid w:val="00B37FD4"/>
    <w:rsid w:val="00B409A2"/>
    <w:rsid w:val="00B41270"/>
    <w:rsid w:val="00B4132C"/>
    <w:rsid w:val="00B4172E"/>
    <w:rsid w:val="00B420B7"/>
    <w:rsid w:val="00B424AF"/>
    <w:rsid w:val="00B42653"/>
    <w:rsid w:val="00B426B7"/>
    <w:rsid w:val="00B428EA"/>
    <w:rsid w:val="00B43169"/>
    <w:rsid w:val="00B43240"/>
    <w:rsid w:val="00B4406B"/>
    <w:rsid w:val="00B44676"/>
    <w:rsid w:val="00B44EFC"/>
    <w:rsid w:val="00B4509C"/>
    <w:rsid w:val="00B452F3"/>
    <w:rsid w:val="00B458C4"/>
    <w:rsid w:val="00B469F7"/>
    <w:rsid w:val="00B46CCF"/>
    <w:rsid w:val="00B478BF"/>
    <w:rsid w:val="00B50C00"/>
    <w:rsid w:val="00B50DAF"/>
    <w:rsid w:val="00B50DFE"/>
    <w:rsid w:val="00B5104F"/>
    <w:rsid w:val="00B511C8"/>
    <w:rsid w:val="00B5121A"/>
    <w:rsid w:val="00B51327"/>
    <w:rsid w:val="00B515E3"/>
    <w:rsid w:val="00B5306C"/>
    <w:rsid w:val="00B5323E"/>
    <w:rsid w:val="00B54295"/>
    <w:rsid w:val="00B552F4"/>
    <w:rsid w:val="00B556FA"/>
    <w:rsid w:val="00B55EC3"/>
    <w:rsid w:val="00B567B0"/>
    <w:rsid w:val="00B56845"/>
    <w:rsid w:val="00B56A87"/>
    <w:rsid w:val="00B56F83"/>
    <w:rsid w:val="00B607EA"/>
    <w:rsid w:val="00B60D33"/>
    <w:rsid w:val="00B6155D"/>
    <w:rsid w:val="00B6195A"/>
    <w:rsid w:val="00B62290"/>
    <w:rsid w:val="00B62BB8"/>
    <w:rsid w:val="00B62C0B"/>
    <w:rsid w:val="00B62F45"/>
    <w:rsid w:val="00B63C9D"/>
    <w:rsid w:val="00B63E7C"/>
    <w:rsid w:val="00B6526A"/>
    <w:rsid w:val="00B65724"/>
    <w:rsid w:val="00B65888"/>
    <w:rsid w:val="00B6634A"/>
    <w:rsid w:val="00B66FF6"/>
    <w:rsid w:val="00B672BA"/>
    <w:rsid w:val="00B67386"/>
    <w:rsid w:val="00B67CA1"/>
    <w:rsid w:val="00B70CB3"/>
    <w:rsid w:val="00B71CC1"/>
    <w:rsid w:val="00B71F21"/>
    <w:rsid w:val="00B725EF"/>
    <w:rsid w:val="00B7302D"/>
    <w:rsid w:val="00B737D2"/>
    <w:rsid w:val="00B73A61"/>
    <w:rsid w:val="00B741EF"/>
    <w:rsid w:val="00B74753"/>
    <w:rsid w:val="00B749D5"/>
    <w:rsid w:val="00B74D51"/>
    <w:rsid w:val="00B75683"/>
    <w:rsid w:val="00B75923"/>
    <w:rsid w:val="00B76351"/>
    <w:rsid w:val="00B76F1D"/>
    <w:rsid w:val="00B77086"/>
    <w:rsid w:val="00B7797D"/>
    <w:rsid w:val="00B803F3"/>
    <w:rsid w:val="00B81117"/>
    <w:rsid w:val="00B81F3E"/>
    <w:rsid w:val="00B82DCE"/>
    <w:rsid w:val="00B83679"/>
    <w:rsid w:val="00B84118"/>
    <w:rsid w:val="00B84350"/>
    <w:rsid w:val="00B84D8A"/>
    <w:rsid w:val="00B84E7F"/>
    <w:rsid w:val="00B873E1"/>
    <w:rsid w:val="00B90699"/>
    <w:rsid w:val="00B90755"/>
    <w:rsid w:val="00B908A1"/>
    <w:rsid w:val="00B90F90"/>
    <w:rsid w:val="00B922C2"/>
    <w:rsid w:val="00B92791"/>
    <w:rsid w:val="00B92F36"/>
    <w:rsid w:val="00B9357D"/>
    <w:rsid w:val="00B94B60"/>
    <w:rsid w:val="00B95779"/>
    <w:rsid w:val="00B96451"/>
    <w:rsid w:val="00B96573"/>
    <w:rsid w:val="00B96B64"/>
    <w:rsid w:val="00B96F98"/>
    <w:rsid w:val="00B97107"/>
    <w:rsid w:val="00B97178"/>
    <w:rsid w:val="00B97502"/>
    <w:rsid w:val="00B97831"/>
    <w:rsid w:val="00BA04C2"/>
    <w:rsid w:val="00BA089E"/>
    <w:rsid w:val="00BA0BE8"/>
    <w:rsid w:val="00BA1EDD"/>
    <w:rsid w:val="00BA3713"/>
    <w:rsid w:val="00BA6707"/>
    <w:rsid w:val="00BA6A91"/>
    <w:rsid w:val="00BA707C"/>
    <w:rsid w:val="00BA7361"/>
    <w:rsid w:val="00BA7A67"/>
    <w:rsid w:val="00BA7B33"/>
    <w:rsid w:val="00BB019B"/>
    <w:rsid w:val="00BB096F"/>
    <w:rsid w:val="00BB0B60"/>
    <w:rsid w:val="00BB0C3D"/>
    <w:rsid w:val="00BB11C5"/>
    <w:rsid w:val="00BB1B03"/>
    <w:rsid w:val="00BB210F"/>
    <w:rsid w:val="00BB21B3"/>
    <w:rsid w:val="00BB2295"/>
    <w:rsid w:val="00BB246B"/>
    <w:rsid w:val="00BB278B"/>
    <w:rsid w:val="00BB329F"/>
    <w:rsid w:val="00BB4F34"/>
    <w:rsid w:val="00BB53E6"/>
    <w:rsid w:val="00BB6713"/>
    <w:rsid w:val="00BB75ED"/>
    <w:rsid w:val="00BB7998"/>
    <w:rsid w:val="00BC0756"/>
    <w:rsid w:val="00BC0B24"/>
    <w:rsid w:val="00BC0F01"/>
    <w:rsid w:val="00BC0F2B"/>
    <w:rsid w:val="00BC1BEF"/>
    <w:rsid w:val="00BC2EB5"/>
    <w:rsid w:val="00BC30EB"/>
    <w:rsid w:val="00BC339D"/>
    <w:rsid w:val="00BC38C0"/>
    <w:rsid w:val="00BC4AE9"/>
    <w:rsid w:val="00BC518A"/>
    <w:rsid w:val="00BC57D6"/>
    <w:rsid w:val="00BC5ADF"/>
    <w:rsid w:val="00BC5B45"/>
    <w:rsid w:val="00BC5D2A"/>
    <w:rsid w:val="00BC6048"/>
    <w:rsid w:val="00BC6110"/>
    <w:rsid w:val="00BC77E9"/>
    <w:rsid w:val="00BD06DA"/>
    <w:rsid w:val="00BD0932"/>
    <w:rsid w:val="00BD1806"/>
    <w:rsid w:val="00BD19A4"/>
    <w:rsid w:val="00BD19C4"/>
    <w:rsid w:val="00BD2672"/>
    <w:rsid w:val="00BD2C5A"/>
    <w:rsid w:val="00BD3BB6"/>
    <w:rsid w:val="00BD424C"/>
    <w:rsid w:val="00BD46EB"/>
    <w:rsid w:val="00BD491C"/>
    <w:rsid w:val="00BD558A"/>
    <w:rsid w:val="00BD689F"/>
    <w:rsid w:val="00BD6D2D"/>
    <w:rsid w:val="00BD78F6"/>
    <w:rsid w:val="00BE0C38"/>
    <w:rsid w:val="00BE0F7B"/>
    <w:rsid w:val="00BE1081"/>
    <w:rsid w:val="00BE2031"/>
    <w:rsid w:val="00BE2055"/>
    <w:rsid w:val="00BE2088"/>
    <w:rsid w:val="00BE2CDF"/>
    <w:rsid w:val="00BE532A"/>
    <w:rsid w:val="00BE60C7"/>
    <w:rsid w:val="00BE617C"/>
    <w:rsid w:val="00BE6226"/>
    <w:rsid w:val="00BE67DF"/>
    <w:rsid w:val="00BE6DC0"/>
    <w:rsid w:val="00BE6ED9"/>
    <w:rsid w:val="00BE702E"/>
    <w:rsid w:val="00BE72C7"/>
    <w:rsid w:val="00BE7B0C"/>
    <w:rsid w:val="00BF02C0"/>
    <w:rsid w:val="00BF0892"/>
    <w:rsid w:val="00BF0B7B"/>
    <w:rsid w:val="00BF0C48"/>
    <w:rsid w:val="00BF145E"/>
    <w:rsid w:val="00BF1714"/>
    <w:rsid w:val="00BF1B4B"/>
    <w:rsid w:val="00BF2720"/>
    <w:rsid w:val="00BF2B2B"/>
    <w:rsid w:val="00BF2F05"/>
    <w:rsid w:val="00BF3A04"/>
    <w:rsid w:val="00BF3D34"/>
    <w:rsid w:val="00BF49DE"/>
    <w:rsid w:val="00BF4A5D"/>
    <w:rsid w:val="00BF4FCE"/>
    <w:rsid w:val="00BF5202"/>
    <w:rsid w:val="00BF5849"/>
    <w:rsid w:val="00BF619F"/>
    <w:rsid w:val="00BF6711"/>
    <w:rsid w:val="00BF679F"/>
    <w:rsid w:val="00BF6915"/>
    <w:rsid w:val="00C005A3"/>
    <w:rsid w:val="00C00915"/>
    <w:rsid w:val="00C00B52"/>
    <w:rsid w:val="00C01376"/>
    <w:rsid w:val="00C01AD8"/>
    <w:rsid w:val="00C02004"/>
    <w:rsid w:val="00C02831"/>
    <w:rsid w:val="00C02ABF"/>
    <w:rsid w:val="00C02FCB"/>
    <w:rsid w:val="00C0329A"/>
    <w:rsid w:val="00C03907"/>
    <w:rsid w:val="00C04AA5"/>
    <w:rsid w:val="00C04D9F"/>
    <w:rsid w:val="00C05242"/>
    <w:rsid w:val="00C057CA"/>
    <w:rsid w:val="00C05AA8"/>
    <w:rsid w:val="00C05CC6"/>
    <w:rsid w:val="00C05F3E"/>
    <w:rsid w:val="00C072D8"/>
    <w:rsid w:val="00C07AE4"/>
    <w:rsid w:val="00C103EA"/>
    <w:rsid w:val="00C11292"/>
    <w:rsid w:val="00C121DE"/>
    <w:rsid w:val="00C12264"/>
    <w:rsid w:val="00C1592F"/>
    <w:rsid w:val="00C15EE0"/>
    <w:rsid w:val="00C16170"/>
    <w:rsid w:val="00C16258"/>
    <w:rsid w:val="00C167D5"/>
    <w:rsid w:val="00C16806"/>
    <w:rsid w:val="00C16B2F"/>
    <w:rsid w:val="00C17763"/>
    <w:rsid w:val="00C17CD2"/>
    <w:rsid w:val="00C22661"/>
    <w:rsid w:val="00C22A46"/>
    <w:rsid w:val="00C22AAD"/>
    <w:rsid w:val="00C22AC7"/>
    <w:rsid w:val="00C2353D"/>
    <w:rsid w:val="00C23B06"/>
    <w:rsid w:val="00C23C22"/>
    <w:rsid w:val="00C23D79"/>
    <w:rsid w:val="00C24370"/>
    <w:rsid w:val="00C2461E"/>
    <w:rsid w:val="00C248AE"/>
    <w:rsid w:val="00C24F35"/>
    <w:rsid w:val="00C25B63"/>
    <w:rsid w:val="00C25BBC"/>
    <w:rsid w:val="00C25FB8"/>
    <w:rsid w:val="00C263D3"/>
    <w:rsid w:val="00C26F49"/>
    <w:rsid w:val="00C2713F"/>
    <w:rsid w:val="00C277A1"/>
    <w:rsid w:val="00C2781E"/>
    <w:rsid w:val="00C3036C"/>
    <w:rsid w:val="00C30450"/>
    <w:rsid w:val="00C304A1"/>
    <w:rsid w:val="00C3129E"/>
    <w:rsid w:val="00C31940"/>
    <w:rsid w:val="00C32AFE"/>
    <w:rsid w:val="00C32D7C"/>
    <w:rsid w:val="00C3359A"/>
    <w:rsid w:val="00C336BF"/>
    <w:rsid w:val="00C34073"/>
    <w:rsid w:val="00C35A11"/>
    <w:rsid w:val="00C364C7"/>
    <w:rsid w:val="00C3667E"/>
    <w:rsid w:val="00C37181"/>
    <w:rsid w:val="00C4023C"/>
    <w:rsid w:val="00C41C00"/>
    <w:rsid w:val="00C42E73"/>
    <w:rsid w:val="00C431A5"/>
    <w:rsid w:val="00C4375E"/>
    <w:rsid w:val="00C44F58"/>
    <w:rsid w:val="00C45E0B"/>
    <w:rsid w:val="00C460CB"/>
    <w:rsid w:val="00C462BF"/>
    <w:rsid w:val="00C468DB"/>
    <w:rsid w:val="00C47AE8"/>
    <w:rsid w:val="00C47FF8"/>
    <w:rsid w:val="00C47FF9"/>
    <w:rsid w:val="00C503DD"/>
    <w:rsid w:val="00C53289"/>
    <w:rsid w:val="00C542C5"/>
    <w:rsid w:val="00C54902"/>
    <w:rsid w:val="00C54DA8"/>
    <w:rsid w:val="00C5502F"/>
    <w:rsid w:val="00C55440"/>
    <w:rsid w:val="00C55605"/>
    <w:rsid w:val="00C55F43"/>
    <w:rsid w:val="00C57554"/>
    <w:rsid w:val="00C57778"/>
    <w:rsid w:val="00C60382"/>
    <w:rsid w:val="00C611A6"/>
    <w:rsid w:val="00C6151E"/>
    <w:rsid w:val="00C61AC9"/>
    <w:rsid w:val="00C61D45"/>
    <w:rsid w:val="00C620FE"/>
    <w:rsid w:val="00C62634"/>
    <w:rsid w:val="00C62B9B"/>
    <w:rsid w:val="00C63902"/>
    <w:rsid w:val="00C63A89"/>
    <w:rsid w:val="00C64B73"/>
    <w:rsid w:val="00C65877"/>
    <w:rsid w:val="00C66D99"/>
    <w:rsid w:val="00C670EF"/>
    <w:rsid w:val="00C701DB"/>
    <w:rsid w:val="00C702DC"/>
    <w:rsid w:val="00C70621"/>
    <w:rsid w:val="00C70888"/>
    <w:rsid w:val="00C70B2B"/>
    <w:rsid w:val="00C70C2D"/>
    <w:rsid w:val="00C70D1D"/>
    <w:rsid w:val="00C71EE8"/>
    <w:rsid w:val="00C722FD"/>
    <w:rsid w:val="00C728B9"/>
    <w:rsid w:val="00C74A75"/>
    <w:rsid w:val="00C74B11"/>
    <w:rsid w:val="00C752F3"/>
    <w:rsid w:val="00C75378"/>
    <w:rsid w:val="00C756DE"/>
    <w:rsid w:val="00C76A55"/>
    <w:rsid w:val="00C7760A"/>
    <w:rsid w:val="00C77AA9"/>
    <w:rsid w:val="00C77AD6"/>
    <w:rsid w:val="00C802CD"/>
    <w:rsid w:val="00C80476"/>
    <w:rsid w:val="00C804FA"/>
    <w:rsid w:val="00C80AE6"/>
    <w:rsid w:val="00C80FB8"/>
    <w:rsid w:val="00C824F8"/>
    <w:rsid w:val="00C83039"/>
    <w:rsid w:val="00C83D5D"/>
    <w:rsid w:val="00C860A8"/>
    <w:rsid w:val="00C861A7"/>
    <w:rsid w:val="00C863E7"/>
    <w:rsid w:val="00C87A9D"/>
    <w:rsid w:val="00C90E21"/>
    <w:rsid w:val="00C9132D"/>
    <w:rsid w:val="00C9152C"/>
    <w:rsid w:val="00C92629"/>
    <w:rsid w:val="00C93372"/>
    <w:rsid w:val="00C933F8"/>
    <w:rsid w:val="00C943D7"/>
    <w:rsid w:val="00C94536"/>
    <w:rsid w:val="00C949F5"/>
    <w:rsid w:val="00C94AD6"/>
    <w:rsid w:val="00C9534C"/>
    <w:rsid w:val="00C95AFD"/>
    <w:rsid w:val="00C9642C"/>
    <w:rsid w:val="00C979EB"/>
    <w:rsid w:val="00CA0273"/>
    <w:rsid w:val="00CA1118"/>
    <w:rsid w:val="00CA1437"/>
    <w:rsid w:val="00CA18BF"/>
    <w:rsid w:val="00CA1B31"/>
    <w:rsid w:val="00CA32C4"/>
    <w:rsid w:val="00CA3354"/>
    <w:rsid w:val="00CA3A01"/>
    <w:rsid w:val="00CA4E5D"/>
    <w:rsid w:val="00CA55A1"/>
    <w:rsid w:val="00CA5C78"/>
    <w:rsid w:val="00CA6132"/>
    <w:rsid w:val="00CA6A69"/>
    <w:rsid w:val="00CA706D"/>
    <w:rsid w:val="00CA716B"/>
    <w:rsid w:val="00CA73D0"/>
    <w:rsid w:val="00CA7851"/>
    <w:rsid w:val="00CB01B6"/>
    <w:rsid w:val="00CB063C"/>
    <w:rsid w:val="00CB18F1"/>
    <w:rsid w:val="00CB3F23"/>
    <w:rsid w:val="00CB426A"/>
    <w:rsid w:val="00CB43D9"/>
    <w:rsid w:val="00CB4B56"/>
    <w:rsid w:val="00CB4C94"/>
    <w:rsid w:val="00CB511B"/>
    <w:rsid w:val="00CB5D58"/>
    <w:rsid w:val="00CB625F"/>
    <w:rsid w:val="00CB64F6"/>
    <w:rsid w:val="00CB6807"/>
    <w:rsid w:val="00CB6E49"/>
    <w:rsid w:val="00CB761F"/>
    <w:rsid w:val="00CC0A3E"/>
    <w:rsid w:val="00CC146C"/>
    <w:rsid w:val="00CC155B"/>
    <w:rsid w:val="00CC2A97"/>
    <w:rsid w:val="00CC2D6E"/>
    <w:rsid w:val="00CC34D5"/>
    <w:rsid w:val="00CC3A7C"/>
    <w:rsid w:val="00CC3DC8"/>
    <w:rsid w:val="00CC41A1"/>
    <w:rsid w:val="00CC4C85"/>
    <w:rsid w:val="00CC5087"/>
    <w:rsid w:val="00CC5241"/>
    <w:rsid w:val="00CC533C"/>
    <w:rsid w:val="00CC6329"/>
    <w:rsid w:val="00CC6643"/>
    <w:rsid w:val="00CC71A5"/>
    <w:rsid w:val="00CC75AF"/>
    <w:rsid w:val="00CC7972"/>
    <w:rsid w:val="00CC7B37"/>
    <w:rsid w:val="00CC7BFE"/>
    <w:rsid w:val="00CD12B2"/>
    <w:rsid w:val="00CD245F"/>
    <w:rsid w:val="00CD2DA7"/>
    <w:rsid w:val="00CD2E40"/>
    <w:rsid w:val="00CD4D2D"/>
    <w:rsid w:val="00CD5077"/>
    <w:rsid w:val="00CD5333"/>
    <w:rsid w:val="00CD5EBE"/>
    <w:rsid w:val="00CD66EE"/>
    <w:rsid w:val="00CD68BA"/>
    <w:rsid w:val="00CD6AAE"/>
    <w:rsid w:val="00CD7666"/>
    <w:rsid w:val="00CD7741"/>
    <w:rsid w:val="00CD79E6"/>
    <w:rsid w:val="00CD7D21"/>
    <w:rsid w:val="00CD7E1C"/>
    <w:rsid w:val="00CE01F0"/>
    <w:rsid w:val="00CE1666"/>
    <w:rsid w:val="00CE1CF3"/>
    <w:rsid w:val="00CE1F3A"/>
    <w:rsid w:val="00CE2B4D"/>
    <w:rsid w:val="00CE476F"/>
    <w:rsid w:val="00CE4881"/>
    <w:rsid w:val="00CE4A5D"/>
    <w:rsid w:val="00CE5C7E"/>
    <w:rsid w:val="00CE633D"/>
    <w:rsid w:val="00CF06FC"/>
    <w:rsid w:val="00CF1AB3"/>
    <w:rsid w:val="00CF2865"/>
    <w:rsid w:val="00CF2B87"/>
    <w:rsid w:val="00CF2CD3"/>
    <w:rsid w:val="00CF4398"/>
    <w:rsid w:val="00CF4980"/>
    <w:rsid w:val="00CF4B0A"/>
    <w:rsid w:val="00CF4B78"/>
    <w:rsid w:val="00CF4F72"/>
    <w:rsid w:val="00CF5D64"/>
    <w:rsid w:val="00CF7172"/>
    <w:rsid w:val="00CF7466"/>
    <w:rsid w:val="00CF7740"/>
    <w:rsid w:val="00CF77B4"/>
    <w:rsid w:val="00D00CD3"/>
    <w:rsid w:val="00D00EFB"/>
    <w:rsid w:val="00D017B8"/>
    <w:rsid w:val="00D01948"/>
    <w:rsid w:val="00D02E9B"/>
    <w:rsid w:val="00D0340E"/>
    <w:rsid w:val="00D03778"/>
    <w:rsid w:val="00D037E3"/>
    <w:rsid w:val="00D03BFA"/>
    <w:rsid w:val="00D0451F"/>
    <w:rsid w:val="00D04A4B"/>
    <w:rsid w:val="00D04D11"/>
    <w:rsid w:val="00D05042"/>
    <w:rsid w:val="00D05133"/>
    <w:rsid w:val="00D05746"/>
    <w:rsid w:val="00D06147"/>
    <w:rsid w:val="00D066BB"/>
    <w:rsid w:val="00D06D75"/>
    <w:rsid w:val="00D07ADE"/>
    <w:rsid w:val="00D10088"/>
    <w:rsid w:val="00D10A65"/>
    <w:rsid w:val="00D1152A"/>
    <w:rsid w:val="00D125E1"/>
    <w:rsid w:val="00D131E4"/>
    <w:rsid w:val="00D14AFB"/>
    <w:rsid w:val="00D154D4"/>
    <w:rsid w:val="00D157C8"/>
    <w:rsid w:val="00D1588F"/>
    <w:rsid w:val="00D15B7C"/>
    <w:rsid w:val="00D15B97"/>
    <w:rsid w:val="00D15C51"/>
    <w:rsid w:val="00D174EE"/>
    <w:rsid w:val="00D1785D"/>
    <w:rsid w:val="00D17A60"/>
    <w:rsid w:val="00D17EFE"/>
    <w:rsid w:val="00D20084"/>
    <w:rsid w:val="00D20092"/>
    <w:rsid w:val="00D20176"/>
    <w:rsid w:val="00D20640"/>
    <w:rsid w:val="00D21208"/>
    <w:rsid w:val="00D21395"/>
    <w:rsid w:val="00D21978"/>
    <w:rsid w:val="00D21B05"/>
    <w:rsid w:val="00D2202C"/>
    <w:rsid w:val="00D225D5"/>
    <w:rsid w:val="00D226E6"/>
    <w:rsid w:val="00D23086"/>
    <w:rsid w:val="00D2346A"/>
    <w:rsid w:val="00D23BD2"/>
    <w:rsid w:val="00D24F34"/>
    <w:rsid w:val="00D26C3A"/>
    <w:rsid w:val="00D2720E"/>
    <w:rsid w:val="00D27596"/>
    <w:rsid w:val="00D31653"/>
    <w:rsid w:val="00D317A7"/>
    <w:rsid w:val="00D31CA9"/>
    <w:rsid w:val="00D32347"/>
    <w:rsid w:val="00D32454"/>
    <w:rsid w:val="00D329D7"/>
    <w:rsid w:val="00D32B71"/>
    <w:rsid w:val="00D331D4"/>
    <w:rsid w:val="00D3364D"/>
    <w:rsid w:val="00D33A6B"/>
    <w:rsid w:val="00D3427C"/>
    <w:rsid w:val="00D346CF"/>
    <w:rsid w:val="00D34AED"/>
    <w:rsid w:val="00D353B5"/>
    <w:rsid w:val="00D353C1"/>
    <w:rsid w:val="00D359AC"/>
    <w:rsid w:val="00D35EC0"/>
    <w:rsid w:val="00D36199"/>
    <w:rsid w:val="00D36851"/>
    <w:rsid w:val="00D37627"/>
    <w:rsid w:val="00D3775C"/>
    <w:rsid w:val="00D37F82"/>
    <w:rsid w:val="00D404FC"/>
    <w:rsid w:val="00D4078C"/>
    <w:rsid w:val="00D40876"/>
    <w:rsid w:val="00D410CC"/>
    <w:rsid w:val="00D417C5"/>
    <w:rsid w:val="00D42383"/>
    <w:rsid w:val="00D42700"/>
    <w:rsid w:val="00D42BAD"/>
    <w:rsid w:val="00D4352C"/>
    <w:rsid w:val="00D43D3B"/>
    <w:rsid w:val="00D43E0B"/>
    <w:rsid w:val="00D4419B"/>
    <w:rsid w:val="00D4482C"/>
    <w:rsid w:val="00D448B9"/>
    <w:rsid w:val="00D44E75"/>
    <w:rsid w:val="00D453C0"/>
    <w:rsid w:val="00D45969"/>
    <w:rsid w:val="00D45974"/>
    <w:rsid w:val="00D47351"/>
    <w:rsid w:val="00D47468"/>
    <w:rsid w:val="00D479E2"/>
    <w:rsid w:val="00D507C7"/>
    <w:rsid w:val="00D50B11"/>
    <w:rsid w:val="00D50D11"/>
    <w:rsid w:val="00D51475"/>
    <w:rsid w:val="00D51478"/>
    <w:rsid w:val="00D5153A"/>
    <w:rsid w:val="00D51563"/>
    <w:rsid w:val="00D51A1C"/>
    <w:rsid w:val="00D51D2B"/>
    <w:rsid w:val="00D52108"/>
    <w:rsid w:val="00D521DB"/>
    <w:rsid w:val="00D52227"/>
    <w:rsid w:val="00D531E2"/>
    <w:rsid w:val="00D53268"/>
    <w:rsid w:val="00D53767"/>
    <w:rsid w:val="00D53D41"/>
    <w:rsid w:val="00D53ED2"/>
    <w:rsid w:val="00D557AF"/>
    <w:rsid w:val="00D55806"/>
    <w:rsid w:val="00D558B6"/>
    <w:rsid w:val="00D565EF"/>
    <w:rsid w:val="00D5779D"/>
    <w:rsid w:val="00D603B0"/>
    <w:rsid w:val="00D6050D"/>
    <w:rsid w:val="00D610CE"/>
    <w:rsid w:val="00D61944"/>
    <w:rsid w:val="00D61DFB"/>
    <w:rsid w:val="00D61FBE"/>
    <w:rsid w:val="00D62974"/>
    <w:rsid w:val="00D63415"/>
    <w:rsid w:val="00D63520"/>
    <w:rsid w:val="00D63740"/>
    <w:rsid w:val="00D64241"/>
    <w:rsid w:val="00D645AB"/>
    <w:rsid w:val="00D64853"/>
    <w:rsid w:val="00D6490B"/>
    <w:rsid w:val="00D64C13"/>
    <w:rsid w:val="00D64CEA"/>
    <w:rsid w:val="00D651BA"/>
    <w:rsid w:val="00D65D07"/>
    <w:rsid w:val="00D65D1A"/>
    <w:rsid w:val="00D65D1D"/>
    <w:rsid w:val="00D674BC"/>
    <w:rsid w:val="00D67574"/>
    <w:rsid w:val="00D6757D"/>
    <w:rsid w:val="00D675BD"/>
    <w:rsid w:val="00D67B5D"/>
    <w:rsid w:val="00D67C50"/>
    <w:rsid w:val="00D70EEC"/>
    <w:rsid w:val="00D71016"/>
    <w:rsid w:val="00D71E8B"/>
    <w:rsid w:val="00D731E6"/>
    <w:rsid w:val="00D73423"/>
    <w:rsid w:val="00D73456"/>
    <w:rsid w:val="00D73918"/>
    <w:rsid w:val="00D73E89"/>
    <w:rsid w:val="00D73F87"/>
    <w:rsid w:val="00D740BC"/>
    <w:rsid w:val="00D747FB"/>
    <w:rsid w:val="00D76197"/>
    <w:rsid w:val="00D762EA"/>
    <w:rsid w:val="00D762F9"/>
    <w:rsid w:val="00D768DB"/>
    <w:rsid w:val="00D769D1"/>
    <w:rsid w:val="00D76B0B"/>
    <w:rsid w:val="00D77DDF"/>
    <w:rsid w:val="00D802E8"/>
    <w:rsid w:val="00D80416"/>
    <w:rsid w:val="00D8104E"/>
    <w:rsid w:val="00D819D3"/>
    <w:rsid w:val="00D82440"/>
    <w:rsid w:val="00D826FD"/>
    <w:rsid w:val="00D82818"/>
    <w:rsid w:val="00D8340F"/>
    <w:rsid w:val="00D83464"/>
    <w:rsid w:val="00D8626C"/>
    <w:rsid w:val="00D867E6"/>
    <w:rsid w:val="00D86F97"/>
    <w:rsid w:val="00D878B2"/>
    <w:rsid w:val="00D87928"/>
    <w:rsid w:val="00D90BD3"/>
    <w:rsid w:val="00D91E5C"/>
    <w:rsid w:val="00D92386"/>
    <w:rsid w:val="00D923A0"/>
    <w:rsid w:val="00D92443"/>
    <w:rsid w:val="00D925C3"/>
    <w:rsid w:val="00D92B62"/>
    <w:rsid w:val="00D92DE5"/>
    <w:rsid w:val="00D932C4"/>
    <w:rsid w:val="00D93698"/>
    <w:rsid w:val="00D939A1"/>
    <w:rsid w:val="00D94052"/>
    <w:rsid w:val="00D94224"/>
    <w:rsid w:val="00D94929"/>
    <w:rsid w:val="00D95435"/>
    <w:rsid w:val="00D965EB"/>
    <w:rsid w:val="00D9690B"/>
    <w:rsid w:val="00D9726A"/>
    <w:rsid w:val="00D975F4"/>
    <w:rsid w:val="00D9787E"/>
    <w:rsid w:val="00DA01B0"/>
    <w:rsid w:val="00DA17E1"/>
    <w:rsid w:val="00DA2934"/>
    <w:rsid w:val="00DA29AD"/>
    <w:rsid w:val="00DA33B8"/>
    <w:rsid w:val="00DA35B7"/>
    <w:rsid w:val="00DA3984"/>
    <w:rsid w:val="00DA486B"/>
    <w:rsid w:val="00DA4B31"/>
    <w:rsid w:val="00DA5150"/>
    <w:rsid w:val="00DA56A0"/>
    <w:rsid w:val="00DA5EE8"/>
    <w:rsid w:val="00DA67D1"/>
    <w:rsid w:val="00DA6A09"/>
    <w:rsid w:val="00DA6C50"/>
    <w:rsid w:val="00DA6DB1"/>
    <w:rsid w:val="00DA7284"/>
    <w:rsid w:val="00DA7424"/>
    <w:rsid w:val="00DA7C7C"/>
    <w:rsid w:val="00DB072D"/>
    <w:rsid w:val="00DB15A2"/>
    <w:rsid w:val="00DB1606"/>
    <w:rsid w:val="00DB18A8"/>
    <w:rsid w:val="00DB19E9"/>
    <w:rsid w:val="00DB1BAD"/>
    <w:rsid w:val="00DB1EF2"/>
    <w:rsid w:val="00DB210D"/>
    <w:rsid w:val="00DB218D"/>
    <w:rsid w:val="00DB24BB"/>
    <w:rsid w:val="00DB2820"/>
    <w:rsid w:val="00DB28E0"/>
    <w:rsid w:val="00DB2EF6"/>
    <w:rsid w:val="00DB2FD3"/>
    <w:rsid w:val="00DB4401"/>
    <w:rsid w:val="00DB5857"/>
    <w:rsid w:val="00DB60D3"/>
    <w:rsid w:val="00DB7B36"/>
    <w:rsid w:val="00DC03F1"/>
    <w:rsid w:val="00DC1B51"/>
    <w:rsid w:val="00DC294C"/>
    <w:rsid w:val="00DC2CAD"/>
    <w:rsid w:val="00DC3404"/>
    <w:rsid w:val="00DC4382"/>
    <w:rsid w:val="00DC509A"/>
    <w:rsid w:val="00DC52C5"/>
    <w:rsid w:val="00DC582F"/>
    <w:rsid w:val="00DC5B5E"/>
    <w:rsid w:val="00DC6190"/>
    <w:rsid w:val="00DC6BE6"/>
    <w:rsid w:val="00DC6ECA"/>
    <w:rsid w:val="00DC7176"/>
    <w:rsid w:val="00DC73A9"/>
    <w:rsid w:val="00DC7A3D"/>
    <w:rsid w:val="00DC7AC9"/>
    <w:rsid w:val="00DD0034"/>
    <w:rsid w:val="00DD0110"/>
    <w:rsid w:val="00DD028B"/>
    <w:rsid w:val="00DD034A"/>
    <w:rsid w:val="00DD0650"/>
    <w:rsid w:val="00DD07FD"/>
    <w:rsid w:val="00DD093E"/>
    <w:rsid w:val="00DD122F"/>
    <w:rsid w:val="00DD1554"/>
    <w:rsid w:val="00DD1CF0"/>
    <w:rsid w:val="00DD1F5E"/>
    <w:rsid w:val="00DD23BF"/>
    <w:rsid w:val="00DD3121"/>
    <w:rsid w:val="00DD450D"/>
    <w:rsid w:val="00DD4AEE"/>
    <w:rsid w:val="00DD4D78"/>
    <w:rsid w:val="00DD54DA"/>
    <w:rsid w:val="00DD5DEB"/>
    <w:rsid w:val="00DD6DAE"/>
    <w:rsid w:val="00DD75BD"/>
    <w:rsid w:val="00DD75D4"/>
    <w:rsid w:val="00DD7632"/>
    <w:rsid w:val="00DD7D36"/>
    <w:rsid w:val="00DE0467"/>
    <w:rsid w:val="00DE06A3"/>
    <w:rsid w:val="00DE0D9C"/>
    <w:rsid w:val="00DE1502"/>
    <w:rsid w:val="00DE1D62"/>
    <w:rsid w:val="00DE1F47"/>
    <w:rsid w:val="00DE2063"/>
    <w:rsid w:val="00DE20FC"/>
    <w:rsid w:val="00DE2F55"/>
    <w:rsid w:val="00DE3138"/>
    <w:rsid w:val="00DE3272"/>
    <w:rsid w:val="00DE3B13"/>
    <w:rsid w:val="00DE3C0E"/>
    <w:rsid w:val="00DE3ECE"/>
    <w:rsid w:val="00DE4629"/>
    <w:rsid w:val="00DE52D8"/>
    <w:rsid w:val="00DE5DD3"/>
    <w:rsid w:val="00DE656C"/>
    <w:rsid w:val="00DE75DF"/>
    <w:rsid w:val="00DF0D82"/>
    <w:rsid w:val="00DF0DC0"/>
    <w:rsid w:val="00DF109A"/>
    <w:rsid w:val="00DF15BF"/>
    <w:rsid w:val="00DF1BB7"/>
    <w:rsid w:val="00DF1D8F"/>
    <w:rsid w:val="00DF1E73"/>
    <w:rsid w:val="00DF2994"/>
    <w:rsid w:val="00DF2A43"/>
    <w:rsid w:val="00DF2BE1"/>
    <w:rsid w:val="00DF4162"/>
    <w:rsid w:val="00DF465E"/>
    <w:rsid w:val="00DF4E2C"/>
    <w:rsid w:val="00DF4EE0"/>
    <w:rsid w:val="00DF5205"/>
    <w:rsid w:val="00DF5C56"/>
    <w:rsid w:val="00DF5D08"/>
    <w:rsid w:val="00DF631A"/>
    <w:rsid w:val="00DF65E1"/>
    <w:rsid w:val="00DF67DA"/>
    <w:rsid w:val="00DF68FA"/>
    <w:rsid w:val="00DF6FB6"/>
    <w:rsid w:val="00DF79B3"/>
    <w:rsid w:val="00DF7BC5"/>
    <w:rsid w:val="00E01486"/>
    <w:rsid w:val="00E031F0"/>
    <w:rsid w:val="00E039FE"/>
    <w:rsid w:val="00E04F28"/>
    <w:rsid w:val="00E05198"/>
    <w:rsid w:val="00E056AE"/>
    <w:rsid w:val="00E05AE2"/>
    <w:rsid w:val="00E07B90"/>
    <w:rsid w:val="00E07C93"/>
    <w:rsid w:val="00E07E2F"/>
    <w:rsid w:val="00E10561"/>
    <w:rsid w:val="00E116AB"/>
    <w:rsid w:val="00E11D59"/>
    <w:rsid w:val="00E121DE"/>
    <w:rsid w:val="00E12216"/>
    <w:rsid w:val="00E12706"/>
    <w:rsid w:val="00E12F55"/>
    <w:rsid w:val="00E13655"/>
    <w:rsid w:val="00E1390B"/>
    <w:rsid w:val="00E13F95"/>
    <w:rsid w:val="00E1431C"/>
    <w:rsid w:val="00E14421"/>
    <w:rsid w:val="00E14704"/>
    <w:rsid w:val="00E1497F"/>
    <w:rsid w:val="00E156F1"/>
    <w:rsid w:val="00E15910"/>
    <w:rsid w:val="00E164CF"/>
    <w:rsid w:val="00E175AA"/>
    <w:rsid w:val="00E201B6"/>
    <w:rsid w:val="00E20348"/>
    <w:rsid w:val="00E2081C"/>
    <w:rsid w:val="00E20BE9"/>
    <w:rsid w:val="00E22444"/>
    <w:rsid w:val="00E22483"/>
    <w:rsid w:val="00E2249F"/>
    <w:rsid w:val="00E22658"/>
    <w:rsid w:val="00E2274E"/>
    <w:rsid w:val="00E240FA"/>
    <w:rsid w:val="00E244B3"/>
    <w:rsid w:val="00E2457E"/>
    <w:rsid w:val="00E245F6"/>
    <w:rsid w:val="00E2480F"/>
    <w:rsid w:val="00E2501B"/>
    <w:rsid w:val="00E2554B"/>
    <w:rsid w:val="00E255EC"/>
    <w:rsid w:val="00E256A4"/>
    <w:rsid w:val="00E2576D"/>
    <w:rsid w:val="00E258D9"/>
    <w:rsid w:val="00E26ACF"/>
    <w:rsid w:val="00E27A4B"/>
    <w:rsid w:val="00E27A6E"/>
    <w:rsid w:val="00E314FB"/>
    <w:rsid w:val="00E31963"/>
    <w:rsid w:val="00E31B6B"/>
    <w:rsid w:val="00E31B76"/>
    <w:rsid w:val="00E3273E"/>
    <w:rsid w:val="00E32DA2"/>
    <w:rsid w:val="00E33CBB"/>
    <w:rsid w:val="00E33DB0"/>
    <w:rsid w:val="00E34121"/>
    <w:rsid w:val="00E344DB"/>
    <w:rsid w:val="00E35AE4"/>
    <w:rsid w:val="00E35F82"/>
    <w:rsid w:val="00E365EC"/>
    <w:rsid w:val="00E369AE"/>
    <w:rsid w:val="00E37812"/>
    <w:rsid w:val="00E4054F"/>
    <w:rsid w:val="00E408FE"/>
    <w:rsid w:val="00E40D00"/>
    <w:rsid w:val="00E40F3E"/>
    <w:rsid w:val="00E413F3"/>
    <w:rsid w:val="00E416BE"/>
    <w:rsid w:val="00E4183E"/>
    <w:rsid w:val="00E42167"/>
    <w:rsid w:val="00E425DF"/>
    <w:rsid w:val="00E42839"/>
    <w:rsid w:val="00E42E86"/>
    <w:rsid w:val="00E436DD"/>
    <w:rsid w:val="00E436E9"/>
    <w:rsid w:val="00E4387E"/>
    <w:rsid w:val="00E44C4C"/>
    <w:rsid w:val="00E4512C"/>
    <w:rsid w:val="00E454D0"/>
    <w:rsid w:val="00E4610C"/>
    <w:rsid w:val="00E46F5A"/>
    <w:rsid w:val="00E47E55"/>
    <w:rsid w:val="00E502A6"/>
    <w:rsid w:val="00E50941"/>
    <w:rsid w:val="00E50A2D"/>
    <w:rsid w:val="00E50B4E"/>
    <w:rsid w:val="00E50D4A"/>
    <w:rsid w:val="00E515FA"/>
    <w:rsid w:val="00E51824"/>
    <w:rsid w:val="00E5270D"/>
    <w:rsid w:val="00E5301E"/>
    <w:rsid w:val="00E544F0"/>
    <w:rsid w:val="00E545AF"/>
    <w:rsid w:val="00E54D8F"/>
    <w:rsid w:val="00E54FF9"/>
    <w:rsid w:val="00E55AE5"/>
    <w:rsid w:val="00E55E41"/>
    <w:rsid w:val="00E56792"/>
    <w:rsid w:val="00E5700D"/>
    <w:rsid w:val="00E57210"/>
    <w:rsid w:val="00E5732B"/>
    <w:rsid w:val="00E57DCD"/>
    <w:rsid w:val="00E57F9D"/>
    <w:rsid w:val="00E60493"/>
    <w:rsid w:val="00E60792"/>
    <w:rsid w:val="00E60D14"/>
    <w:rsid w:val="00E610B2"/>
    <w:rsid w:val="00E6186E"/>
    <w:rsid w:val="00E61BFA"/>
    <w:rsid w:val="00E626FB"/>
    <w:rsid w:val="00E628DC"/>
    <w:rsid w:val="00E62D66"/>
    <w:rsid w:val="00E63020"/>
    <w:rsid w:val="00E6412F"/>
    <w:rsid w:val="00E64425"/>
    <w:rsid w:val="00E64487"/>
    <w:rsid w:val="00E64600"/>
    <w:rsid w:val="00E64751"/>
    <w:rsid w:val="00E648C3"/>
    <w:rsid w:val="00E64998"/>
    <w:rsid w:val="00E64B3E"/>
    <w:rsid w:val="00E65263"/>
    <w:rsid w:val="00E65704"/>
    <w:rsid w:val="00E664DA"/>
    <w:rsid w:val="00E668E0"/>
    <w:rsid w:val="00E677F2"/>
    <w:rsid w:val="00E70D4E"/>
    <w:rsid w:val="00E717C0"/>
    <w:rsid w:val="00E72781"/>
    <w:rsid w:val="00E72F21"/>
    <w:rsid w:val="00E733E0"/>
    <w:rsid w:val="00E73E47"/>
    <w:rsid w:val="00E74A07"/>
    <w:rsid w:val="00E755C8"/>
    <w:rsid w:val="00E75BDF"/>
    <w:rsid w:val="00E76BC3"/>
    <w:rsid w:val="00E76CC1"/>
    <w:rsid w:val="00E77708"/>
    <w:rsid w:val="00E77E10"/>
    <w:rsid w:val="00E77E96"/>
    <w:rsid w:val="00E80381"/>
    <w:rsid w:val="00E80C35"/>
    <w:rsid w:val="00E81CC9"/>
    <w:rsid w:val="00E81D8B"/>
    <w:rsid w:val="00E81EA7"/>
    <w:rsid w:val="00E8331F"/>
    <w:rsid w:val="00E83725"/>
    <w:rsid w:val="00E838C1"/>
    <w:rsid w:val="00E83BAD"/>
    <w:rsid w:val="00E83F48"/>
    <w:rsid w:val="00E84965"/>
    <w:rsid w:val="00E84E27"/>
    <w:rsid w:val="00E84F6B"/>
    <w:rsid w:val="00E85135"/>
    <w:rsid w:val="00E85BFB"/>
    <w:rsid w:val="00E85CE6"/>
    <w:rsid w:val="00E85CE8"/>
    <w:rsid w:val="00E861E4"/>
    <w:rsid w:val="00E86293"/>
    <w:rsid w:val="00E86518"/>
    <w:rsid w:val="00E865E8"/>
    <w:rsid w:val="00E8768B"/>
    <w:rsid w:val="00E878E1"/>
    <w:rsid w:val="00E87BD0"/>
    <w:rsid w:val="00E90294"/>
    <w:rsid w:val="00E904FC"/>
    <w:rsid w:val="00E907BA"/>
    <w:rsid w:val="00E91116"/>
    <w:rsid w:val="00E9127F"/>
    <w:rsid w:val="00E9152A"/>
    <w:rsid w:val="00E91635"/>
    <w:rsid w:val="00E91764"/>
    <w:rsid w:val="00E9181E"/>
    <w:rsid w:val="00E922A5"/>
    <w:rsid w:val="00E925B9"/>
    <w:rsid w:val="00E92995"/>
    <w:rsid w:val="00E93432"/>
    <w:rsid w:val="00E94248"/>
    <w:rsid w:val="00E94994"/>
    <w:rsid w:val="00E94BB4"/>
    <w:rsid w:val="00E95107"/>
    <w:rsid w:val="00E95262"/>
    <w:rsid w:val="00E9572E"/>
    <w:rsid w:val="00E9611F"/>
    <w:rsid w:val="00E96154"/>
    <w:rsid w:val="00E9676E"/>
    <w:rsid w:val="00E96A89"/>
    <w:rsid w:val="00E97E5A"/>
    <w:rsid w:val="00E97EBA"/>
    <w:rsid w:val="00EA0A67"/>
    <w:rsid w:val="00EA0C83"/>
    <w:rsid w:val="00EA0DC8"/>
    <w:rsid w:val="00EA1BAB"/>
    <w:rsid w:val="00EA1BF0"/>
    <w:rsid w:val="00EA22AA"/>
    <w:rsid w:val="00EA2D08"/>
    <w:rsid w:val="00EA2D93"/>
    <w:rsid w:val="00EA2F3B"/>
    <w:rsid w:val="00EA34D7"/>
    <w:rsid w:val="00EA3565"/>
    <w:rsid w:val="00EA3EB7"/>
    <w:rsid w:val="00EA4A9F"/>
    <w:rsid w:val="00EA5221"/>
    <w:rsid w:val="00EA5F71"/>
    <w:rsid w:val="00EA60F5"/>
    <w:rsid w:val="00EA6B07"/>
    <w:rsid w:val="00EA7EF5"/>
    <w:rsid w:val="00EB07B2"/>
    <w:rsid w:val="00EB0C68"/>
    <w:rsid w:val="00EB1233"/>
    <w:rsid w:val="00EB2319"/>
    <w:rsid w:val="00EB23BF"/>
    <w:rsid w:val="00EB2C5A"/>
    <w:rsid w:val="00EB2E00"/>
    <w:rsid w:val="00EB309B"/>
    <w:rsid w:val="00EB35B1"/>
    <w:rsid w:val="00EB41DB"/>
    <w:rsid w:val="00EB42D8"/>
    <w:rsid w:val="00EB4301"/>
    <w:rsid w:val="00EB432B"/>
    <w:rsid w:val="00EB4C85"/>
    <w:rsid w:val="00EB57B7"/>
    <w:rsid w:val="00EB5958"/>
    <w:rsid w:val="00EB74CF"/>
    <w:rsid w:val="00EB7DB6"/>
    <w:rsid w:val="00EC0661"/>
    <w:rsid w:val="00EC06EA"/>
    <w:rsid w:val="00EC0E1E"/>
    <w:rsid w:val="00EC118C"/>
    <w:rsid w:val="00EC147F"/>
    <w:rsid w:val="00EC195F"/>
    <w:rsid w:val="00EC1DFE"/>
    <w:rsid w:val="00EC22A6"/>
    <w:rsid w:val="00EC2851"/>
    <w:rsid w:val="00EC33B8"/>
    <w:rsid w:val="00EC34BC"/>
    <w:rsid w:val="00EC3510"/>
    <w:rsid w:val="00EC3A94"/>
    <w:rsid w:val="00EC4116"/>
    <w:rsid w:val="00EC4FC0"/>
    <w:rsid w:val="00EC5F15"/>
    <w:rsid w:val="00EC6364"/>
    <w:rsid w:val="00EC6C8E"/>
    <w:rsid w:val="00EC75FA"/>
    <w:rsid w:val="00EC7BA4"/>
    <w:rsid w:val="00EC7BEF"/>
    <w:rsid w:val="00ED02E0"/>
    <w:rsid w:val="00ED0344"/>
    <w:rsid w:val="00ED0937"/>
    <w:rsid w:val="00ED0C1C"/>
    <w:rsid w:val="00ED2137"/>
    <w:rsid w:val="00ED308E"/>
    <w:rsid w:val="00ED33A7"/>
    <w:rsid w:val="00ED3CA6"/>
    <w:rsid w:val="00ED3D0A"/>
    <w:rsid w:val="00ED3D42"/>
    <w:rsid w:val="00ED4265"/>
    <w:rsid w:val="00ED4483"/>
    <w:rsid w:val="00ED4CA9"/>
    <w:rsid w:val="00ED4F62"/>
    <w:rsid w:val="00ED5D5D"/>
    <w:rsid w:val="00ED6DE4"/>
    <w:rsid w:val="00ED7536"/>
    <w:rsid w:val="00EE0062"/>
    <w:rsid w:val="00EE1ED2"/>
    <w:rsid w:val="00EE1FF0"/>
    <w:rsid w:val="00EE2150"/>
    <w:rsid w:val="00EE28F9"/>
    <w:rsid w:val="00EE29A0"/>
    <w:rsid w:val="00EE2CE4"/>
    <w:rsid w:val="00EE3751"/>
    <w:rsid w:val="00EE3A90"/>
    <w:rsid w:val="00EE4B3F"/>
    <w:rsid w:val="00EE515F"/>
    <w:rsid w:val="00EE5B49"/>
    <w:rsid w:val="00EE61A9"/>
    <w:rsid w:val="00EE6453"/>
    <w:rsid w:val="00EE715D"/>
    <w:rsid w:val="00EF073B"/>
    <w:rsid w:val="00EF0AEC"/>
    <w:rsid w:val="00EF0D29"/>
    <w:rsid w:val="00EF1448"/>
    <w:rsid w:val="00EF14FC"/>
    <w:rsid w:val="00EF17B9"/>
    <w:rsid w:val="00EF1A82"/>
    <w:rsid w:val="00EF2D37"/>
    <w:rsid w:val="00EF2D91"/>
    <w:rsid w:val="00EF3E9D"/>
    <w:rsid w:val="00EF405F"/>
    <w:rsid w:val="00EF4EC8"/>
    <w:rsid w:val="00EF4F89"/>
    <w:rsid w:val="00EF579B"/>
    <w:rsid w:val="00EF58C9"/>
    <w:rsid w:val="00EF5C83"/>
    <w:rsid w:val="00EF6E91"/>
    <w:rsid w:val="00EF72B8"/>
    <w:rsid w:val="00EF750F"/>
    <w:rsid w:val="00EF7AB8"/>
    <w:rsid w:val="00F00606"/>
    <w:rsid w:val="00F009FB"/>
    <w:rsid w:val="00F01048"/>
    <w:rsid w:val="00F01273"/>
    <w:rsid w:val="00F014E4"/>
    <w:rsid w:val="00F01F3D"/>
    <w:rsid w:val="00F01FC5"/>
    <w:rsid w:val="00F02A44"/>
    <w:rsid w:val="00F02C46"/>
    <w:rsid w:val="00F02D64"/>
    <w:rsid w:val="00F036CB"/>
    <w:rsid w:val="00F03E86"/>
    <w:rsid w:val="00F040A1"/>
    <w:rsid w:val="00F04865"/>
    <w:rsid w:val="00F04B1C"/>
    <w:rsid w:val="00F05590"/>
    <w:rsid w:val="00F0576F"/>
    <w:rsid w:val="00F05CDE"/>
    <w:rsid w:val="00F05D7B"/>
    <w:rsid w:val="00F06B2E"/>
    <w:rsid w:val="00F07035"/>
    <w:rsid w:val="00F075A7"/>
    <w:rsid w:val="00F075F3"/>
    <w:rsid w:val="00F07952"/>
    <w:rsid w:val="00F07E37"/>
    <w:rsid w:val="00F102E3"/>
    <w:rsid w:val="00F10308"/>
    <w:rsid w:val="00F103B0"/>
    <w:rsid w:val="00F111D5"/>
    <w:rsid w:val="00F11E2D"/>
    <w:rsid w:val="00F125A9"/>
    <w:rsid w:val="00F12710"/>
    <w:rsid w:val="00F130BC"/>
    <w:rsid w:val="00F134EE"/>
    <w:rsid w:val="00F13FB6"/>
    <w:rsid w:val="00F14063"/>
    <w:rsid w:val="00F14E1D"/>
    <w:rsid w:val="00F15775"/>
    <w:rsid w:val="00F16498"/>
    <w:rsid w:val="00F16CB7"/>
    <w:rsid w:val="00F16D5B"/>
    <w:rsid w:val="00F170C9"/>
    <w:rsid w:val="00F17E55"/>
    <w:rsid w:val="00F20408"/>
    <w:rsid w:val="00F2157D"/>
    <w:rsid w:val="00F21A1B"/>
    <w:rsid w:val="00F21AB8"/>
    <w:rsid w:val="00F21D8C"/>
    <w:rsid w:val="00F223FD"/>
    <w:rsid w:val="00F22B2B"/>
    <w:rsid w:val="00F22F32"/>
    <w:rsid w:val="00F23046"/>
    <w:rsid w:val="00F234EA"/>
    <w:rsid w:val="00F23F4E"/>
    <w:rsid w:val="00F24755"/>
    <w:rsid w:val="00F24AEE"/>
    <w:rsid w:val="00F24BB6"/>
    <w:rsid w:val="00F24C64"/>
    <w:rsid w:val="00F25B6A"/>
    <w:rsid w:val="00F261EA"/>
    <w:rsid w:val="00F273F1"/>
    <w:rsid w:val="00F300EB"/>
    <w:rsid w:val="00F3059F"/>
    <w:rsid w:val="00F30F20"/>
    <w:rsid w:val="00F31748"/>
    <w:rsid w:val="00F31B1E"/>
    <w:rsid w:val="00F32043"/>
    <w:rsid w:val="00F3239F"/>
    <w:rsid w:val="00F32890"/>
    <w:rsid w:val="00F329E8"/>
    <w:rsid w:val="00F32C3B"/>
    <w:rsid w:val="00F33712"/>
    <w:rsid w:val="00F33C96"/>
    <w:rsid w:val="00F33D7A"/>
    <w:rsid w:val="00F3414B"/>
    <w:rsid w:val="00F34CE1"/>
    <w:rsid w:val="00F34D0D"/>
    <w:rsid w:val="00F351C5"/>
    <w:rsid w:val="00F35220"/>
    <w:rsid w:val="00F3581E"/>
    <w:rsid w:val="00F361EB"/>
    <w:rsid w:val="00F36329"/>
    <w:rsid w:val="00F363ED"/>
    <w:rsid w:val="00F36607"/>
    <w:rsid w:val="00F36CDD"/>
    <w:rsid w:val="00F376F2"/>
    <w:rsid w:val="00F37A40"/>
    <w:rsid w:val="00F42918"/>
    <w:rsid w:val="00F4304A"/>
    <w:rsid w:val="00F43CB8"/>
    <w:rsid w:val="00F440ED"/>
    <w:rsid w:val="00F444A2"/>
    <w:rsid w:val="00F44B52"/>
    <w:rsid w:val="00F44D95"/>
    <w:rsid w:val="00F453DC"/>
    <w:rsid w:val="00F456D2"/>
    <w:rsid w:val="00F45FA7"/>
    <w:rsid w:val="00F4680E"/>
    <w:rsid w:val="00F46C03"/>
    <w:rsid w:val="00F46D26"/>
    <w:rsid w:val="00F4723E"/>
    <w:rsid w:val="00F477AC"/>
    <w:rsid w:val="00F50829"/>
    <w:rsid w:val="00F517CA"/>
    <w:rsid w:val="00F51D7C"/>
    <w:rsid w:val="00F52255"/>
    <w:rsid w:val="00F5279E"/>
    <w:rsid w:val="00F529D9"/>
    <w:rsid w:val="00F533FF"/>
    <w:rsid w:val="00F53C5C"/>
    <w:rsid w:val="00F53D5B"/>
    <w:rsid w:val="00F552B9"/>
    <w:rsid w:val="00F556B4"/>
    <w:rsid w:val="00F55EC5"/>
    <w:rsid w:val="00F56272"/>
    <w:rsid w:val="00F5732B"/>
    <w:rsid w:val="00F5748B"/>
    <w:rsid w:val="00F57F0B"/>
    <w:rsid w:val="00F60021"/>
    <w:rsid w:val="00F603B5"/>
    <w:rsid w:val="00F60796"/>
    <w:rsid w:val="00F60CCE"/>
    <w:rsid w:val="00F6110F"/>
    <w:rsid w:val="00F620C0"/>
    <w:rsid w:val="00F6247F"/>
    <w:rsid w:val="00F62542"/>
    <w:rsid w:val="00F629F0"/>
    <w:rsid w:val="00F62E25"/>
    <w:rsid w:val="00F631CB"/>
    <w:rsid w:val="00F637B9"/>
    <w:rsid w:val="00F6448E"/>
    <w:rsid w:val="00F64549"/>
    <w:rsid w:val="00F6526F"/>
    <w:rsid w:val="00F65349"/>
    <w:rsid w:val="00F65C4A"/>
    <w:rsid w:val="00F65C7C"/>
    <w:rsid w:val="00F66FD0"/>
    <w:rsid w:val="00F672F8"/>
    <w:rsid w:val="00F67529"/>
    <w:rsid w:val="00F6753C"/>
    <w:rsid w:val="00F67ACE"/>
    <w:rsid w:val="00F67EA6"/>
    <w:rsid w:val="00F67ED5"/>
    <w:rsid w:val="00F702FA"/>
    <w:rsid w:val="00F7045C"/>
    <w:rsid w:val="00F710D8"/>
    <w:rsid w:val="00F71479"/>
    <w:rsid w:val="00F721AE"/>
    <w:rsid w:val="00F72E78"/>
    <w:rsid w:val="00F72F1A"/>
    <w:rsid w:val="00F735D2"/>
    <w:rsid w:val="00F73871"/>
    <w:rsid w:val="00F73BCB"/>
    <w:rsid w:val="00F73C22"/>
    <w:rsid w:val="00F73C3C"/>
    <w:rsid w:val="00F73CD9"/>
    <w:rsid w:val="00F73EC2"/>
    <w:rsid w:val="00F744EA"/>
    <w:rsid w:val="00F749FC"/>
    <w:rsid w:val="00F74C00"/>
    <w:rsid w:val="00F74DAD"/>
    <w:rsid w:val="00F755C6"/>
    <w:rsid w:val="00F75792"/>
    <w:rsid w:val="00F75AAE"/>
    <w:rsid w:val="00F75E0E"/>
    <w:rsid w:val="00F76433"/>
    <w:rsid w:val="00F7650C"/>
    <w:rsid w:val="00F76818"/>
    <w:rsid w:val="00F76AE2"/>
    <w:rsid w:val="00F76F6D"/>
    <w:rsid w:val="00F778F5"/>
    <w:rsid w:val="00F77FA6"/>
    <w:rsid w:val="00F812B5"/>
    <w:rsid w:val="00F818E4"/>
    <w:rsid w:val="00F83085"/>
    <w:rsid w:val="00F84574"/>
    <w:rsid w:val="00F8460C"/>
    <w:rsid w:val="00F8485F"/>
    <w:rsid w:val="00F85650"/>
    <w:rsid w:val="00F861AB"/>
    <w:rsid w:val="00F86DC3"/>
    <w:rsid w:val="00F86E31"/>
    <w:rsid w:val="00F86E63"/>
    <w:rsid w:val="00F86F0C"/>
    <w:rsid w:val="00F873DA"/>
    <w:rsid w:val="00F87AB3"/>
    <w:rsid w:val="00F87FB8"/>
    <w:rsid w:val="00F904B1"/>
    <w:rsid w:val="00F90807"/>
    <w:rsid w:val="00F90B58"/>
    <w:rsid w:val="00F9258F"/>
    <w:rsid w:val="00F92B32"/>
    <w:rsid w:val="00F93904"/>
    <w:rsid w:val="00F93CD5"/>
    <w:rsid w:val="00F94016"/>
    <w:rsid w:val="00F94390"/>
    <w:rsid w:val="00F946F5"/>
    <w:rsid w:val="00F94B7D"/>
    <w:rsid w:val="00F94EAB"/>
    <w:rsid w:val="00F94EE0"/>
    <w:rsid w:val="00F95264"/>
    <w:rsid w:val="00F95948"/>
    <w:rsid w:val="00F95B09"/>
    <w:rsid w:val="00F9642C"/>
    <w:rsid w:val="00F96C1A"/>
    <w:rsid w:val="00F975CF"/>
    <w:rsid w:val="00F9760A"/>
    <w:rsid w:val="00F97741"/>
    <w:rsid w:val="00F97BA0"/>
    <w:rsid w:val="00F97E9A"/>
    <w:rsid w:val="00FA00A7"/>
    <w:rsid w:val="00FA03DF"/>
    <w:rsid w:val="00FA0F73"/>
    <w:rsid w:val="00FA1139"/>
    <w:rsid w:val="00FA1890"/>
    <w:rsid w:val="00FA199B"/>
    <w:rsid w:val="00FA1BDF"/>
    <w:rsid w:val="00FA33A4"/>
    <w:rsid w:val="00FA3721"/>
    <w:rsid w:val="00FA3818"/>
    <w:rsid w:val="00FA398E"/>
    <w:rsid w:val="00FA3E0A"/>
    <w:rsid w:val="00FA42A0"/>
    <w:rsid w:val="00FA4B6A"/>
    <w:rsid w:val="00FA5257"/>
    <w:rsid w:val="00FA6AEC"/>
    <w:rsid w:val="00FA6B38"/>
    <w:rsid w:val="00FA6C01"/>
    <w:rsid w:val="00FA7315"/>
    <w:rsid w:val="00FA73CD"/>
    <w:rsid w:val="00FA74EF"/>
    <w:rsid w:val="00FA759C"/>
    <w:rsid w:val="00FB0071"/>
    <w:rsid w:val="00FB015E"/>
    <w:rsid w:val="00FB0197"/>
    <w:rsid w:val="00FB0883"/>
    <w:rsid w:val="00FB096A"/>
    <w:rsid w:val="00FB0B04"/>
    <w:rsid w:val="00FB1075"/>
    <w:rsid w:val="00FB11FC"/>
    <w:rsid w:val="00FB2719"/>
    <w:rsid w:val="00FB2DE0"/>
    <w:rsid w:val="00FB39A3"/>
    <w:rsid w:val="00FB3E7C"/>
    <w:rsid w:val="00FB43F1"/>
    <w:rsid w:val="00FB4BC1"/>
    <w:rsid w:val="00FB55A7"/>
    <w:rsid w:val="00FB63F9"/>
    <w:rsid w:val="00FB66C6"/>
    <w:rsid w:val="00FB6A97"/>
    <w:rsid w:val="00FB7AC9"/>
    <w:rsid w:val="00FC0E31"/>
    <w:rsid w:val="00FC1551"/>
    <w:rsid w:val="00FC1960"/>
    <w:rsid w:val="00FC1BEE"/>
    <w:rsid w:val="00FC1C46"/>
    <w:rsid w:val="00FC1E30"/>
    <w:rsid w:val="00FC2A28"/>
    <w:rsid w:val="00FC2CBB"/>
    <w:rsid w:val="00FC3072"/>
    <w:rsid w:val="00FC4430"/>
    <w:rsid w:val="00FC5488"/>
    <w:rsid w:val="00FC56E6"/>
    <w:rsid w:val="00FC5AFD"/>
    <w:rsid w:val="00FC60F3"/>
    <w:rsid w:val="00FC71E0"/>
    <w:rsid w:val="00FC7C29"/>
    <w:rsid w:val="00FD0565"/>
    <w:rsid w:val="00FD0A5F"/>
    <w:rsid w:val="00FD0B81"/>
    <w:rsid w:val="00FD160F"/>
    <w:rsid w:val="00FD17BC"/>
    <w:rsid w:val="00FD1D14"/>
    <w:rsid w:val="00FD1F61"/>
    <w:rsid w:val="00FD21E5"/>
    <w:rsid w:val="00FD26EC"/>
    <w:rsid w:val="00FD4188"/>
    <w:rsid w:val="00FD482A"/>
    <w:rsid w:val="00FD51E7"/>
    <w:rsid w:val="00FD59D2"/>
    <w:rsid w:val="00FD5E1C"/>
    <w:rsid w:val="00FD62F7"/>
    <w:rsid w:val="00FD635D"/>
    <w:rsid w:val="00FD7661"/>
    <w:rsid w:val="00FD77E2"/>
    <w:rsid w:val="00FD7C09"/>
    <w:rsid w:val="00FE0475"/>
    <w:rsid w:val="00FE0492"/>
    <w:rsid w:val="00FE063F"/>
    <w:rsid w:val="00FE0778"/>
    <w:rsid w:val="00FE14F2"/>
    <w:rsid w:val="00FE254A"/>
    <w:rsid w:val="00FE302E"/>
    <w:rsid w:val="00FE3A7D"/>
    <w:rsid w:val="00FE3CB8"/>
    <w:rsid w:val="00FE3FD4"/>
    <w:rsid w:val="00FE55D8"/>
    <w:rsid w:val="00FE5893"/>
    <w:rsid w:val="00FE5F60"/>
    <w:rsid w:val="00FE61C1"/>
    <w:rsid w:val="00FE6B7C"/>
    <w:rsid w:val="00FE738C"/>
    <w:rsid w:val="00FE7A01"/>
    <w:rsid w:val="00FE7D0D"/>
    <w:rsid w:val="00FE7DFA"/>
    <w:rsid w:val="00FF02E0"/>
    <w:rsid w:val="00FF10F8"/>
    <w:rsid w:val="00FF1234"/>
    <w:rsid w:val="00FF17D4"/>
    <w:rsid w:val="00FF2042"/>
    <w:rsid w:val="00FF23A8"/>
    <w:rsid w:val="00FF3218"/>
    <w:rsid w:val="00FF3439"/>
    <w:rsid w:val="00FF354F"/>
    <w:rsid w:val="00FF4D3B"/>
    <w:rsid w:val="00FF5335"/>
    <w:rsid w:val="00FF59ED"/>
    <w:rsid w:val="00FF653F"/>
    <w:rsid w:val="00FF7408"/>
    <w:rsid w:val="00FF7A47"/>
    <w:rsid w:val="034C5747"/>
    <w:rsid w:val="036F4D3F"/>
    <w:rsid w:val="03991995"/>
    <w:rsid w:val="045305BB"/>
    <w:rsid w:val="06E12B6E"/>
    <w:rsid w:val="06FF3EF3"/>
    <w:rsid w:val="0AFA3E38"/>
    <w:rsid w:val="0BF67E53"/>
    <w:rsid w:val="0CFF0F9F"/>
    <w:rsid w:val="0D9D45E1"/>
    <w:rsid w:val="0F2626EF"/>
    <w:rsid w:val="0F3872C4"/>
    <w:rsid w:val="106E37A4"/>
    <w:rsid w:val="10BE780D"/>
    <w:rsid w:val="10F65A9C"/>
    <w:rsid w:val="142966AD"/>
    <w:rsid w:val="14720A00"/>
    <w:rsid w:val="176E12E2"/>
    <w:rsid w:val="18D16A67"/>
    <w:rsid w:val="193D77B8"/>
    <w:rsid w:val="19B90021"/>
    <w:rsid w:val="1B534807"/>
    <w:rsid w:val="1C984928"/>
    <w:rsid w:val="1E1D7272"/>
    <w:rsid w:val="20005D52"/>
    <w:rsid w:val="20B90729"/>
    <w:rsid w:val="213E5480"/>
    <w:rsid w:val="21DE0E39"/>
    <w:rsid w:val="2258319E"/>
    <w:rsid w:val="23EA614F"/>
    <w:rsid w:val="250D3EF6"/>
    <w:rsid w:val="26732EE2"/>
    <w:rsid w:val="2C385C51"/>
    <w:rsid w:val="33C07635"/>
    <w:rsid w:val="33E9353A"/>
    <w:rsid w:val="34E55AA0"/>
    <w:rsid w:val="351E26D2"/>
    <w:rsid w:val="38C50639"/>
    <w:rsid w:val="3A552705"/>
    <w:rsid w:val="3AA35BA1"/>
    <w:rsid w:val="3D9C312E"/>
    <w:rsid w:val="3E283457"/>
    <w:rsid w:val="3E511CCE"/>
    <w:rsid w:val="3EFE0A50"/>
    <w:rsid w:val="3FAF06CF"/>
    <w:rsid w:val="41BB0189"/>
    <w:rsid w:val="432064A0"/>
    <w:rsid w:val="43AB7E33"/>
    <w:rsid w:val="43B9078A"/>
    <w:rsid w:val="451C50EF"/>
    <w:rsid w:val="45380305"/>
    <w:rsid w:val="46913138"/>
    <w:rsid w:val="47413B59"/>
    <w:rsid w:val="48A272DD"/>
    <w:rsid w:val="4A4F15A2"/>
    <w:rsid w:val="4A71170E"/>
    <w:rsid w:val="4DA7414F"/>
    <w:rsid w:val="50D07746"/>
    <w:rsid w:val="518C2A07"/>
    <w:rsid w:val="521763AF"/>
    <w:rsid w:val="5528709A"/>
    <w:rsid w:val="56C300E0"/>
    <w:rsid w:val="57FE3ACC"/>
    <w:rsid w:val="587F0E94"/>
    <w:rsid w:val="5B5F18C9"/>
    <w:rsid w:val="5DC071C4"/>
    <w:rsid w:val="5E2414A7"/>
    <w:rsid w:val="60407094"/>
    <w:rsid w:val="63776569"/>
    <w:rsid w:val="646A2917"/>
    <w:rsid w:val="66F84367"/>
    <w:rsid w:val="6748604D"/>
    <w:rsid w:val="68792A11"/>
    <w:rsid w:val="68D54EC5"/>
    <w:rsid w:val="6B78424B"/>
    <w:rsid w:val="6BDC4104"/>
    <w:rsid w:val="6CBD6D9F"/>
    <w:rsid w:val="6EA52AAC"/>
    <w:rsid w:val="6ECE5D90"/>
    <w:rsid w:val="6F8572C2"/>
    <w:rsid w:val="6FD551FE"/>
    <w:rsid w:val="70F11CC1"/>
    <w:rsid w:val="71675956"/>
    <w:rsid w:val="723F17D8"/>
    <w:rsid w:val="737D6F2E"/>
    <w:rsid w:val="76A776D5"/>
    <w:rsid w:val="77970B34"/>
    <w:rsid w:val="78C2730C"/>
    <w:rsid w:val="79674AD2"/>
    <w:rsid w:val="7A3D6623"/>
    <w:rsid w:val="7B5A0482"/>
    <w:rsid w:val="7D8A0007"/>
  </w:rsids>
  <w:docVars>
    <w:docVar w:name="commondata" w:val="eyJoZGlkIjoiNDdkMzdkNzI3MzU2ODIyNzlhYTU1MmM2ZDYxYWM0MmM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iPriority="9"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39" w:unhideWhenUsed="0" w:qFormat="1"/>
    <w:lsdException w:name="toc 2" w:unhideWhenUsed="0"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Normal Indent" w:locked="1"/>
    <w:lsdException w:name="footnote text" w:unhideWhenUsed="0" w:qFormat="1"/>
    <w:lsdException w:name="annotation text" w:semiHidden="0" w:unhideWhenUsed="0" w:qFormat="1"/>
    <w:lsdException w:name="header" w:semiHidden="0" w:unhideWhenUsed="0" w:qFormat="1"/>
    <w:lsdException w:name="footer" w:semiHidden="0" w:qFormat="1"/>
    <w:lsdException w:name="index heading" w:locked="1"/>
    <w:lsdException w:name="caption" w:uiPriority="0" w:qFormat="1"/>
    <w:lsdException w:name="table of figures" w:locked="1"/>
    <w:lsdException w:name="envelope address" w:locked="1"/>
    <w:lsdException w:name="envelope return" w:locked="1"/>
    <w:lsdException w:name="footnote reference" w:unhideWhenUsed="0" w:qFormat="1"/>
    <w:lsdException w:name="annotation reference" w:semiHidden="0" w:unhideWhenUsed="0" w:qFormat="1"/>
    <w:lsdException w:name="line number" w:locked="1"/>
    <w:lsdException w:name="page number" w:semiHidden="0" w:unhideWhenUsed="0" w:qFormat="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nhideWhenUsed="0" w:qFormat="1"/>
    <w:lsdException w:name="Closing" w:locked="1"/>
    <w:lsdException w:name="Signature" w:locked="1"/>
    <w:lsdException w:name="Default Paragraph Font" w:uiPriority="1" w:qFormat="1"/>
    <w:lsdException w:name="Body Text" w:locked="1"/>
    <w:lsdException w:name="Body Text Indent" w:semiHidden="0" w:unhideWhenUsed="0"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semiHidden="0" w:unhideWhenUsed="0" w:qFormat="1"/>
    <w:lsdException w:name="Body Text First Indent" w:locked="1"/>
    <w:lsdException w:name="Body Text First Indent 2" w:locked="1"/>
    <w:lsdException w:name="Note Heading" w:locked="1"/>
    <w:lsdException w:name="Body Text 2" w:locked="1"/>
    <w:lsdException w:name="Body Text 3" w:locked="1"/>
    <w:lsdException w:name="Body Text Indent 2" w:semiHidden="0" w:unhideWhenUsed="0" w:qFormat="1"/>
    <w:lsdException w:name="Body Text Indent 3" w:semiHidden="0" w:qFormat="1"/>
    <w:lsdException w:name="Block Text" w:locked="1"/>
    <w:lsdException w:name="Hyperlink" w:semiHidden="0" w:qFormat="1"/>
    <w:lsdException w:name="FollowedHyperlink" w:semiHidden="0" w:unhideWhenUsed="0" w:qFormat="1"/>
    <w:lsdException w:name="Strong" w:semiHidden="0" w:uiPriority="0" w:unhideWhenUsed="0" w:qFormat="1"/>
    <w:lsdException w:name="Emphasis" w:semiHidden="0" w:unhideWhenUsed="0" w:qFormat="1"/>
    <w:lsdException w:name="Document Map" w:unhideWhenUsed="0" w:qFormat="1"/>
    <w:lsdException w:name="Plain Text" w:locked="1"/>
    <w:lsdException w:name="E-mail Signature" w:locked="1"/>
    <w:lsdException w:name="Normal (Web)" w:semiHidden="0" w:unhideWhenUsed="0" w:qFormat="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qFormat="1"/>
    <w:lsdException w:name="HTML Sample" w:locked="1"/>
    <w:lsdException w:name="HTML Typewriter" w:locked="1"/>
    <w:lsdException w:name="HTML Variable" w:locked="1"/>
    <w:lsdException w:name="Normal Table" w:qFormat="1"/>
    <w:lsdException w:name="annotation subject" w:unhideWhenUsed="0" w:qFormat="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unhideWhenUsed="0" w:qFormat="1"/>
    <w:lsdException w:name="Table Grid" w:semiHidden="0" w:uiPriority="0" w:unhideWhenUsed="0" w:qFormat="1"/>
    <w:lsdException w:name="Table Theme" w:locked="1"/>
    <w:lsdException w:name="Placeholder Text"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uiPriority w:val="99"/>
    <w:qFormat/>
    <w:pPr>
      <w:keepNext/>
      <w:keepLines/>
      <w:spacing w:before="340" w:after="330" w:line="578" w:lineRule="auto"/>
      <w:outlineLvl w:val="0"/>
    </w:pPr>
    <w:rPr>
      <w:b/>
      <w:bCs/>
      <w:kern w:val="44"/>
      <w:sz w:val="44"/>
      <w:szCs w:val="44"/>
      <w:lang w:val="zh-CN"/>
    </w:rPr>
  </w:style>
  <w:style w:type="paragraph" w:styleId="Heading2">
    <w:name w:val="heading 2"/>
    <w:basedOn w:val="Normal"/>
    <w:next w:val="Normal"/>
    <w:link w:val="210"/>
    <w:uiPriority w:val="9"/>
    <w:unhideWhenUsed/>
    <w:qFormat/>
    <w:pPr>
      <w:keepNext/>
      <w:keepLines/>
      <w:spacing w:before="260" w:after="260" w:line="416" w:lineRule="auto"/>
      <w:outlineLvl w:val="1"/>
    </w:pPr>
    <w:rPr>
      <w:rFonts w:ascii="等线 Light" w:eastAsia="PMingLiU" w:hAnsi="等线 Light" w:cstheme="majorBidi"/>
      <w:b/>
      <w:bCs/>
      <w:sz w:val="32"/>
      <w:szCs w:val="32"/>
    </w:rPr>
  </w:style>
  <w:style w:type="paragraph" w:styleId="Heading3">
    <w:name w:val="heading 3"/>
    <w:basedOn w:val="Normal"/>
    <w:next w:val="Normal"/>
    <w:link w:val="310"/>
    <w:uiPriority w:val="99"/>
    <w:qFormat/>
    <w:pPr>
      <w:keepNext/>
      <w:keepLines/>
      <w:spacing w:before="260" w:after="260" w:line="416" w:lineRule="auto"/>
      <w:outlineLvl w:val="2"/>
    </w:pPr>
    <w:rPr>
      <w:b/>
      <w:bCs/>
      <w:kern w:val="0"/>
      <w:sz w:val="32"/>
      <w:szCs w:val="32"/>
      <w:lang w:val="zh-CN"/>
    </w:rPr>
  </w:style>
  <w:style w:type="paragraph" w:styleId="Heading4">
    <w:name w:val="heading 4"/>
    <w:basedOn w:val="Normal"/>
    <w:next w:val="Normal"/>
    <w:link w:val="411"/>
    <w:uiPriority w:val="99"/>
    <w:qFormat/>
    <w:pPr>
      <w:keepNext/>
      <w:keepLines/>
      <w:spacing w:before="280" w:after="290" w:line="376" w:lineRule="auto"/>
      <w:outlineLvl w:val="3"/>
    </w:pPr>
    <w:rPr>
      <w:rFonts w:ascii="Cambria" w:hAnsi="Cambria"/>
      <w:b/>
      <w:bCs/>
      <w:kern w:val="0"/>
      <w:sz w:val="28"/>
      <w:szCs w:val="28"/>
      <w:lang w:val="zh-CN"/>
    </w:rPr>
  </w:style>
  <w:style w:type="paragraph" w:styleId="Heading5">
    <w:name w:val="heading 5"/>
    <w:basedOn w:val="Normal"/>
    <w:next w:val="Normal"/>
    <w:link w:val="510"/>
    <w:uiPriority w:val="99"/>
    <w:qFormat/>
    <w:pPr>
      <w:keepNext/>
      <w:keepLines/>
      <w:spacing w:before="280" w:after="290" w:line="376" w:lineRule="auto"/>
      <w:outlineLvl w:val="4"/>
    </w:pPr>
    <w:rPr>
      <w:b/>
      <w:bCs/>
      <w:kern w:val="0"/>
      <w:sz w:val="28"/>
      <w:szCs w:val="28"/>
      <w:lang w:val="zh-CN"/>
    </w:rPr>
  </w:style>
  <w:style w:type="paragraph" w:styleId="Heading6">
    <w:name w:val="heading 6"/>
    <w:basedOn w:val="Normal"/>
    <w:next w:val="Normal"/>
    <w:link w:val="61"/>
    <w:uiPriority w:val="99"/>
    <w:qFormat/>
    <w:pPr>
      <w:keepNext/>
      <w:keepLines/>
      <w:spacing w:before="240" w:after="64" w:line="320" w:lineRule="auto"/>
      <w:outlineLvl w:val="5"/>
    </w:pPr>
    <w:rPr>
      <w:rFonts w:ascii="Cambria" w:hAnsi="Cambria"/>
      <w:b/>
      <w:bCs/>
      <w:kern w:val="0"/>
      <w:sz w:val="24"/>
      <w:lang w:val="zh-CN"/>
    </w:rPr>
  </w:style>
  <w:style w:type="paragraph" w:styleId="Heading7">
    <w:name w:val="heading 7"/>
    <w:basedOn w:val="Normal"/>
    <w:next w:val="Normal"/>
    <w:link w:val="71"/>
    <w:uiPriority w:val="99"/>
    <w:qFormat/>
    <w:pPr>
      <w:keepNext/>
      <w:keepLines/>
      <w:spacing w:before="240" w:after="64" w:line="320" w:lineRule="auto"/>
      <w:outlineLvl w:val="6"/>
    </w:pPr>
    <w:rPr>
      <w:b/>
      <w:bCs/>
      <w:kern w:val="0"/>
      <w:sz w:val="24"/>
      <w:lang w:val="zh-CN"/>
    </w:rPr>
  </w:style>
  <w:style w:type="paragraph" w:styleId="Heading8">
    <w:name w:val="heading 8"/>
    <w:basedOn w:val="Normal"/>
    <w:next w:val="Normal"/>
    <w:link w:val="81"/>
    <w:uiPriority w:val="99"/>
    <w:qFormat/>
    <w:pPr>
      <w:keepNext/>
      <w:keepLines/>
      <w:spacing w:before="240" w:after="64" w:line="320" w:lineRule="auto"/>
      <w:outlineLvl w:val="7"/>
    </w:pPr>
    <w:rPr>
      <w:rFonts w:ascii="Cambria" w:hAnsi="Cambria"/>
      <w:kern w:val="0"/>
      <w:sz w:val="24"/>
      <w:lang w:val="zh-CN"/>
    </w:rPr>
  </w:style>
  <w:style w:type="paragraph" w:styleId="Heading9">
    <w:name w:val="heading 9"/>
    <w:basedOn w:val="Normal"/>
    <w:next w:val="Normal"/>
    <w:link w:val="91"/>
    <w:uiPriority w:val="99"/>
    <w:qFormat/>
    <w:pPr>
      <w:keepNext/>
      <w:keepLines/>
      <w:spacing w:before="240" w:after="64" w:line="320" w:lineRule="auto"/>
      <w:outlineLvl w:val="8"/>
    </w:pPr>
    <w:rPr>
      <w:rFonts w:ascii="Cambria" w:hAnsi="Cambria"/>
      <w:kern w:val="0"/>
      <w:szCs w:val="21"/>
      <w:lang w:val="zh-CN"/>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uiPriority w:val="39"/>
    <w:unhideWhenUsed/>
    <w:qFormat/>
    <w:pPr>
      <w:spacing w:after="100"/>
      <w:ind w:left="1320"/>
    </w:pPr>
  </w:style>
  <w:style w:type="paragraph" w:styleId="DocumentMap">
    <w:name w:val="Document Map"/>
    <w:basedOn w:val="Normal"/>
    <w:link w:val="a1"/>
    <w:uiPriority w:val="99"/>
    <w:semiHidden/>
    <w:qFormat/>
    <w:rPr>
      <w:rFonts w:ascii="等线" w:eastAsia="PMingLiU" w:hAnsi="等线"/>
      <w:color w:val="0000FF" w:themeColor="hyperlink"/>
      <w:szCs w:val="22"/>
      <w:u w:val="single"/>
      <w14:textFill>
        <w14:solidFill>
          <w14:schemeClr w14:val="hlink"/>
        </w14:solidFill>
      </w14:textFill>
    </w:rPr>
  </w:style>
  <w:style w:type="paragraph" w:styleId="CommentText">
    <w:name w:val="annotation text"/>
    <w:basedOn w:val="Normal"/>
    <w:uiPriority w:val="99"/>
    <w:qFormat/>
    <w:pPr>
      <w:jc w:val="left"/>
    </w:pPr>
    <w:rPr>
      <w:sz w:val="24"/>
    </w:rPr>
  </w:style>
  <w:style w:type="paragraph" w:styleId="BodyTextIndent">
    <w:name w:val="Body Text Indent"/>
    <w:basedOn w:val="Normal"/>
    <w:link w:val="19"/>
    <w:uiPriority w:val="99"/>
    <w:qFormat/>
    <w:pPr>
      <w:spacing w:line="360" w:lineRule="auto"/>
      <w:ind w:firstLine="420" w:firstLineChars="200"/>
    </w:pPr>
    <w:rPr>
      <w:color w:val="000000"/>
      <w:szCs w:val="21"/>
      <w:lang w:val="zh-CN"/>
    </w:rPr>
  </w:style>
  <w:style w:type="paragraph" w:styleId="TOC5">
    <w:name w:val="toc 5"/>
    <w:basedOn w:val="Normal"/>
    <w:next w:val="Normal"/>
    <w:uiPriority w:val="39"/>
    <w:unhideWhenUsed/>
    <w:qFormat/>
    <w:pPr>
      <w:spacing w:after="100"/>
      <w:ind w:left="880"/>
    </w:pPr>
  </w:style>
  <w:style w:type="paragraph" w:styleId="TOC3">
    <w:name w:val="toc 3"/>
    <w:next w:val="a-BR781526"/>
    <w:uiPriority w:val="39"/>
    <w:unhideWhenUsed/>
    <w:qFormat/>
    <w:pPr>
      <w:spacing w:after="100" w:line="259" w:lineRule="auto"/>
      <w:ind w:left="440"/>
    </w:pPr>
    <w:rPr>
      <w:rFonts w:ascii="等线" w:eastAsia="PMingLiU" w:hAnsi="等线" w:cstheme="minorBidi"/>
      <w:sz w:val="22"/>
      <w:szCs w:val="22"/>
      <w:lang w:val="en-US" w:eastAsia="zh-CN" w:bidi="ar-SA"/>
    </w:rPr>
  </w:style>
  <w:style w:type="paragraph" w:customStyle="1" w:styleId="a-BR781526">
    <w:name w:val="a-BR781526"/>
    <w:qFormat/>
    <w:pPr>
      <w:widowControl w:val="0"/>
      <w:jc w:val="both"/>
    </w:pPr>
    <w:rPr>
      <w:rFonts w:ascii="Times New Roman" w:eastAsia="宋体" w:hAnsi="Times New Roman" w:cs="Times New Roman"/>
      <w:kern w:val="2"/>
      <w:sz w:val="21"/>
      <w:szCs w:val="24"/>
      <w:lang w:val="en-US" w:eastAsia="zh-CN" w:bidi="ar-SA"/>
    </w:rPr>
  </w:style>
  <w:style w:type="paragraph" w:styleId="TOC8">
    <w:name w:val="toc 8"/>
    <w:basedOn w:val="Normal"/>
    <w:next w:val="Normal"/>
    <w:uiPriority w:val="39"/>
    <w:unhideWhenUsed/>
    <w:qFormat/>
    <w:pPr>
      <w:spacing w:after="100"/>
      <w:ind w:left="1540"/>
    </w:pPr>
  </w:style>
  <w:style w:type="paragraph" w:styleId="Date">
    <w:name w:val="Date"/>
    <w:basedOn w:val="Normal"/>
    <w:next w:val="Normal"/>
    <w:link w:val="a3"/>
    <w:uiPriority w:val="99"/>
    <w:qFormat/>
    <w:rPr>
      <w:kern w:val="0"/>
      <w:sz w:val="24"/>
      <w:lang w:val="zh-CN"/>
    </w:rPr>
  </w:style>
  <w:style w:type="paragraph" w:styleId="BodyTextIndent2">
    <w:name w:val="Body Text Indent 2"/>
    <w:basedOn w:val="Normal"/>
    <w:link w:val="211"/>
    <w:uiPriority w:val="99"/>
    <w:qFormat/>
    <w:pPr>
      <w:spacing w:after="120" w:line="480" w:lineRule="auto"/>
      <w:ind w:left="420" w:leftChars="200"/>
    </w:pPr>
    <w:rPr>
      <w:kern w:val="0"/>
      <w:sz w:val="24"/>
      <w:lang w:val="zh-CN"/>
    </w:rPr>
  </w:style>
  <w:style w:type="paragraph" w:styleId="BalloonText">
    <w:name w:val="Balloon Text"/>
    <w:basedOn w:val="Normal"/>
    <w:link w:val="a4"/>
    <w:uiPriority w:val="99"/>
    <w:semiHidden/>
    <w:qFormat/>
    <w:rPr>
      <w:sz w:val="18"/>
      <w:szCs w:val="18"/>
    </w:rPr>
  </w:style>
  <w:style w:type="paragraph" w:styleId="Footer">
    <w:name w:val="footer"/>
    <w:basedOn w:val="Normal"/>
    <w:link w:val="32"/>
    <w:uiPriority w:val="99"/>
    <w:unhideWhenUsed/>
    <w:qFormat/>
    <w:pPr>
      <w:tabs>
        <w:tab w:val="center" w:pos="4153"/>
        <w:tab w:val="right" w:pos="8306"/>
      </w:tabs>
      <w:snapToGrid w:val="0"/>
      <w:jc w:val="left"/>
    </w:pPr>
    <w:rPr>
      <w:sz w:val="18"/>
      <w:szCs w:val="18"/>
    </w:rPr>
  </w:style>
  <w:style w:type="paragraph" w:styleId="Header">
    <w:name w:val="header"/>
    <w:basedOn w:val="Normal"/>
    <w:link w:val="24"/>
    <w:uiPriority w:val="99"/>
    <w:qFormat/>
    <w:pPr>
      <w:tabs>
        <w:tab w:val="center" w:pos="4153"/>
        <w:tab w:val="right" w:pos="8306"/>
      </w:tabs>
      <w:snapToGrid w:val="0"/>
      <w:jc w:val="center"/>
    </w:pPr>
    <w:rPr>
      <w:sz w:val="18"/>
      <w:szCs w:val="18"/>
      <w:lang w:val="zh-CN"/>
    </w:rPr>
  </w:style>
  <w:style w:type="paragraph" w:styleId="TOC1">
    <w:name w:val="toc 1"/>
    <w:basedOn w:val="Normal"/>
    <w:next w:val="Normal"/>
    <w:uiPriority w:val="39"/>
    <w:qFormat/>
    <w:pPr>
      <w:tabs>
        <w:tab w:val="right" w:leader="dot" w:pos="8296"/>
      </w:tabs>
      <w:spacing w:line="360" w:lineRule="auto"/>
    </w:pPr>
  </w:style>
  <w:style w:type="paragraph" w:styleId="TOC4">
    <w:name w:val="toc 4"/>
    <w:basedOn w:val="Normal"/>
    <w:next w:val="Normal"/>
    <w:uiPriority w:val="39"/>
    <w:unhideWhenUsed/>
    <w:qFormat/>
    <w:pPr>
      <w:spacing w:after="100"/>
      <w:ind w:left="660"/>
    </w:pPr>
  </w:style>
  <w:style w:type="paragraph" w:styleId="FootnoteText">
    <w:name w:val="footnote text"/>
    <w:basedOn w:val="Normal"/>
    <w:link w:val="25"/>
    <w:uiPriority w:val="99"/>
    <w:semiHidden/>
    <w:qFormat/>
    <w:pPr>
      <w:snapToGrid w:val="0"/>
      <w:jc w:val="left"/>
    </w:pPr>
    <w:rPr>
      <w:kern w:val="0"/>
      <w:sz w:val="18"/>
      <w:szCs w:val="18"/>
      <w:lang w:val="zh-CN"/>
    </w:rPr>
  </w:style>
  <w:style w:type="paragraph" w:styleId="TOC6">
    <w:name w:val="toc 6"/>
    <w:basedOn w:val="Normal"/>
    <w:next w:val="Normal"/>
    <w:uiPriority w:val="39"/>
    <w:unhideWhenUsed/>
    <w:qFormat/>
    <w:pPr>
      <w:spacing w:after="100"/>
      <w:ind w:left="1100"/>
    </w:pPr>
  </w:style>
  <w:style w:type="paragraph" w:styleId="BodyTextIndent3">
    <w:name w:val="Body Text Indent 3"/>
    <w:basedOn w:val="Normal"/>
    <w:link w:val="33"/>
    <w:uiPriority w:val="99"/>
    <w:unhideWhenUsed/>
    <w:qFormat/>
    <w:pPr>
      <w:spacing w:after="120" w:line="280" w:lineRule="atLeast"/>
      <w:ind w:left="420" w:leftChars="200"/>
    </w:pPr>
    <w:rPr>
      <w:rFonts w:ascii="Arial" w:hAnsi="Arial"/>
      <w:kern w:val="0"/>
      <w:sz w:val="16"/>
      <w:szCs w:val="16"/>
      <w:lang w:eastAsia="en-US"/>
    </w:rPr>
  </w:style>
  <w:style w:type="paragraph" w:styleId="TOC2">
    <w:name w:val="toc 2"/>
    <w:basedOn w:val="Normal"/>
    <w:next w:val="Normal"/>
    <w:uiPriority w:val="99"/>
    <w:semiHidden/>
    <w:qFormat/>
    <w:pPr>
      <w:ind w:left="420" w:leftChars="200"/>
    </w:pPr>
  </w:style>
  <w:style w:type="paragraph" w:styleId="TOC9">
    <w:name w:val="toc 9"/>
    <w:basedOn w:val="Normal"/>
    <w:next w:val="Normal"/>
    <w:uiPriority w:val="39"/>
    <w:unhideWhenUsed/>
    <w:qFormat/>
    <w:pPr>
      <w:spacing w:after="100"/>
      <w:ind w:left="1760"/>
    </w:pPr>
  </w:style>
  <w:style w:type="paragraph" w:styleId="HTMLPreformatted">
    <w:name w:val="HTML Preformatted"/>
    <w:basedOn w:val="Normal"/>
    <w:link w:val="HTML1"/>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NormalWeb">
    <w:name w:val="Normal (Web)"/>
    <w:basedOn w:val="Normal"/>
    <w:uiPriority w:val="99"/>
    <w:qFormat/>
    <w:pPr>
      <w:widowControl/>
      <w:spacing w:before="100" w:beforeAutospacing="1" w:after="100" w:afterAutospacing="1"/>
      <w:jc w:val="left"/>
    </w:pPr>
    <w:rPr>
      <w:rFonts w:ascii="Arial Unicode MS" w:hAnsi="Arial Unicode MS" w:cs="Arial Unicode MS"/>
      <w:kern w:val="0"/>
      <w:sz w:val="24"/>
    </w:rPr>
  </w:style>
  <w:style w:type="paragraph" w:styleId="Title">
    <w:name w:val="Title"/>
    <w:basedOn w:val="Normal"/>
    <w:next w:val="Normal"/>
    <w:link w:val="113"/>
    <w:uiPriority w:val="99"/>
    <w:qFormat/>
    <w:pPr>
      <w:spacing w:before="240" w:after="60"/>
      <w:jc w:val="center"/>
      <w:outlineLvl w:val="0"/>
    </w:pPr>
    <w:rPr>
      <w:rFonts w:ascii="Cambria" w:hAnsi="Cambria"/>
      <w:b/>
      <w:bCs/>
      <w:sz w:val="32"/>
      <w:szCs w:val="32"/>
    </w:rPr>
  </w:style>
  <w:style w:type="paragraph" w:styleId="CommentSubject">
    <w:name w:val="annotation subject"/>
    <w:basedOn w:val="CommentText"/>
    <w:next w:val="CommentText"/>
    <w:link w:val="18"/>
    <w:uiPriority w:val="99"/>
    <w:semiHidden/>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iPriority w:val="99"/>
    <w:qFormat/>
    <w:rPr>
      <w:rFonts w:ascii="等线" w:eastAsia="PMingLiU" w:hAnsi="等线" w:cs="Times New Roman"/>
      <w:kern w:val="2"/>
      <w:sz w:val="21"/>
      <w:szCs w:val="22"/>
      <w:lang w:val="en-US" w:eastAsia="zh-CN" w:bidi="ar-SA"/>
    </w:rPr>
  </w:style>
  <w:style w:type="character" w:styleId="FollowedHyperlink">
    <w:name w:val="FollowedHyperlink"/>
    <w:uiPriority w:val="99"/>
    <w:qFormat/>
    <w:rPr>
      <w:rFonts w:ascii="等线" w:eastAsia="PMingLiU" w:hAnsi="等线" w:cs="Times New Roman"/>
      <w:color w:val="800080"/>
      <w:kern w:val="2"/>
      <w:sz w:val="21"/>
      <w:szCs w:val="22"/>
      <w:u w:val="single"/>
      <w:lang w:val="en-US" w:eastAsia="zh-CN" w:bidi="ar-SA"/>
    </w:rPr>
  </w:style>
  <w:style w:type="character" w:styleId="Emphasis">
    <w:name w:val="Emphasis"/>
    <w:uiPriority w:val="99"/>
    <w:qFormat/>
    <w:rPr>
      <w:rFonts w:ascii="等线" w:eastAsia="PMingLiU" w:hAnsi="等线" w:cs="Times New Roman"/>
      <w:color w:val="CC0000"/>
      <w:kern w:val="2"/>
      <w:sz w:val="21"/>
      <w:szCs w:val="22"/>
      <w:lang w:val="en-US" w:eastAsia="zh-CN" w:bidi="ar-SA"/>
    </w:rPr>
  </w:style>
  <w:style w:type="character" w:styleId="Hyperlink">
    <w:name w:val="Hyperlink"/>
    <w:uiPriority w:val="99"/>
    <w:unhideWhenUsed/>
    <w:qFormat/>
    <w:rPr>
      <w:color w:val="0000FF" w:themeColor="hyperlink"/>
      <w:u w:val="single"/>
      <w14:textFill>
        <w14:solidFill>
          <w14:schemeClr w14:val="hlink"/>
        </w14:solidFill>
      </w14:textFill>
    </w:rPr>
  </w:style>
  <w:style w:type="character" w:styleId="CommentReference">
    <w:name w:val="annotation reference"/>
    <w:uiPriority w:val="99"/>
    <w:qFormat/>
    <w:rPr>
      <w:rFonts w:ascii="等线" w:eastAsia="PMingLiU" w:hAnsi="等线" w:cs="Times New Roman"/>
      <w:kern w:val="2"/>
      <w:sz w:val="21"/>
      <w:szCs w:val="21"/>
      <w:lang w:val="en-US" w:eastAsia="zh-CN" w:bidi="ar-SA"/>
    </w:rPr>
  </w:style>
  <w:style w:type="character" w:styleId="FootnoteReference">
    <w:name w:val="footnote reference"/>
    <w:uiPriority w:val="99"/>
    <w:semiHidden/>
    <w:qFormat/>
    <w:rPr>
      <w:rFonts w:ascii="等线" w:eastAsia="PMingLiU" w:hAnsi="等线" w:cs="Times New Roman"/>
      <w:kern w:val="2"/>
      <w:sz w:val="21"/>
      <w:szCs w:val="22"/>
      <w:vertAlign w:val="superscript"/>
      <w:lang w:val="en-US" w:eastAsia="zh-CN" w:bidi="ar-SA"/>
    </w:rPr>
  </w:style>
  <w:style w:type="character" w:customStyle="1" w:styleId="1">
    <w:name w:val="标题 1 字符"/>
    <w:link w:val="1-BR353846"/>
    <w:uiPriority w:val="99"/>
    <w:qFormat/>
    <w:locked/>
    <w:rPr>
      <w:rFonts w:cs="Times New Roman"/>
      <w:b/>
      <w:bCs/>
      <w:kern w:val="44"/>
      <w:sz w:val="44"/>
      <w:szCs w:val="44"/>
    </w:rPr>
  </w:style>
  <w:style w:type="paragraph" w:customStyle="1" w:styleId="1-BR353846">
    <w:name w:val="1-BR353846"/>
    <w:basedOn w:val="a-BR353846"/>
    <w:next w:val="a-BR353846"/>
    <w:link w:val="1"/>
    <w:uiPriority w:val="9"/>
    <w:qFormat/>
    <w:pPr>
      <w:keepNext/>
      <w:keepLines/>
      <w:spacing w:before="340" w:after="330" w:line="578" w:lineRule="auto"/>
      <w:outlineLvl w:val="0"/>
    </w:pPr>
    <w:rPr>
      <w:b/>
      <w:bCs/>
      <w:kern w:val="44"/>
      <w:sz w:val="44"/>
      <w:szCs w:val="44"/>
    </w:rPr>
  </w:style>
  <w:style w:type="paragraph" w:customStyle="1" w:styleId="a-BR353846">
    <w:name w:val="a-BR353846"/>
    <w:qFormat/>
    <w:pPr>
      <w:widowControl w:val="0"/>
      <w:jc w:val="both"/>
    </w:pPr>
    <w:rPr>
      <w:rFonts w:ascii="Times New Roman" w:eastAsia="宋体" w:hAnsi="Times New Roman" w:cs="Times New Roman"/>
      <w:kern w:val="2"/>
      <w:sz w:val="21"/>
      <w:szCs w:val="24"/>
      <w:lang w:val="en-US" w:eastAsia="zh-CN" w:bidi="ar-SA"/>
    </w:rPr>
  </w:style>
  <w:style w:type="character" w:customStyle="1" w:styleId="2">
    <w:name w:val="标题 2 字符"/>
    <w:uiPriority w:val="99"/>
    <w:semiHidden/>
    <w:qFormat/>
    <w:locked/>
    <w:rPr>
      <w:rFonts w:ascii="Cambria" w:eastAsia="宋体" w:hAnsi="Cambria" w:cs="Times New Roman"/>
      <w:b/>
      <w:bCs/>
      <w:sz w:val="32"/>
      <w:szCs w:val="32"/>
    </w:rPr>
  </w:style>
  <w:style w:type="character" w:customStyle="1" w:styleId="3">
    <w:name w:val="标题 3 字符"/>
    <w:uiPriority w:val="99"/>
    <w:semiHidden/>
    <w:qFormat/>
    <w:locked/>
    <w:rPr>
      <w:rFonts w:cs="Times New Roman"/>
      <w:b/>
      <w:bCs/>
      <w:sz w:val="32"/>
      <w:szCs w:val="32"/>
    </w:rPr>
  </w:style>
  <w:style w:type="character" w:customStyle="1" w:styleId="4">
    <w:name w:val="标题 4 字符"/>
    <w:uiPriority w:val="99"/>
    <w:semiHidden/>
    <w:qFormat/>
    <w:locked/>
    <w:rPr>
      <w:rFonts w:ascii="Cambria" w:eastAsia="宋体" w:hAnsi="Cambria" w:cs="Times New Roman"/>
      <w:b/>
      <w:bCs/>
      <w:sz w:val="28"/>
      <w:szCs w:val="28"/>
    </w:rPr>
  </w:style>
  <w:style w:type="character" w:customStyle="1" w:styleId="5">
    <w:name w:val="标题 5 字符"/>
    <w:uiPriority w:val="99"/>
    <w:semiHidden/>
    <w:qFormat/>
    <w:locked/>
    <w:rPr>
      <w:rFonts w:cs="Times New Roman"/>
      <w:b/>
      <w:bCs/>
      <w:sz w:val="28"/>
      <w:szCs w:val="28"/>
    </w:rPr>
  </w:style>
  <w:style w:type="character" w:customStyle="1" w:styleId="6">
    <w:name w:val="标题 6 字符"/>
    <w:uiPriority w:val="99"/>
    <w:semiHidden/>
    <w:qFormat/>
    <w:locked/>
    <w:rPr>
      <w:rFonts w:ascii="Cambria" w:eastAsia="宋体" w:hAnsi="Cambria" w:cs="Times New Roman"/>
      <w:b/>
      <w:bCs/>
      <w:sz w:val="24"/>
      <w:szCs w:val="24"/>
    </w:rPr>
  </w:style>
  <w:style w:type="character" w:customStyle="1" w:styleId="7">
    <w:name w:val="标题 7 字符"/>
    <w:uiPriority w:val="99"/>
    <w:semiHidden/>
    <w:qFormat/>
    <w:locked/>
    <w:rPr>
      <w:rFonts w:cs="Times New Roman"/>
      <w:b/>
      <w:bCs/>
      <w:sz w:val="24"/>
      <w:szCs w:val="24"/>
    </w:rPr>
  </w:style>
  <w:style w:type="character" w:customStyle="1" w:styleId="8">
    <w:name w:val="标题 8 字符"/>
    <w:uiPriority w:val="99"/>
    <w:semiHidden/>
    <w:qFormat/>
    <w:locked/>
    <w:rPr>
      <w:rFonts w:ascii="Cambria" w:eastAsia="宋体" w:hAnsi="Cambria" w:cs="Times New Roman"/>
      <w:sz w:val="24"/>
      <w:szCs w:val="24"/>
    </w:rPr>
  </w:style>
  <w:style w:type="character" w:customStyle="1" w:styleId="9">
    <w:name w:val="标题 9 字符"/>
    <w:uiPriority w:val="99"/>
    <w:semiHidden/>
    <w:qFormat/>
    <w:locked/>
    <w:rPr>
      <w:rFonts w:ascii="Cambria" w:eastAsia="宋体" w:hAnsi="Cambria" w:cs="Times New Roman"/>
      <w:sz w:val="21"/>
      <w:szCs w:val="21"/>
    </w:rPr>
  </w:style>
  <w:style w:type="character" w:customStyle="1" w:styleId="a">
    <w:name w:val="批注文字 字符"/>
    <w:link w:val="a5-BR353846"/>
    <w:uiPriority w:val="99"/>
    <w:qFormat/>
    <w:locked/>
    <w:rPr>
      <w:rFonts w:eastAsia="宋体" w:cs="Times New Roman"/>
      <w:kern w:val="2"/>
      <w:sz w:val="24"/>
      <w:szCs w:val="24"/>
      <w:lang w:val="en-US" w:eastAsia="zh-CN" w:bidi="ar-SA"/>
    </w:rPr>
  </w:style>
  <w:style w:type="paragraph" w:customStyle="1" w:styleId="a5-BR353846">
    <w:name w:val="a5-BR353846"/>
    <w:basedOn w:val="a-BR353846"/>
    <w:link w:val="a"/>
    <w:uiPriority w:val="99"/>
    <w:qFormat/>
    <w:pPr>
      <w:tabs>
        <w:tab w:val="center" w:pos="4153"/>
        <w:tab w:val="right" w:pos="8306"/>
      </w:tabs>
      <w:snapToGrid w:val="0"/>
      <w:jc w:val="center"/>
    </w:pPr>
    <w:rPr>
      <w:sz w:val="18"/>
      <w:szCs w:val="18"/>
      <w:lang w:val="zh-CN"/>
    </w:rPr>
  </w:style>
  <w:style w:type="character" w:customStyle="1" w:styleId="a0">
    <w:name w:val="批注主题 字符"/>
    <w:uiPriority w:val="99"/>
    <w:semiHidden/>
    <w:qFormat/>
    <w:locked/>
    <w:rPr>
      <w:rFonts w:eastAsia="宋体" w:cs="Times New Roman"/>
      <w:b/>
      <w:bCs/>
      <w:kern w:val="2"/>
      <w:sz w:val="24"/>
      <w:szCs w:val="24"/>
      <w:lang w:val="en-US" w:eastAsia="zh-CN" w:bidi="ar-SA"/>
    </w:rPr>
  </w:style>
  <w:style w:type="character" w:customStyle="1" w:styleId="a1">
    <w:name w:val="文档结构图 字符"/>
    <w:basedOn w:val="DefaultParagraphFont"/>
    <w:link w:val="DocumentMap"/>
    <w:uiPriority w:val="99"/>
    <w:semiHidden/>
    <w:qFormat/>
    <w:rPr>
      <w:rFonts w:ascii="宋体"/>
      <w:kern w:val="2"/>
      <w:sz w:val="18"/>
      <w:szCs w:val="18"/>
    </w:rPr>
  </w:style>
  <w:style w:type="character" w:customStyle="1" w:styleId="a2">
    <w:name w:val="正文文本缩进 字符"/>
    <w:link w:val="a9-BR050241"/>
    <w:uiPriority w:val="99"/>
    <w:qFormat/>
    <w:locked/>
    <w:rPr>
      <w:rFonts w:cs="Times New Roman"/>
      <w:color w:val="000000"/>
      <w:kern w:val="2"/>
      <w:sz w:val="21"/>
      <w:szCs w:val="21"/>
    </w:rPr>
  </w:style>
  <w:style w:type="paragraph" w:customStyle="1" w:styleId="a9-BR050241">
    <w:name w:val="a9-BR050241"/>
    <w:basedOn w:val="a-BR050241"/>
    <w:link w:val="a2"/>
    <w:uiPriority w:val="99"/>
    <w:qFormat/>
    <w:pPr>
      <w:spacing w:line="360" w:lineRule="auto"/>
      <w:ind w:firstLine="420" w:firstLineChars="200"/>
    </w:pPr>
    <w:rPr>
      <w:color w:val="000000"/>
      <w:szCs w:val="21"/>
      <w:lang w:val="zh-CN"/>
    </w:rPr>
  </w:style>
  <w:style w:type="paragraph" w:customStyle="1" w:styleId="a-BR050241">
    <w:name w:val="a-BR050241"/>
    <w:qFormat/>
    <w:pPr>
      <w:widowControl w:val="0"/>
      <w:jc w:val="both"/>
    </w:pPr>
    <w:rPr>
      <w:rFonts w:ascii="Times New Roman" w:eastAsia="宋体" w:hAnsi="Times New Roman" w:cs="Times New Roman"/>
      <w:kern w:val="2"/>
      <w:sz w:val="21"/>
      <w:szCs w:val="24"/>
      <w:lang w:val="en-US" w:eastAsia="zh-CN" w:bidi="ar-SA"/>
    </w:rPr>
  </w:style>
  <w:style w:type="character" w:customStyle="1" w:styleId="a3">
    <w:name w:val="日期 字符"/>
    <w:link w:val="Date"/>
    <w:uiPriority w:val="99"/>
    <w:semiHidden/>
    <w:qFormat/>
    <w:locked/>
    <w:rPr>
      <w:rFonts w:cs="Times New Roman"/>
      <w:sz w:val="24"/>
      <w:szCs w:val="24"/>
    </w:rPr>
  </w:style>
  <w:style w:type="character" w:customStyle="1" w:styleId="20">
    <w:name w:val="正文文本缩进 2 字符"/>
    <w:uiPriority w:val="99"/>
    <w:semiHidden/>
    <w:qFormat/>
    <w:locked/>
    <w:rPr>
      <w:rFonts w:cs="Times New Roman"/>
      <w:sz w:val="24"/>
      <w:szCs w:val="24"/>
    </w:rPr>
  </w:style>
  <w:style w:type="character" w:customStyle="1" w:styleId="a4">
    <w:name w:val="批注框文本 字符"/>
    <w:basedOn w:val="DefaultParagraphFont"/>
    <w:link w:val="BalloonText"/>
    <w:uiPriority w:val="99"/>
    <w:semiHidden/>
    <w:qFormat/>
    <w:rPr>
      <w:kern w:val="2"/>
      <w:sz w:val="18"/>
      <w:szCs w:val="18"/>
    </w:rPr>
  </w:style>
  <w:style w:type="character" w:customStyle="1" w:styleId="a5">
    <w:name w:val="页脚 字符"/>
    <w:uiPriority w:val="99"/>
    <w:semiHidden/>
    <w:qFormat/>
    <w:locked/>
    <w:rPr>
      <w:rFonts w:cs="Times New Roman"/>
      <w:sz w:val="18"/>
      <w:szCs w:val="18"/>
    </w:rPr>
  </w:style>
  <w:style w:type="character" w:customStyle="1" w:styleId="a6">
    <w:name w:val="页眉 字符"/>
    <w:uiPriority w:val="99"/>
    <w:qFormat/>
    <w:locked/>
    <w:rPr>
      <w:kern w:val="2"/>
      <w:sz w:val="18"/>
      <w:szCs w:val="18"/>
    </w:rPr>
  </w:style>
  <w:style w:type="character" w:customStyle="1" w:styleId="a7">
    <w:name w:val="脚注文本 字符"/>
    <w:uiPriority w:val="99"/>
    <w:semiHidden/>
    <w:qFormat/>
    <w:locked/>
    <w:rPr>
      <w:rFonts w:cs="Times New Roman"/>
      <w:sz w:val="18"/>
      <w:szCs w:val="18"/>
    </w:rPr>
  </w:style>
  <w:style w:type="paragraph" w:customStyle="1" w:styleId="CharCharCharChar">
    <w:name w:val="Char Char Char Char"/>
    <w:basedOn w:val="Normal"/>
    <w:uiPriority w:val="99"/>
    <w:qFormat/>
    <w:pPr>
      <w:tabs>
        <w:tab w:val="left" w:pos="360"/>
      </w:tabs>
      <w:adjustRightInd w:val="0"/>
      <w:textAlignment w:val="baseline"/>
    </w:pPr>
    <w:rPr>
      <w:szCs w:val="20"/>
    </w:rPr>
  </w:style>
  <w:style w:type="paragraph" w:customStyle="1" w:styleId="CharCharCharCharCharChar1CharCharChar">
    <w:name w:val="Char Char Char Char Char Char1 Char Char Char"/>
    <w:basedOn w:val="Normal"/>
    <w:uiPriority w:val="99"/>
    <w:qFormat/>
    <w:pPr>
      <w:autoSpaceDE w:val="0"/>
      <w:autoSpaceDN w:val="0"/>
      <w:adjustRightInd w:val="0"/>
      <w:jc w:val="left"/>
      <w:textAlignment w:val="baseline"/>
    </w:pPr>
    <w:rPr>
      <w:rFonts w:eastAsia="方正仿宋简体"/>
      <w:sz w:val="32"/>
      <w:szCs w:val="20"/>
    </w:rPr>
  </w:style>
  <w:style w:type="paragraph" w:customStyle="1" w:styleId="a8">
    <w:name w:val="正文所"/>
    <w:basedOn w:val="Normal"/>
    <w:uiPriority w:val="99"/>
    <w:qFormat/>
    <w:pPr>
      <w:spacing w:line="360" w:lineRule="auto"/>
      <w:ind w:firstLine="420" w:firstLineChars="200"/>
    </w:pPr>
    <w:rPr>
      <w:rFonts w:ascii="宋体"/>
      <w:szCs w:val="20"/>
    </w:rPr>
  </w:style>
  <w:style w:type="paragraph" w:customStyle="1" w:styleId="ParaChar">
    <w:name w:val="默认段落字体 Para Char"/>
    <w:basedOn w:val="Normal"/>
    <w:uiPriority w:val="99"/>
    <w:qFormat/>
    <w:pPr>
      <w:tabs>
        <w:tab w:val="left" w:pos="360"/>
      </w:tabs>
      <w:spacing w:before="312" w:after="312" w:line="360" w:lineRule="auto"/>
    </w:pPr>
    <w:rPr>
      <w:sz w:val="24"/>
    </w:rPr>
  </w:style>
  <w:style w:type="paragraph" w:customStyle="1" w:styleId="10">
    <w:name w:val="修订1"/>
    <w:hidden/>
    <w:uiPriority w:val="99"/>
    <w:semiHidden/>
    <w:qFormat/>
    <w:rPr>
      <w:rFonts w:asciiTheme="minorHAnsi" w:eastAsiaTheme="minorEastAsia" w:hAnsiTheme="minorHAnsi" w:cstheme="minorBidi"/>
      <w:kern w:val="2"/>
      <w:sz w:val="21"/>
      <w:szCs w:val="24"/>
      <w:lang w:val="en-US" w:eastAsia="zh-CN" w:bidi="ar-SA"/>
    </w:rPr>
  </w:style>
  <w:style w:type="paragraph" w:customStyle="1" w:styleId="11">
    <w:name w:val="列出段落1"/>
    <w:basedOn w:val="Normal"/>
    <w:uiPriority w:val="99"/>
    <w:qFormat/>
    <w:pPr>
      <w:ind w:firstLine="420" w:firstLineChars="200"/>
    </w:pPr>
  </w:style>
  <w:style w:type="character" w:customStyle="1" w:styleId="CharChar1">
    <w:name w:val="Char Char1"/>
    <w:uiPriority w:val="99"/>
    <w:qFormat/>
    <w:locked/>
    <w:rPr>
      <w:rFonts w:ascii="宋体" w:eastAsia="宋体" w:hAnsi="宋体" w:cs="Times New Roman"/>
      <w:kern w:val="2"/>
      <w:sz w:val="24"/>
      <w:szCs w:val="24"/>
      <w:lang w:val="en-US" w:eastAsia="zh-CN" w:bidi="ar-SA"/>
    </w:rPr>
  </w:style>
  <w:style w:type="paragraph" w:customStyle="1" w:styleId="21">
    <w:name w:val="列出段落2"/>
    <w:basedOn w:val="Normal"/>
    <w:uiPriority w:val="99"/>
    <w:qFormat/>
    <w:pPr>
      <w:ind w:firstLine="420" w:firstLineChars="200"/>
    </w:pPr>
  </w:style>
  <w:style w:type="paragraph" w:customStyle="1" w:styleId="22">
    <w:name w:val="修订2"/>
    <w:hidden/>
    <w:uiPriority w:val="99"/>
    <w:semiHidden/>
    <w:qFormat/>
    <w:rPr>
      <w:rFonts w:asciiTheme="minorHAnsi" w:eastAsiaTheme="minorEastAsia" w:hAnsiTheme="minorHAnsi" w:cstheme="minorBidi"/>
      <w:kern w:val="2"/>
      <w:sz w:val="21"/>
      <w:szCs w:val="24"/>
      <w:lang w:val="en-US" w:eastAsia="zh-CN" w:bidi="ar-SA"/>
    </w:rPr>
  </w:style>
  <w:style w:type="character" w:customStyle="1" w:styleId="a9">
    <w:name w:val="标题 字符"/>
    <w:uiPriority w:val="99"/>
    <w:qFormat/>
    <w:rPr>
      <w:rFonts w:ascii="Cambria" w:hAnsi="Cambria" w:cs="Times New Roman"/>
      <w:b/>
      <w:bCs/>
      <w:kern w:val="2"/>
      <w:sz w:val="32"/>
      <w:szCs w:val="32"/>
    </w:rPr>
  </w:style>
  <w:style w:type="paragraph" w:customStyle="1" w:styleId="a10">
    <w:name w:val="标题  目录"/>
    <w:basedOn w:val="Heading1"/>
    <w:qFormat/>
    <w:pPr>
      <w:jc w:val="center"/>
    </w:pPr>
    <w:rPr>
      <w:rFonts w:ascii="宋体" w:hAnsi="宋体"/>
      <w:sz w:val="28"/>
      <w:szCs w:val="28"/>
    </w:rPr>
  </w:style>
  <w:style w:type="character" w:customStyle="1" w:styleId="Char">
    <w:name w:val="标题  目录 Char"/>
    <w:link w:val="a9-BR353846"/>
    <w:qFormat/>
    <w:rPr>
      <w:rFonts w:ascii="宋体" w:hAnsi="宋体" w:cs="Times New Roman"/>
      <w:b/>
      <w:bCs/>
      <w:kern w:val="44"/>
      <w:sz w:val="28"/>
      <w:szCs w:val="28"/>
    </w:rPr>
  </w:style>
  <w:style w:type="paragraph" w:customStyle="1" w:styleId="a9-BR353846">
    <w:name w:val="a9-BR353846"/>
    <w:basedOn w:val="1-BR353846"/>
    <w:link w:val="Char"/>
    <w:qFormat/>
    <w:pPr>
      <w:jc w:val="center"/>
    </w:pPr>
    <w:rPr>
      <w:rFonts w:ascii="宋体" w:hAnsi="宋体"/>
      <w:sz w:val="28"/>
      <w:szCs w:val="28"/>
      <w:lang w:val="zh-CN"/>
    </w:rPr>
  </w:style>
  <w:style w:type="paragraph" w:customStyle="1" w:styleId="Default">
    <w:name w:val="Default"/>
    <w:uiPriority w:val="99"/>
    <w:qFormat/>
    <w:pPr>
      <w:widowControl w:val="0"/>
      <w:autoSpaceDE w:val="0"/>
      <w:autoSpaceDN w:val="0"/>
      <w:adjustRightInd w:val="0"/>
    </w:pPr>
    <w:rPr>
      <w:rFonts w:ascii="宋体" w:eastAsiaTheme="minorEastAsia" w:hAnsiTheme="minorHAnsi" w:cs="宋体"/>
      <w:color w:val="000000"/>
      <w:sz w:val="24"/>
      <w:szCs w:val="24"/>
      <w:lang w:val="en-US" w:eastAsia="zh-CN" w:bidi="ar-SA"/>
    </w:rPr>
  </w:style>
  <w:style w:type="paragraph" w:customStyle="1" w:styleId="30">
    <w:name w:val="修订3"/>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40">
    <w:name w:val="修订4"/>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31">
    <w:name w:val="列出段落3"/>
    <w:basedOn w:val="Normal"/>
    <w:uiPriority w:val="99"/>
    <w:unhideWhenUsed/>
    <w:qFormat/>
    <w:pPr>
      <w:ind w:firstLine="420" w:firstLineChars="200"/>
    </w:pPr>
  </w:style>
  <w:style w:type="paragraph" w:customStyle="1" w:styleId="50">
    <w:name w:val="修订5"/>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41">
    <w:name w:val="列出段落4"/>
    <w:basedOn w:val="Normal"/>
    <w:uiPriority w:val="99"/>
    <w:unhideWhenUsed/>
    <w:qFormat/>
    <w:pPr>
      <w:ind w:firstLine="420" w:firstLineChars="200"/>
    </w:pPr>
  </w:style>
  <w:style w:type="paragraph" w:customStyle="1" w:styleId="51">
    <w:name w:val="修订51"/>
    <w:uiPriority w:val="99"/>
    <w:qFormat/>
    <w:rPr>
      <w:rFonts w:asciiTheme="minorHAnsi" w:eastAsiaTheme="minorEastAsia" w:hAnsiTheme="minorHAnsi" w:cstheme="minorBidi"/>
      <w:kern w:val="2"/>
      <w:sz w:val="21"/>
      <w:szCs w:val="24"/>
      <w:lang w:val="en-US" w:eastAsia="zh-CN" w:bidi="ar-SA"/>
    </w:rPr>
  </w:style>
  <w:style w:type="paragraph" w:customStyle="1" w:styleId="410">
    <w:name w:val="列出段落41"/>
    <w:basedOn w:val="Normal"/>
    <w:uiPriority w:val="99"/>
    <w:qFormat/>
    <w:pPr>
      <w:ind w:firstLine="420" w:firstLineChars="200"/>
    </w:pPr>
  </w:style>
  <w:style w:type="character" w:customStyle="1" w:styleId="HTML">
    <w:name w:val="HTML 预设格式 字符"/>
    <w:uiPriority w:val="99"/>
    <w:semiHidden/>
    <w:qFormat/>
    <w:rPr>
      <w:rFonts w:ascii="宋体" w:hAnsi="宋体" w:cs="宋体"/>
      <w:sz w:val="24"/>
      <w:szCs w:val="24"/>
    </w:rPr>
  </w:style>
  <w:style w:type="paragraph" w:customStyle="1" w:styleId="52">
    <w:name w:val="列出段落5"/>
    <w:basedOn w:val="Normal"/>
    <w:uiPriority w:val="34"/>
    <w:qFormat/>
    <w:pPr>
      <w:ind w:firstLine="420" w:firstLineChars="200"/>
    </w:pPr>
    <w:rPr>
      <w:rFonts w:ascii="Calibri" w:hAnsi="Calibri"/>
      <w:szCs w:val="22"/>
    </w:rPr>
  </w:style>
  <w:style w:type="paragraph" w:customStyle="1" w:styleId="60">
    <w:name w:val="修订6"/>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70">
    <w:name w:val="修订7"/>
    <w:hidden/>
    <w:uiPriority w:val="99"/>
    <w:semiHidden/>
    <w:qFormat/>
    <w:rPr>
      <w:rFonts w:asciiTheme="minorHAnsi" w:eastAsiaTheme="minorEastAsia" w:hAnsiTheme="minorHAnsi" w:cstheme="minorBidi"/>
      <w:kern w:val="2"/>
      <w:sz w:val="21"/>
      <w:szCs w:val="24"/>
      <w:lang w:val="en-US" w:eastAsia="zh-CN" w:bidi="ar-SA"/>
    </w:rPr>
  </w:style>
  <w:style w:type="paragraph" w:customStyle="1" w:styleId="80">
    <w:name w:val="修订8"/>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90">
    <w:name w:val="修订9"/>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100">
    <w:name w:val="修订10"/>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110">
    <w:name w:val="修订11"/>
    <w:hidden/>
    <w:uiPriority w:val="99"/>
    <w:semiHidden/>
    <w:qFormat/>
    <w:rPr>
      <w:rFonts w:asciiTheme="minorHAnsi" w:eastAsiaTheme="minorEastAsia" w:hAnsiTheme="minorHAnsi" w:cstheme="minorBidi"/>
      <w:kern w:val="2"/>
      <w:sz w:val="21"/>
      <w:szCs w:val="24"/>
      <w:lang w:val="en-US" w:eastAsia="zh-CN" w:bidi="ar-SA"/>
    </w:rPr>
  </w:style>
  <w:style w:type="paragraph" w:customStyle="1" w:styleId="12">
    <w:name w:val="修订12"/>
    <w:hidden/>
    <w:uiPriority w:val="99"/>
    <w:unhideWhenUsed/>
    <w:qFormat/>
    <w:rPr>
      <w:rFonts w:asciiTheme="minorHAnsi" w:eastAsiaTheme="minorEastAsia" w:hAnsiTheme="minorHAnsi" w:cstheme="minorBidi"/>
      <w:kern w:val="2"/>
      <w:sz w:val="21"/>
      <w:szCs w:val="24"/>
      <w:lang w:val="en-US" w:eastAsia="zh-CN" w:bidi="ar-SA"/>
    </w:rPr>
  </w:style>
  <w:style w:type="paragraph" w:customStyle="1" w:styleId="13">
    <w:name w:val="修订13"/>
    <w:hidden/>
    <w:uiPriority w:val="99"/>
    <w:unhideWhenUsed/>
    <w:qFormat/>
    <w:rPr>
      <w:rFonts w:asciiTheme="minorHAnsi" w:eastAsiaTheme="minorEastAsia" w:hAnsiTheme="minorHAnsi" w:cstheme="minorBidi"/>
      <w:kern w:val="2"/>
      <w:sz w:val="21"/>
      <w:szCs w:val="24"/>
      <w:lang w:val="en-US" w:eastAsia="zh-CN" w:bidi="ar-SA"/>
    </w:rPr>
  </w:style>
  <w:style w:type="paragraph" w:styleId="ListParagraph">
    <w:name w:val="List Paragraph"/>
    <w:basedOn w:val="Normal"/>
    <w:uiPriority w:val="99"/>
    <w:unhideWhenUsed/>
    <w:qFormat/>
    <w:pPr>
      <w:ind w:firstLine="420" w:firstLineChars="200"/>
    </w:pPr>
  </w:style>
  <w:style w:type="character" w:styleId="PlaceholderText">
    <w:name w:val="Placeholder Text"/>
    <w:basedOn w:val="DefaultParagraphFont"/>
    <w:uiPriority w:val="99"/>
    <w:qFormat/>
    <w:rPr>
      <w:color w:val="808080"/>
    </w:rPr>
  </w:style>
  <w:style w:type="paragraph" w:customStyle="1" w:styleId="TOC10">
    <w:name w:val="TOC 标题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76092" w:themeColor="accent1" w:themeShade="BF"/>
      <w:kern w:val="0"/>
      <w:sz w:val="32"/>
      <w:szCs w:val="32"/>
      <w:lang w:val="en-US"/>
    </w:rPr>
  </w:style>
  <w:style w:type="paragraph" w:customStyle="1" w:styleId="1-BR781526">
    <w:name w:val="1-BR781526"/>
    <w:basedOn w:val="a-BR781526"/>
    <w:next w:val="a-BR781526"/>
    <w:link w:val="111"/>
    <w:uiPriority w:val="9"/>
    <w:qFormat/>
    <w:pPr>
      <w:keepNext/>
      <w:keepLines/>
      <w:spacing w:before="340" w:after="330" w:line="578" w:lineRule="auto"/>
      <w:outlineLvl w:val="0"/>
    </w:pPr>
    <w:rPr>
      <w:b/>
      <w:bCs/>
      <w:kern w:val="44"/>
      <w:sz w:val="44"/>
      <w:szCs w:val="44"/>
    </w:rPr>
  </w:style>
  <w:style w:type="character" w:customStyle="1" w:styleId="14">
    <w:name w:val="页眉 字符1"/>
    <w:uiPriority w:val="99"/>
    <w:qFormat/>
    <w:rPr>
      <w:rFonts w:ascii="Times New Roman" w:eastAsia="宋体" w:hAnsi="Times New Roman" w:cs="Times New Roman"/>
      <w:sz w:val="18"/>
      <w:szCs w:val="18"/>
    </w:rPr>
  </w:style>
  <w:style w:type="character" w:customStyle="1" w:styleId="15">
    <w:name w:val="页脚 字符1"/>
    <w:uiPriority w:val="99"/>
    <w:qFormat/>
    <w:rPr>
      <w:rFonts w:ascii="Times New Roman" w:eastAsia="宋体" w:hAnsi="Times New Roman" w:cs="Times New Roman"/>
      <w:sz w:val="18"/>
      <w:szCs w:val="18"/>
    </w:rPr>
  </w:style>
  <w:style w:type="character" w:customStyle="1" w:styleId="111">
    <w:name w:val="标题 1 字符1"/>
    <w:link w:val="1-BR781526"/>
    <w:uiPriority w:val="9"/>
    <w:qFormat/>
    <w:rPr>
      <w:rFonts w:ascii="Times New Roman" w:eastAsia="宋体" w:hAnsi="Times New Roman" w:cs="Times New Roman"/>
      <w:b/>
      <w:bCs/>
      <w:kern w:val="44"/>
      <w:sz w:val="44"/>
      <w:szCs w:val="44"/>
    </w:rPr>
  </w:style>
  <w:style w:type="character" w:customStyle="1" w:styleId="210">
    <w:name w:val="标题 2 字符1"/>
    <w:link w:val="Heading2"/>
    <w:uiPriority w:val="9"/>
    <w:qFormat/>
    <w:rPr>
      <w:rFonts w:ascii="等线 Light" w:eastAsia="PMingLiU" w:hAnsi="等线 Light" w:cstheme="majorBidi"/>
      <w:b/>
      <w:bCs/>
      <w:sz w:val="32"/>
      <w:szCs w:val="32"/>
    </w:rPr>
  </w:style>
  <w:style w:type="paragraph" w:customStyle="1" w:styleId="a7-BR781526">
    <w:name w:val="a7-BR781526"/>
    <w:basedOn w:val="1-BR781526"/>
    <w:link w:val="Char1"/>
    <w:qFormat/>
    <w:pPr>
      <w:jc w:val="center"/>
    </w:pPr>
    <w:rPr>
      <w:rFonts w:ascii="宋体" w:hAnsi="宋体"/>
      <w:sz w:val="28"/>
      <w:szCs w:val="28"/>
      <w:lang w:val="zh-CN"/>
    </w:rPr>
  </w:style>
  <w:style w:type="character" w:customStyle="1" w:styleId="Char1">
    <w:name w:val="标题  目录 Char1"/>
    <w:link w:val="a7-BR781526"/>
    <w:qFormat/>
    <w:rPr>
      <w:rFonts w:ascii="宋体" w:eastAsia="宋体" w:hAnsi="宋体" w:cs="Times New Roman"/>
      <w:b/>
      <w:bCs/>
      <w:kern w:val="44"/>
      <w:sz w:val="28"/>
      <w:szCs w:val="28"/>
      <w:lang w:val="zh-CN"/>
    </w:rPr>
  </w:style>
  <w:style w:type="paragraph" w:customStyle="1" w:styleId="11-BR781526">
    <w:name w:val="11-BR781526"/>
    <w:basedOn w:val="a-BR781526"/>
    <w:next w:val="a-BR781526"/>
    <w:uiPriority w:val="39"/>
    <w:qFormat/>
    <w:pPr>
      <w:tabs>
        <w:tab w:val="right" w:leader="dot" w:pos="8296"/>
      </w:tabs>
      <w:spacing w:line="360" w:lineRule="auto"/>
    </w:pPr>
    <w:rPr>
      <w:rFonts w:eastAsia="PMingLiU"/>
    </w:rPr>
  </w:style>
  <w:style w:type="paragraph" w:customStyle="1" w:styleId="TOCHeading1">
    <w:name w:val="TOC Heading1"/>
    <w:next w:val="a-BR781526"/>
    <w:uiPriority w:val="39"/>
    <w:unhideWhenUsed/>
    <w:qFormat/>
    <w:pPr>
      <w:spacing w:before="240" w:line="259" w:lineRule="auto"/>
    </w:pPr>
    <w:rPr>
      <w:rFonts w:ascii="等线 Light" w:eastAsia="PMingLiU" w:hAnsi="等线 Light" w:cstheme="majorBidi"/>
      <w:color w:val="376092" w:themeColor="accent1" w:themeShade="BF"/>
      <w:sz w:val="32"/>
      <w:szCs w:val="32"/>
      <w:lang w:val="en-US" w:eastAsia="zh-CN" w:bidi="ar-SA"/>
    </w:rPr>
  </w:style>
  <w:style w:type="character" w:customStyle="1" w:styleId="16">
    <w:name w:val="文档结构图 字符1"/>
    <w:uiPriority w:val="99"/>
    <w:semiHidden/>
    <w:qFormat/>
    <w:rPr>
      <w:rFonts w:ascii="宋体" w:eastAsia="宋体" w:hAnsi="Times New Roman" w:cs="Times New Roman"/>
      <w:sz w:val="18"/>
      <w:szCs w:val="18"/>
    </w:rPr>
  </w:style>
  <w:style w:type="character" w:customStyle="1" w:styleId="112">
    <w:name w:val="脚注文本 字符11"/>
    <w:uiPriority w:val="99"/>
    <w:semiHidden/>
    <w:qFormat/>
    <w:rPr>
      <w:rFonts w:ascii="Times New Roman" w:eastAsia="宋体" w:hAnsi="Times New Roman" w:cs="Times New Roman"/>
      <w:sz w:val="18"/>
      <w:szCs w:val="18"/>
    </w:rPr>
  </w:style>
  <w:style w:type="paragraph" w:customStyle="1" w:styleId="TOC-BR112710-BR781526">
    <w:name w:val="TOC-BR112710-BR781526"/>
    <w:basedOn w:val="a-BR781526"/>
    <w:next w:val="a-BR781526"/>
    <w:uiPriority w:val="39"/>
    <w:unhideWhenUsed/>
    <w:qFormat/>
    <w:pPr>
      <w:keepNext/>
      <w:keepLines/>
      <w:widowControl/>
      <w:spacing w:before="240" w:line="259" w:lineRule="auto"/>
      <w:jc w:val="left"/>
    </w:pPr>
    <w:rPr>
      <w:rFonts w:ascii="等线 Light" w:eastAsia="PMingLiU" w:hAnsi="等线 Light" w:cstheme="majorBidi"/>
      <w:color w:val="376092" w:themeColor="accent1" w:themeShade="BF"/>
      <w:kern w:val="0"/>
      <w:sz w:val="32"/>
      <w:szCs w:val="32"/>
    </w:rPr>
  </w:style>
  <w:style w:type="character" w:customStyle="1" w:styleId="17">
    <w:name w:val="脚注文本 字符1"/>
    <w:uiPriority w:val="99"/>
    <w:semiHidden/>
    <w:qFormat/>
    <w:rPr>
      <w:rFonts w:ascii="Times New Roman" w:eastAsia="宋体" w:hAnsi="Times New Roman" w:cs="Times New Roman"/>
      <w:kern w:val="0"/>
      <w:sz w:val="18"/>
      <w:szCs w:val="18"/>
      <w:lang w:val="zh-CN"/>
    </w:rPr>
  </w:style>
  <w:style w:type="paragraph" w:customStyle="1" w:styleId="a-BR080568">
    <w:name w:val="a-BR080568"/>
    <w:qFormat/>
    <w:pPr>
      <w:widowControl w:val="0"/>
      <w:jc w:val="both"/>
    </w:pPr>
    <w:rPr>
      <w:rFonts w:ascii="Times New Roman" w:eastAsia="宋体" w:hAnsi="Times New Roman" w:cs="Times New Roman"/>
      <w:kern w:val="2"/>
      <w:sz w:val="21"/>
      <w:szCs w:val="24"/>
      <w:lang w:val="en-US" w:eastAsia="zh-CN" w:bidi="ar-SA"/>
    </w:rPr>
  </w:style>
  <w:style w:type="paragraph" w:customStyle="1" w:styleId="1-BR080568">
    <w:name w:val="1-BR080568"/>
    <w:basedOn w:val="a-BR080568"/>
    <w:next w:val="a-BR080568"/>
    <w:uiPriority w:val="9"/>
    <w:qFormat/>
    <w:pPr>
      <w:keepNext/>
      <w:keepLines/>
      <w:spacing w:before="340" w:after="330" w:line="578" w:lineRule="auto"/>
      <w:outlineLvl w:val="0"/>
    </w:pPr>
    <w:rPr>
      <w:b/>
      <w:bCs/>
      <w:kern w:val="44"/>
      <w:sz w:val="44"/>
      <w:szCs w:val="44"/>
    </w:rPr>
  </w:style>
  <w:style w:type="paragraph" w:customStyle="1" w:styleId="2-BR080568">
    <w:name w:val="2-BR080568"/>
    <w:basedOn w:val="a-BR080568"/>
    <w:uiPriority w:val="99"/>
    <w:qFormat/>
    <w:pPr>
      <w:ind w:firstLine="420" w:firstLineChars="200"/>
    </w:pPr>
  </w:style>
  <w:style w:type="paragraph" w:customStyle="1" w:styleId="a7-BR080568">
    <w:name w:val="a7-BR080568"/>
    <w:basedOn w:val="1-BR080568"/>
    <w:qFormat/>
    <w:pPr>
      <w:jc w:val="center"/>
    </w:pPr>
    <w:rPr>
      <w:rFonts w:ascii="宋体" w:hAnsi="宋体"/>
      <w:sz w:val="28"/>
      <w:szCs w:val="28"/>
      <w:lang w:val="zh-CN"/>
    </w:rPr>
  </w:style>
  <w:style w:type="paragraph" w:customStyle="1" w:styleId="a-BR826604">
    <w:name w:val="a-BR826604"/>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26604">
    <w:name w:val="1-BR826604"/>
    <w:basedOn w:val="a-BR826604"/>
    <w:next w:val="a-BR826604"/>
    <w:uiPriority w:val="9"/>
    <w:qFormat/>
    <w:pPr>
      <w:keepNext/>
      <w:keepLines/>
      <w:spacing w:before="340" w:after="330" w:line="578" w:lineRule="auto"/>
      <w:outlineLvl w:val="0"/>
    </w:pPr>
    <w:rPr>
      <w:b/>
      <w:bCs/>
      <w:kern w:val="44"/>
      <w:sz w:val="44"/>
      <w:szCs w:val="44"/>
    </w:rPr>
  </w:style>
  <w:style w:type="paragraph" w:customStyle="1" w:styleId="a7-BR826604">
    <w:name w:val="a7-BR826604"/>
    <w:basedOn w:val="1-BR826604"/>
    <w:qFormat/>
    <w:pPr>
      <w:jc w:val="center"/>
    </w:pPr>
    <w:rPr>
      <w:rFonts w:ascii="宋体" w:hAnsi="宋体"/>
      <w:sz w:val="28"/>
      <w:szCs w:val="28"/>
      <w:lang w:val="zh-CN"/>
    </w:rPr>
  </w:style>
  <w:style w:type="paragraph" w:customStyle="1" w:styleId="a-BR876164">
    <w:name w:val="a-BR876164"/>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76164">
    <w:name w:val="1-BR876164"/>
    <w:basedOn w:val="a-BR876164"/>
    <w:next w:val="a-BR876164"/>
    <w:uiPriority w:val="9"/>
    <w:qFormat/>
    <w:pPr>
      <w:keepNext/>
      <w:keepLines/>
      <w:spacing w:before="340" w:after="330" w:line="578" w:lineRule="auto"/>
      <w:outlineLvl w:val="0"/>
    </w:pPr>
    <w:rPr>
      <w:b/>
      <w:bCs/>
      <w:kern w:val="44"/>
      <w:sz w:val="44"/>
      <w:szCs w:val="44"/>
    </w:rPr>
  </w:style>
  <w:style w:type="paragraph" w:customStyle="1" w:styleId="a3-BR876164">
    <w:name w:val="a3-BR876164"/>
    <w:basedOn w:val="a-BR876164"/>
    <w:uiPriority w:val="99"/>
    <w:qFormat/>
    <w:pPr>
      <w:ind w:firstLine="420" w:firstLineChars="200"/>
    </w:pPr>
  </w:style>
  <w:style w:type="character" w:customStyle="1" w:styleId="23">
    <w:name w:val="页脚 字符2"/>
    <w:uiPriority w:val="99"/>
    <w:qFormat/>
    <w:rPr>
      <w:rFonts w:ascii="Times New Roman" w:eastAsia="宋体" w:hAnsi="Times New Roman" w:cs="Times New Roman"/>
      <w:sz w:val="18"/>
      <w:szCs w:val="18"/>
    </w:rPr>
  </w:style>
  <w:style w:type="paragraph" w:customStyle="1" w:styleId="a8-BR876164">
    <w:name w:val="a8-BR876164"/>
    <w:basedOn w:val="1-BR876164"/>
    <w:qFormat/>
    <w:pPr>
      <w:jc w:val="center"/>
    </w:pPr>
    <w:rPr>
      <w:rFonts w:ascii="宋体" w:hAnsi="宋体"/>
      <w:sz w:val="28"/>
      <w:szCs w:val="28"/>
      <w:lang w:val="zh-CN"/>
    </w:rPr>
  </w:style>
  <w:style w:type="paragraph" w:customStyle="1" w:styleId="a-BR303871">
    <w:name w:val="a-BR303871"/>
    <w:qFormat/>
    <w:pPr>
      <w:widowControl w:val="0"/>
      <w:jc w:val="both"/>
    </w:pPr>
    <w:rPr>
      <w:rFonts w:ascii="Times New Roman" w:eastAsia="宋体" w:hAnsi="Times New Roman" w:cs="Times New Roman"/>
      <w:kern w:val="2"/>
      <w:sz w:val="21"/>
      <w:szCs w:val="24"/>
      <w:lang w:val="en-US" w:eastAsia="zh-CN" w:bidi="ar-SA"/>
    </w:rPr>
  </w:style>
  <w:style w:type="paragraph" w:customStyle="1" w:styleId="1-BR303871">
    <w:name w:val="1-BR303871"/>
    <w:basedOn w:val="a-BR303871"/>
    <w:next w:val="a-BR303871"/>
    <w:uiPriority w:val="9"/>
    <w:qFormat/>
    <w:pPr>
      <w:keepNext/>
      <w:keepLines/>
      <w:spacing w:before="340" w:after="330" w:line="578" w:lineRule="auto"/>
      <w:outlineLvl w:val="0"/>
    </w:pPr>
    <w:rPr>
      <w:b/>
      <w:bCs/>
      <w:kern w:val="44"/>
      <w:sz w:val="44"/>
      <w:szCs w:val="44"/>
    </w:rPr>
  </w:style>
  <w:style w:type="character" w:customStyle="1" w:styleId="a5-BR303871">
    <w:name w:val="a5-BR303871"/>
    <w:uiPriority w:val="99"/>
    <w:qFormat/>
    <w:rPr>
      <w:rFonts w:ascii="等线" w:eastAsia="PMingLiU" w:hAnsi="等线" w:cs="Times New Roman"/>
      <w:kern w:val="2"/>
      <w:sz w:val="21"/>
      <w:szCs w:val="21"/>
      <w:lang w:val="en-US" w:eastAsia="zh-CN" w:bidi="ar-SA"/>
    </w:rPr>
  </w:style>
  <w:style w:type="character" w:customStyle="1" w:styleId="18">
    <w:name w:val="批注主题 字符1"/>
    <w:link w:val="CommentSubject"/>
    <w:uiPriority w:val="99"/>
    <w:qFormat/>
    <w:rPr>
      <w:rFonts w:ascii="Times New Roman" w:eastAsia="宋体" w:hAnsi="Times New Roman" w:cs="Times New Roman"/>
      <w:sz w:val="24"/>
      <w:szCs w:val="24"/>
    </w:rPr>
  </w:style>
  <w:style w:type="paragraph" w:customStyle="1" w:styleId="ac-BR303871">
    <w:name w:val="ac-BR303871"/>
    <w:basedOn w:val="1-BR303871"/>
    <w:qFormat/>
    <w:pPr>
      <w:jc w:val="center"/>
    </w:pPr>
    <w:rPr>
      <w:rFonts w:ascii="宋体" w:hAnsi="宋体"/>
      <w:sz w:val="28"/>
      <w:szCs w:val="28"/>
      <w:lang w:val="zh-CN"/>
    </w:rPr>
  </w:style>
  <w:style w:type="paragraph" w:customStyle="1" w:styleId="a-BR648578">
    <w:name w:val="a-BR648578"/>
    <w:qFormat/>
    <w:pPr>
      <w:widowControl w:val="0"/>
      <w:jc w:val="both"/>
    </w:pPr>
    <w:rPr>
      <w:rFonts w:ascii="Times New Roman" w:eastAsia="宋体" w:hAnsi="Times New Roman" w:cs="Times New Roman"/>
      <w:kern w:val="2"/>
      <w:sz w:val="21"/>
      <w:szCs w:val="24"/>
      <w:lang w:val="en-US" w:eastAsia="zh-CN" w:bidi="ar-SA"/>
    </w:rPr>
  </w:style>
  <w:style w:type="paragraph" w:customStyle="1" w:styleId="1-BR648578">
    <w:name w:val="1-BR648578"/>
    <w:basedOn w:val="a-BR648578"/>
    <w:next w:val="a-BR648578"/>
    <w:uiPriority w:val="9"/>
    <w:qFormat/>
    <w:pPr>
      <w:keepNext/>
      <w:keepLines/>
      <w:spacing w:before="340" w:after="330" w:line="578" w:lineRule="auto"/>
      <w:outlineLvl w:val="0"/>
    </w:pPr>
    <w:rPr>
      <w:b/>
      <w:bCs/>
      <w:kern w:val="44"/>
      <w:sz w:val="44"/>
      <w:szCs w:val="44"/>
    </w:rPr>
  </w:style>
  <w:style w:type="paragraph" w:customStyle="1" w:styleId="a7-BR648578">
    <w:name w:val="a7-BR648578"/>
    <w:basedOn w:val="1-BR648578"/>
    <w:qFormat/>
    <w:pPr>
      <w:jc w:val="center"/>
    </w:pPr>
    <w:rPr>
      <w:rFonts w:ascii="宋体" w:hAnsi="宋体"/>
      <w:sz w:val="28"/>
      <w:szCs w:val="28"/>
      <w:lang w:val="zh-CN"/>
    </w:rPr>
  </w:style>
  <w:style w:type="paragraph" w:customStyle="1" w:styleId="a-BR377247">
    <w:name w:val="a-BR377247"/>
    <w:qFormat/>
    <w:pPr>
      <w:widowControl w:val="0"/>
      <w:jc w:val="both"/>
    </w:pPr>
    <w:rPr>
      <w:rFonts w:ascii="Times New Roman" w:eastAsia="宋体" w:hAnsi="Times New Roman" w:cs="Times New Roman"/>
      <w:kern w:val="2"/>
      <w:sz w:val="21"/>
      <w:szCs w:val="24"/>
      <w:lang w:val="en-US" w:eastAsia="zh-CN" w:bidi="ar-SA"/>
    </w:rPr>
  </w:style>
  <w:style w:type="paragraph" w:customStyle="1" w:styleId="1-BR377247">
    <w:name w:val="1-BR377247"/>
    <w:basedOn w:val="a-BR377247"/>
    <w:next w:val="a-BR377247"/>
    <w:uiPriority w:val="9"/>
    <w:qFormat/>
    <w:pPr>
      <w:keepNext/>
      <w:keepLines/>
      <w:spacing w:before="340" w:after="330" w:line="578" w:lineRule="auto"/>
      <w:outlineLvl w:val="0"/>
    </w:pPr>
    <w:rPr>
      <w:b/>
      <w:bCs/>
      <w:kern w:val="44"/>
      <w:sz w:val="44"/>
      <w:szCs w:val="44"/>
    </w:rPr>
  </w:style>
  <w:style w:type="table" w:customStyle="1" w:styleId="a1-BR377247">
    <w:name w:val="a1-BR377247"/>
    <w:uiPriority w:val="99"/>
    <w:semiHidden/>
    <w:unhideWhenUsed/>
    <w:qFormat/>
    <w:rPr>
      <w:rFonts w:ascii="等线" w:eastAsia="PMingLiU" w:hAnsi="等线"/>
      <w:kern w:val="2"/>
      <w:sz w:val="21"/>
      <w:szCs w:val="22"/>
    </w:rPr>
    <w:tblPr>
      <w:tblCellMar>
        <w:top w:w="0" w:type="dxa"/>
        <w:left w:w="108" w:type="dxa"/>
        <w:bottom w:w="0" w:type="dxa"/>
        <w:right w:w="108" w:type="dxa"/>
      </w:tblCellMar>
    </w:tblPr>
  </w:style>
  <w:style w:type="character" w:customStyle="1" w:styleId="a5-BR377247">
    <w:name w:val="a5-BR377247"/>
    <w:uiPriority w:val="99"/>
    <w:qFormat/>
    <w:rPr>
      <w:rFonts w:ascii="等线" w:eastAsia="PMingLiU" w:hAnsi="等线" w:cs="Times New Roman"/>
      <w:kern w:val="2"/>
      <w:sz w:val="21"/>
      <w:szCs w:val="21"/>
      <w:lang w:val="en-US" w:eastAsia="zh-CN" w:bidi="ar-SA"/>
    </w:rPr>
  </w:style>
  <w:style w:type="table" w:customStyle="1" w:styleId="a6-BR377247">
    <w:name w:val="a6-BR377247"/>
    <w:basedOn w:val="a1-BR377247"/>
    <w:uiPriority w:val="39"/>
    <w:qFormat/>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BR377247">
    <w:name w:val="ae-BR377247"/>
    <w:basedOn w:val="a-BR377247"/>
    <w:uiPriority w:val="34"/>
    <w:qFormat/>
    <w:pPr>
      <w:ind w:firstLine="420" w:firstLineChars="200"/>
    </w:pPr>
  </w:style>
  <w:style w:type="paragraph" w:customStyle="1" w:styleId="af-BR377247">
    <w:name w:val="af-BR377247"/>
    <w:basedOn w:val="1-BR377247"/>
    <w:qFormat/>
    <w:pPr>
      <w:jc w:val="center"/>
    </w:pPr>
    <w:rPr>
      <w:rFonts w:ascii="宋体" w:hAnsi="宋体"/>
      <w:sz w:val="28"/>
      <w:szCs w:val="28"/>
      <w:lang w:val="zh-CN"/>
    </w:rPr>
  </w:style>
  <w:style w:type="paragraph" w:customStyle="1" w:styleId="a-BR332808">
    <w:name w:val="a-BR332808"/>
    <w:qFormat/>
    <w:pPr>
      <w:widowControl w:val="0"/>
      <w:jc w:val="both"/>
    </w:pPr>
    <w:rPr>
      <w:rFonts w:ascii="Times New Roman" w:eastAsia="宋体" w:hAnsi="Times New Roman" w:cs="Times New Roman"/>
      <w:kern w:val="2"/>
      <w:sz w:val="21"/>
      <w:szCs w:val="24"/>
      <w:lang w:val="en-US" w:eastAsia="zh-CN" w:bidi="ar-SA"/>
    </w:rPr>
  </w:style>
  <w:style w:type="character" w:customStyle="1" w:styleId="a7-BR332808">
    <w:name w:val="a7-BR332808"/>
    <w:uiPriority w:val="99"/>
    <w:qFormat/>
    <w:rPr>
      <w:rFonts w:ascii="等线" w:eastAsia="PMingLiU" w:hAnsi="等线" w:cs="Times New Roman"/>
      <w:kern w:val="2"/>
      <w:sz w:val="21"/>
      <w:szCs w:val="21"/>
      <w:lang w:val="en-US" w:eastAsia="zh-CN" w:bidi="ar-SA"/>
    </w:rPr>
  </w:style>
  <w:style w:type="paragraph" w:customStyle="1" w:styleId="a-BR484252">
    <w:name w:val="a-BR484252"/>
    <w:qFormat/>
    <w:pPr>
      <w:widowControl w:val="0"/>
      <w:jc w:val="both"/>
    </w:pPr>
    <w:rPr>
      <w:rFonts w:ascii="Times New Roman" w:eastAsia="宋体" w:hAnsi="Times New Roman" w:cs="Times New Roman"/>
      <w:kern w:val="2"/>
      <w:sz w:val="21"/>
      <w:szCs w:val="24"/>
      <w:lang w:val="en-US" w:eastAsia="zh-CN" w:bidi="ar-SA"/>
    </w:rPr>
  </w:style>
  <w:style w:type="paragraph" w:customStyle="1" w:styleId="1-BR484252">
    <w:name w:val="1-BR484252"/>
    <w:basedOn w:val="a-BR484252"/>
    <w:next w:val="a-BR484252"/>
    <w:uiPriority w:val="9"/>
    <w:qFormat/>
    <w:pPr>
      <w:keepNext/>
      <w:keepLines/>
      <w:spacing w:before="340" w:after="330" w:line="578" w:lineRule="auto"/>
      <w:outlineLvl w:val="0"/>
    </w:pPr>
    <w:rPr>
      <w:b/>
      <w:bCs/>
      <w:kern w:val="44"/>
      <w:sz w:val="44"/>
      <w:szCs w:val="44"/>
    </w:rPr>
  </w:style>
  <w:style w:type="paragraph" w:customStyle="1" w:styleId="a3-BR484252">
    <w:name w:val="a3-BR484252"/>
    <w:basedOn w:val="a-BR484252"/>
    <w:uiPriority w:val="99"/>
    <w:qFormat/>
    <w:pPr>
      <w:spacing w:line="360" w:lineRule="auto"/>
      <w:ind w:firstLine="420" w:firstLineChars="200"/>
    </w:pPr>
    <w:rPr>
      <w:rFonts w:ascii="宋体"/>
      <w:szCs w:val="20"/>
    </w:rPr>
  </w:style>
  <w:style w:type="paragraph" w:customStyle="1" w:styleId="a9-BR484252">
    <w:name w:val="a9-BR484252"/>
    <w:basedOn w:val="1-BR484252"/>
    <w:qFormat/>
    <w:pPr>
      <w:jc w:val="center"/>
    </w:pPr>
    <w:rPr>
      <w:rFonts w:ascii="宋体" w:hAnsi="宋体"/>
      <w:sz w:val="28"/>
      <w:szCs w:val="28"/>
      <w:lang w:val="zh-CN"/>
    </w:rPr>
  </w:style>
  <w:style w:type="paragraph" w:customStyle="1" w:styleId="a-BR271517">
    <w:name w:val="a-BR271517"/>
    <w:qFormat/>
    <w:pPr>
      <w:widowControl w:val="0"/>
      <w:jc w:val="both"/>
    </w:pPr>
    <w:rPr>
      <w:rFonts w:ascii="Times New Roman" w:eastAsia="宋体" w:hAnsi="Times New Roman" w:cs="Times New Roman"/>
      <w:kern w:val="2"/>
      <w:sz w:val="21"/>
      <w:szCs w:val="24"/>
      <w:lang w:val="en-US" w:eastAsia="zh-CN" w:bidi="ar-SA"/>
    </w:rPr>
  </w:style>
  <w:style w:type="paragraph" w:customStyle="1" w:styleId="1-BR271517">
    <w:name w:val="1-BR271517"/>
    <w:basedOn w:val="a-BR271517"/>
    <w:next w:val="a-BR271517"/>
    <w:uiPriority w:val="9"/>
    <w:qFormat/>
    <w:pPr>
      <w:keepNext/>
      <w:keepLines/>
      <w:spacing w:before="340" w:after="330" w:line="578" w:lineRule="auto"/>
      <w:outlineLvl w:val="0"/>
    </w:pPr>
    <w:rPr>
      <w:b/>
      <w:bCs/>
      <w:kern w:val="44"/>
      <w:sz w:val="44"/>
      <w:szCs w:val="44"/>
    </w:rPr>
  </w:style>
  <w:style w:type="paragraph" w:customStyle="1" w:styleId="a7-BR271517">
    <w:name w:val="a7-BR271517"/>
    <w:basedOn w:val="1-BR271517"/>
    <w:qFormat/>
    <w:pPr>
      <w:jc w:val="center"/>
    </w:pPr>
    <w:rPr>
      <w:rFonts w:ascii="宋体" w:hAnsi="宋体"/>
      <w:sz w:val="28"/>
      <w:szCs w:val="28"/>
      <w:lang w:val="zh-CN"/>
    </w:rPr>
  </w:style>
  <w:style w:type="paragraph" w:customStyle="1" w:styleId="a-BR833544">
    <w:name w:val="a-BR833544"/>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33544">
    <w:name w:val="1-BR833544"/>
    <w:basedOn w:val="a-BR833544"/>
    <w:next w:val="a-BR833544"/>
    <w:uiPriority w:val="9"/>
    <w:qFormat/>
    <w:pPr>
      <w:keepNext/>
      <w:keepLines/>
      <w:spacing w:before="340" w:after="330" w:line="578" w:lineRule="auto"/>
      <w:outlineLvl w:val="0"/>
    </w:pPr>
    <w:rPr>
      <w:b/>
      <w:bCs/>
      <w:kern w:val="44"/>
      <w:sz w:val="44"/>
      <w:szCs w:val="44"/>
    </w:rPr>
  </w:style>
  <w:style w:type="paragraph" w:customStyle="1" w:styleId="a7-BR833544">
    <w:name w:val="a7-BR833544"/>
    <w:basedOn w:val="1-BR833544"/>
    <w:qFormat/>
    <w:pPr>
      <w:jc w:val="center"/>
    </w:pPr>
    <w:rPr>
      <w:rFonts w:ascii="宋体" w:hAnsi="宋体"/>
      <w:sz w:val="28"/>
      <w:szCs w:val="28"/>
      <w:lang w:val="zh-CN"/>
    </w:rPr>
  </w:style>
  <w:style w:type="paragraph" w:customStyle="1" w:styleId="a-BR833747">
    <w:name w:val="a-BR833747"/>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33747">
    <w:name w:val="1-BR833747"/>
    <w:basedOn w:val="a-BR833747"/>
    <w:next w:val="a-BR833747"/>
    <w:uiPriority w:val="9"/>
    <w:qFormat/>
    <w:pPr>
      <w:keepNext/>
      <w:keepLines/>
      <w:spacing w:before="340" w:after="330" w:line="578" w:lineRule="auto"/>
      <w:outlineLvl w:val="0"/>
    </w:pPr>
    <w:rPr>
      <w:b/>
      <w:bCs/>
      <w:kern w:val="44"/>
      <w:sz w:val="44"/>
      <w:szCs w:val="44"/>
    </w:rPr>
  </w:style>
  <w:style w:type="paragraph" w:customStyle="1" w:styleId="3-BR833747">
    <w:name w:val="3-BR833747"/>
    <w:basedOn w:val="a-BR833747"/>
    <w:uiPriority w:val="99"/>
    <w:qFormat/>
    <w:pPr>
      <w:ind w:firstLine="420" w:firstLineChars="200"/>
    </w:pPr>
  </w:style>
  <w:style w:type="paragraph" w:customStyle="1" w:styleId="a6-BR833747">
    <w:name w:val="a6-BR833747"/>
    <w:basedOn w:val="a-BR833747"/>
    <w:uiPriority w:val="99"/>
    <w:qFormat/>
    <w:pPr>
      <w:ind w:firstLine="420" w:firstLineChars="200"/>
    </w:pPr>
  </w:style>
  <w:style w:type="paragraph" w:customStyle="1" w:styleId="ae-BR833747">
    <w:name w:val="ae-BR833747"/>
    <w:basedOn w:val="1-BR833747"/>
    <w:qFormat/>
    <w:pPr>
      <w:jc w:val="center"/>
    </w:pPr>
    <w:rPr>
      <w:rFonts w:ascii="宋体" w:hAnsi="宋体"/>
      <w:sz w:val="28"/>
      <w:szCs w:val="28"/>
      <w:lang w:val="zh-CN"/>
    </w:rPr>
  </w:style>
  <w:style w:type="paragraph" w:customStyle="1" w:styleId="a-BR821607">
    <w:name w:val="a-BR821607"/>
    <w:qFormat/>
    <w:pPr>
      <w:widowControl w:val="0"/>
      <w:jc w:val="both"/>
    </w:pPr>
    <w:rPr>
      <w:rFonts w:ascii="Times New Roman" w:eastAsia="宋体" w:hAnsi="Times New Roman" w:cs="Times New Roman"/>
      <w:kern w:val="2"/>
      <w:sz w:val="21"/>
      <w:szCs w:val="24"/>
      <w:lang w:val="en-US" w:eastAsia="zh-CN" w:bidi="ar-SA"/>
    </w:rPr>
  </w:style>
  <w:style w:type="paragraph" w:customStyle="1" w:styleId="a-BR883622">
    <w:name w:val="a-BR883622"/>
    <w:qFormat/>
    <w:pPr>
      <w:widowControl w:val="0"/>
      <w:jc w:val="both"/>
    </w:pPr>
    <w:rPr>
      <w:rFonts w:ascii="Times New Roman" w:eastAsia="宋体" w:hAnsi="Times New Roman" w:cs="Times New Roman"/>
      <w:kern w:val="2"/>
      <w:sz w:val="21"/>
      <w:szCs w:val="24"/>
      <w:lang w:val="en-US" w:eastAsia="zh-CN" w:bidi="ar-SA"/>
    </w:rPr>
  </w:style>
  <w:style w:type="paragraph" w:customStyle="1" w:styleId="a9-BR883622">
    <w:name w:val="a9-BR883622"/>
    <w:basedOn w:val="a-BR883622"/>
    <w:uiPriority w:val="99"/>
    <w:unhideWhenUsed/>
    <w:qFormat/>
    <w:pPr>
      <w:ind w:firstLine="420" w:firstLineChars="200"/>
    </w:pPr>
  </w:style>
  <w:style w:type="character" w:customStyle="1" w:styleId="HTML1">
    <w:name w:val="HTML 预设格式 字符1"/>
    <w:link w:val="HTMLPreformatted"/>
    <w:uiPriority w:val="99"/>
    <w:semiHidden/>
    <w:qFormat/>
    <w:rPr>
      <w:rFonts w:ascii="宋体" w:eastAsia="宋体" w:hAnsi="宋体" w:cs="宋体"/>
      <w:kern w:val="0"/>
      <w:sz w:val="24"/>
      <w:szCs w:val="24"/>
    </w:rPr>
  </w:style>
  <w:style w:type="paragraph" w:customStyle="1" w:styleId="a-BR503101">
    <w:name w:val="a-BR503101"/>
    <w:qFormat/>
    <w:pPr>
      <w:widowControl w:val="0"/>
      <w:jc w:val="both"/>
    </w:pPr>
    <w:rPr>
      <w:rFonts w:ascii="Times New Roman" w:eastAsia="宋体" w:hAnsi="Times New Roman" w:cs="Times New Roman"/>
      <w:kern w:val="2"/>
      <w:sz w:val="21"/>
      <w:szCs w:val="24"/>
      <w:lang w:val="en-US" w:eastAsia="zh-CN" w:bidi="ar-SA"/>
    </w:rPr>
  </w:style>
  <w:style w:type="paragraph" w:customStyle="1" w:styleId="1-BR503101">
    <w:name w:val="1-BR503101"/>
    <w:basedOn w:val="a-BR503101"/>
    <w:next w:val="a-BR503101"/>
    <w:uiPriority w:val="9"/>
    <w:qFormat/>
    <w:pPr>
      <w:keepNext/>
      <w:keepLines/>
      <w:spacing w:before="340" w:after="330" w:line="578" w:lineRule="auto"/>
      <w:outlineLvl w:val="0"/>
    </w:pPr>
    <w:rPr>
      <w:b/>
      <w:bCs/>
      <w:kern w:val="44"/>
      <w:sz w:val="44"/>
      <w:szCs w:val="44"/>
    </w:rPr>
  </w:style>
  <w:style w:type="paragraph" w:customStyle="1" w:styleId="a7-BR503101">
    <w:name w:val="a7-BR503101"/>
    <w:basedOn w:val="1-BR503101"/>
    <w:qFormat/>
    <w:pPr>
      <w:jc w:val="center"/>
    </w:pPr>
    <w:rPr>
      <w:rFonts w:ascii="宋体" w:hAnsi="宋体"/>
      <w:sz w:val="28"/>
      <w:szCs w:val="28"/>
      <w:lang w:val="zh-CN"/>
    </w:rPr>
  </w:style>
  <w:style w:type="paragraph" w:customStyle="1" w:styleId="a-BR778146">
    <w:name w:val="a-BR778146"/>
    <w:qFormat/>
    <w:pPr>
      <w:widowControl w:val="0"/>
      <w:jc w:val="both"/>
    </w:pPr>
    <w:rPr>
      <w:rFonts w:ascii="Times New Roman" w:eastAsia="宋体" w:hAnsi="Times New Roman" w:cs="Times New Roman"/>
      <w:kern w:val="2"/>
      <w:sz w:val="21"/>
      <w:szCs w:val="24"/>
      <w:lang w:val="en-US" w:eastAsia="zh-CN" w:bidi="ar-SA"/>
    </w:rPr>
  </w:style>
  <w:style w:type="paragraph" w:customStyle="1" w:styleId="1-BR778146">
    <w:name w:val="1-BR778146"/>
    <w:basedOn w:val="a-BR778146"/>
    <w:next w:val="a-BR778146"/>
    <w:uiPriority w:val="9"/>
    <w:qFormat/>
    <w:pPr>
      <w:keepNext/>
      <w:keepLines/>
      <w:spacing w:before="340" w:after="330" w:line="578" w:lineRule="auto"/>
      <w:outlineLvl w:val="0"/>
    </w:pPr>
    <w:rPr>
      <w:b/>
      <w:bCs/>
      <w:kern w:val="44"/>
      <w:sz w:val="44"/>
      <w:szCs w:val="44"/>
    </w:rPr>
  </w:style>
  <w:style w:type="paragraph" w:customStyle="1" w:styleId="a3-BR778146">
    <w:name w:val="a3-BR778146"/>
    <w:basedOn w:val="a-BR778146"/>
    <w:uiPriority w:val="99"/>
    <w:qFormat/>
    <w:pPr>
      <w:spacing w:line="360" w:lineRule="auto"/>
      <w:ind w:firstLine="420" w:firstLineChars="200"/>
    </w:pPr>
    <w:rPr>
      <w:color w:val="000000"/>
      <w:szCs w:val="21"/>
      <w:lang w:val="zh-CN"/>
    </w:rPr>
  </w:style>
  <w:style w:type="character" w:customStyle="1" w:styleId="a5-BR778146">
    <w:name w:val="a5-BR778146"/>
    <w:uiPriority w:val="99"/>
    <w:qFormat/>
    <w:rPr>
      <w:rFonts w:ascii="等线" w:eastAsia="PMingLiU" w:hAnsi="等线" w:cs="Times New Roman"/>
      <w:kern w:val="2"/>
      <w:sz w:val="21"/>
      <w:szCs w:val="21"/>
      <w:lang w:val="en-US" w:eastAsia="zh-CN" w:bidi="ar-SA"/>
    </w:rPr>
  </w:style>
  <w:style w:type="paragraph" w:customStyle="1" w:styleId="aa-BR778146">
    <w:name w:val="aa-BR778146"/>
    <w:basedOn w:val="1-BR778146"/>
    <w:qFormat/>
    <w:pPr>
      <w:jc w:val="center"/>
    </w:pPr>
    <w:rPr>
      <w:rFonts w:ascii="宋体" w:hAnsi="宋体"/>
      <w:sz w:val="28"/>
      <w:szCs w:val="28"/>
      <w:lang w:val="zh-CN"/>
    </w:rPr>
  </w:style>
  <w:style w:type="paragraph" w:customStyle="1" w:styleId="a-BR422077">
    <w:name w:val="a-BR422077"/>
    <w:qFormat/>
    <w:pPr>
      <w:widowControl w:val="0"/>
      <w:jc w:val="both"/>
    </w:pPr>
    <w:rPr>
      <w:rFonts w:ascii="Times New Roman" w:eastAsia="宋体" w:hAnsi="Times New Roman" w:cs="Times New Roman"/>
      <w:kern w:val="2"/>
      <w:sz w:val="21"/>
      <w:szCs w:val="24"/>
      <w:lang w:val="en-US" w:eastAsia="zh-CN" w:bidi="ar-SA"/>
    </w:rPr>
  </w:style>
  <w:style w:type="paragraph" w:customStyle="1" w:styleId="1-BR422077">
    <w:name w:val="1-BR422077"/>
    <w:basedOn w:val="a-BR422077"/>
    <w:next w:val="a-BR422077"/>
    <w:uiPriority w:val="9"/>
    <w:qFormat/>
    <w:pPr>
      <w:keepNext/>
      <w:keepLines/>
      <w:spacing w:before="340" w:after="330" w:line="578" w:lineRule="auto"/>
      <w:outlineLvl w:val="0"/>
    </w:pPr>
    <w:rPr>
      <w:b/>
      <w:bCs/>
      <w:kern w:val="44"/>
      <w:sz w:val="44"/>
      <w:szCs w:val="44"/>
    </w:rPr>
  </w:style>
  <w:style w:type="paragraph" w:customStyle="1" w:styleId="a7-BR422077">
    <w:name w:val="a7-BR422077"/>
    <w:basedOn w:val="1-BR422077"/>
    <w:qFormat/>
    <w:pPr>
      <w:jc w:val="center"/>
    </w:pPr>
    <w:rPr>
      <w:rFonts w:ascii="宋体" w:hAnsi="宋体"/>
      <w:sz w:val="28"/>
      <w:szCs w:val="28"/>
      <w:lang w:val="zh-CN"/>
    </w:rPr>
  </w:style>
  <w:style w:type="paragraph" w:customStyle="1" w:styleId="a-BR506228">
    <w:name w:val="a-BR506228"/>
    <w:qFormat/>
    <w:pPr>
      <w:widowControl w:val="0"/>
      <w:jc w:val="both"/>
    </w:pPr>
    <w:rPr>
      <w:rFonts w:ascii="Times New Roman" w:eastAsia="宋体" w:hAnsi="Times New Roman" w:cs="Times New Roman"/>
      <w:kern w:val="2"/>
      <w:sz w:val="21"/>
      <w:szCs w:val="24"/>
      <w:lang w:val="en-US" w:eastAsia="zh-CN" w:bidi="ar-SA"/>
    </w:rPr>
  </w:style>
  <w:style w:type="paragraph" w:customStyle="1" w:styleId="1-BR506228">
    <w:name w:val="1-BR506228"/>
    <w:basedOn w:val="a-BR506228"/>
    <w:next w:val="a-BR506228"/>
    <w:uiPriority w:val="9"/>
    <w:qFormat/>
    <w:pPr>
      <w:keepNext/>
      <w:keepLines/>
      <w:spacing w:before="340" w:after="330" w:line="578" w:lineRule="auto"/>
      <w:outlineLvl w:val="0"/>
    </w:pPr>
    <w:rPr>
      <w:b/>
      <w:bCs/>
      <w:kern w:val="44"/>
      <w:sz w:val="44"/>
      <w:szCs w:val="44"/>
    </w:rPr>
  </w:style>
  <w:style w:type="character" w:customStyle="1" w:styleId="a3-BR506228">
    <w:name w:val="a3-BR506228"/>
    <w:uiPriority w:val="99"/>
    <w:qFormat/>
    <w:rPr>
      <w:rFonts w:ascii="等线" w:eastAsia="PMingLiU" w:hAnsi="等线" w:cs="Times New Roman"/>
      <w:kern w:val="2"/>
      <w:sz w:val="21"/>
      <w:szCs w:val="21"/>
      <w:lang w:val="en-US" w:eastAsia="zh-CN" w:bidi="ar-SA"/>
    </w:rPr>
  </w:style>
  <w:style w:type="paragraph" w:customStyle="1" w:styleId="a8-BR506228">
    <w:name w:val="a8-BR506228"/>
    <w:basedOn w:val="1-BR506228"/>
    <w:qFormat/>
    <w:pPr>
      <w:jc w:val="center"/>
    </w:pPr>
    <w:rPr>
      <w:rFonts w:ascii="宋体" w:hAnsi="宋体"/>
      <w:sz w:val="28"/>
      <w:szCs w:val="28"/>
      <w:lang w:val="zh-CN"/>
    </w:rPr>
  </w:style>
  <w:style w:type="paragraph" w:customStyle="1" w:styleId="a-BR813011">
    <w:name w:val="a-BR813011"/>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13011">
    <w:name w:val="1-BR813011"/>
    <w:basedOn w:val="a-BR813011"/>
    <w:next w:val="a-BR813011"/>
    <w:uiPriority w:val="9"/>
    <w:qFormat/>
    <w:pPr>
      <w:keepNext/>
      <w:keepLines/>
      <w:spacing w:before="340" w:after="330" w:line="578" w:lineRule="auto"/>
      <w:outlineLvl w:val="0"/>
    </w:pPr>
    <w:rPr>
      <w:b/>
      <w:bCs/>
      <w:kern w:val="44"/>
      <w:sz w:val="44"/>
      <w:szCs w:val="44"/>
    </w:rPr>
  </w:style>
  <w:style w:type="paragraph" w:customStyle="1" w:styleId="a3-BR813011">
    <w:name w:val="a3-BR813011"/>
    <w:basedOn w:val="a-BR813011"/>
    <w:uiPriority w:val="99"/>
    <w:qFormat/>
    <w:pPr>
      <w:spacing w:line="360" w:lineRule="auto"/>
      <w:ind w:firstLine="420" w:firstLineChars="200"/>
    </w:pPr>
    <w:rPr>
      <w:color w:val="000000"/>
      <w:szCs w:val="21"/>
      <w:lang w:val="zh-CN"/>
    </w:rPr>
  </w:style>
  <w:style w:type="paragraph" w:customStyle="1" w:styleId="a6-BR813011">
    <w:name w:val="a6-BR813011"/>
    <w:basedOn w:val="a-BR813011"/>
    <w:uiPriority w:val="99"/>
    <w:qFormat/>
    <w:pPr>
      <w:ind w:firstLine="420" w:firstLineChars="200"/>
    </w:pPr>
  </w:style>
  <w:style w:type="paragraph" w:customStyle="1" w:styleId="ad-BR813011">
    <w:name w:val="ad-BR813011"/>
    <w:basedOn w:val="1-BR813011"/>
    <w:qFormat/>
    <w:pPr>
      <w:jc w:val="center"/>
    </w:pPr>
    <w:rPr>
      <w:rFonts w:ascii="宋体" w:hAnsi="宋体"/>
      <w:sz w:val="28"/>
      <w:szCs w:val="28"/>
      <w:lang w:val="zh-CN"/>
    </w:rPr>
  </w:style>
  <w:style w:type="paragraph" w:customStyle="1" w:styleId="a-BR162256">
    <w:name w:val="a-BR162256"/>
    <w:qFormat/>
    <w:pPr>
      <w:widowControl w:val="0"/>
      <w:jc w:val="both"/>
    </w:pPr>
    <w:rPr>
      <w:rFonts w:ascii="Times New Roman" w:eastAsia="宋体" w:hAnsi="Times New Roman" w:cs="Times New Roman"/>
      <w:kern w:val="2"/>
      <w:sz w:val="21"/>
      <w:szCs w:val="24"/>
      <w:lang w:val="en-US" w:eastAsia="zh-CN" w:bidi="ar-SA"/>
    </w:rPr>
  </w:style>
  <w:style w:type="character" w:customStyle="1" w:styleId="19">
    <w:name w:val="正文文本缩进 字符1"/>
    <w:link w:val="BodyTextIndent"/>
    <w:uiPriority w:val="99"/>
    <w:qFormat/>
    <w:rPr>
      <w:rFonts w:ascii="Times New Roman" w:eastAsia="宋体" w:hAnsi="Times New Roman" w:cs="Times New Roman"/>
      <w:sz w:val="24"/>
      <w:szCs w:val="24"/>
    </w:rPr>
  </w:style>
  <w:style w:type="paragraph" w:customStyle="1" w:styleId="a-BR224788">
    <w:name w:val="a-BR224788"/>
    <w:qFormat/>
    <w:pPr>
      <w:widowControl w:val="0"/>
      <w:jc w:val="both"/>
    </w:pPr>
    <w:rPr>
      <w:rFonts w:ascii="Times New Roman" w:eastAsia="宋体" w:hAnsi="Times New Roman" w:cs="Times New Roman"/>
      <w:kern w:val="2"/>
      <w:sz w:val="21"/>
      <w:szCs w:val="24"/>
      <w:lang w:val="en-US" w:eastAsia="zh-CN" w:bidi="ar-SA"/>
    </w:rPr>
  </w:style>
  <w:style w:type="paragraph" w:customStyle="1" w:styleId="a-BR701688">
    <w:name w:val="a-BR701688"/>
    <w:qFormat/>
    <w:pPr>
      <w:widowControl w:val="0"/>
      <w:jc w:val="both"/>
    </w:pPr>
    <w:rPr>
      <w:rFonts w:ascii="Times New Roman" w:eastAsia="宋体" w:hAnsi="Times New Roman" w:cs="Times New Roman"/>
      <w:kern w:val="2"/>
      <w:sz w:val="21"/>
      <w:szCs w:val="24"/>
      <w:lang w:val="en-US" w:eastAsia="zh-CN" w:bidi="ar-SA"/>
    </w:rPr>
  </w:style>
  <w:style w:type="paragraph" w:customStyle="1" w:styleId="a9-BR701688">
    <w:name w:val="a9-BR701688"/>
    <w:basedOn w:val="a-BR701688"/>
    <w:uiPriority w:val="99"/>
    <w:unhideWhenUsed/>
    <w:qFormat/>
    <w:pPr>
      <w:spacing w:line="360" w:lineRule="auto"/>
      <w:ind w:firstLine="420" w:firstLineChars="200"/>
    </w:pPr>
    <w:rPr>
      <w:color w:val="000000"/>
      <w:szCs w:val="21"/>
      <w:lang w:val="zh-CN"/>
    </w:rPr>
  </w:style>
  <w:style w:type="table" w:customStyle="1" w:styleId="a1-BR050241">
    <w:name w:val="a1-BR050241"/>
    <w:uiPriority w:val="99"/>
    <w:semiHidden/>
    <w:unhideWhenUsed/>
    <w:qFormat/>
    <w:rPr>
      <w:rFonts w:ascii="等线" w:eastAsia="PMingLiU" w:hAnsi="等线"/>
      <w:kern w:val="2"/>
      <w:sz w:val="21"/>
      <w:szCs w:val="22"/>
    </w:rPr>
    <w:tblPr>
      <w:tblCellMar>
        <w:top w:w="0" w:type="dxa"/>
        <w:left w:w="108" w:type="dxa"/>
        <w:bottom w:w="0" w:type="dxa"/>
        <w:right w:w="108" w:type="dxa"/>
      </w:tblCellMar>
    </w:tblPr>
  </w:style>
  <w:style w:type="character" w:customStyle="1" w:styleId="310">
    <w:name w:val="标题 3 字符1"/>
    <w:link w:val="Heading3"/>
    <w:uiPriority w:val="99"/>
    <w:qFormat/>
    <w:rPr>
      <w:rFonts w:ascii="Times New Roman" w:eastAsia="宋体" w:hAnsi="Times New Roman" w:cs="Times New Roman"/>
      <w:b/>
      <w:bCs/>
      <w:kern w:val="0"/>
      <w:sz w:val="32"/>
      <w:szCs w:val="32"/>
      <w:lang w:val="zh-CN"/>
    </w:rPr>
  </w:style>
  <w:style w:type="character" w:customStyle="1" w:styleId="411">
    <w:name w:val="标题 4 字符1"/>
    <w:link w:val="Heading4"/>
    <w:uiPriority w:val="99"/>
    <w:qFormat/>
    <w:rPr>
      <w:rFonts w:ascii="Cambria" w:eastAsia="宋体" w:hAnsi="Cambria" w:cs="Times New Roman"/>
      <w:b/>
      <w:bCs/>
      <w:kern w:val="0"/>
      <w:sz w:val="28"/>
      <w:szCs w:val="28"/>
      <w:lang w:val="zh-CN"/>
    </w:rPr>
  </w:style>
  <w:style w:type="character" w:customStyle="1" w:styleId="510">
    <w:name w:val="标题 5 字符1"/>
    <w:link w:val="Heading5"/>
    <w:uiPriority w:val="99"/>
    <w:qFormat/>
    <w:rPr>
      <w:rFonts w:ascii="Times New Roman" w:eastAsia="宋体" w:hAnsi="Times New Roman" w:cs="Times New Roman"/>
      <w:b/>
      <w:bCs/>
      <w:kern w:val="0"/>
      <w:sz w:val="28"/>
      <w:szCs w:val="28"/>
      <w:lang w:val="zh-CN"/>
    </w:rPr>
  </w:style>
  <w:style w:type="character" w:customStyle="1" w:styleId="61">
    <w:name w:val="标题 6 字符1"/>
    <w:link w:val="Heading6"/>
    <w:uiPriority w:val="99"/>
    <w:qFormat/>
    <w:rPr>
      <w:rFonts w:ascii="Cambria" w:eastAsia="宋体" w:hAnsi="Cambria" w:cs="Times New Roman"/>
      <w:b/>
      <w:bCs/>
      <w:kern w:val="0"/>
      <w:sz w:val="24"/>
      <w:szCs w:val="24"/>
      <w:lang w:val="zh-CN"/>
    </w:rPr>
  </w:style>
  <w:style w:type="character" w:customStyle="1" w:styleId="71">
    <w:name w:val="标题 7 字符1"/>
    <w:link w:val="Heading7"/>
    <w:uiPriority w:val="99"/>
    <w:qFormat/>
    <w:rPr>
      <w:rFonts w:ascii="Times New Roman" w:eastAsia="宋体" w:hAnsi="Times New Roman" w:cs="Times New Roman"/>
      <w:b/>
      <w:bCs/>
      <w:kern w:val="0"/>
      <w:sz w:val="24"/>
      <w:szCs w:val="24"/>
      <w:lang w:val="zh-CN"/>
    </w:rPr>
  </w:style>
  <w:style w:type="character" w:customStyle="1" w:styleId="81">
    <w:name w:val="标题 8 字符1"/>
    <w:link w:val="Heading8"/>
    <w:uiPriority w:val="99"/>
    <w:qFormat/>
    <w:rPr>
      <w:rFonts w:ascii="Cambria" w:eastAsia="宋体" w:hAnsi="Cambria" w:cs="Times New Roman"/>
      <w:kern w:val="0"/>
      <w:sz w:val="24"/>
      <w:szCs w:val="24"/>
      <w:lang w:val="zh-CN"/>
    </w:rPr>
  </w:style>
  <w:style w:type="character" w:customStyle="1" w:styleId="91">
    <w:name w:val="标题 9 字符1"/>
    <w:link w:val="Heading9"/>
    <w:uiPriority w:val="99"/>
    <w:qFormat/>
    <w:rPr>
      <w:rFonts w:ascii="Cambria" w:eastAsia="宋体" w:hAnsi="Cambria" w:cs="Times New Roman"/>
      <w:kern w:val="0"/>
      <w:szCs w:val="21"/>
      <w:lang w:val="zh-CN"/>
    </w:rPr>
  </w:style>
  <w:style w:type="character" w:customStyle="1" w:styleId="211">
    <w:name w:val="正文文本缩进 2 字符1"/>
    <w:link w:val="BodyTextIndent2"/>
    <w:uiPriority w:val="99"/>
    <w:qFormat/>
    <w:rPr>
      <w:rFonts w:ascii="Times New Roman" w:eastAsia="宋体" w:hAnsi="Times New Roman" w:cs="Times New Roman"/>
      <w:kern w:val="0"/>
      <w:sz w:val="24"/>
      <w:szCs w:val="24"/>
      <w:lang w:val="zh-CN"/>
    </w:rPr>
  </w:style>
  <w:style w:type="character" w:customStyle="1" w:styleId="32">
    <w:name w:val="页脚 字符3"/>
    <w:link w:val="Footer"/>
    <w:uiPriority w:val="99"/>
    <w:qFormat/>
    <w:rPr>
      <w:rFonts w:ascii="Times New Roman" w:eastAsia="宋体" w:hAnsi="Times New Roman" w:cs="Times New Roman"/>
      <w:kern w:val="0"/>
      <w:sz w:val="18"/>
      <w:szCs w:val="18"/>
      <w:lang w:val="zh-CN"/>
    </w:rPr>
  </w:style>
  <w:style w:type="character" w:customStyle="1" w:styleId="24">
    <w:name w:val="页眉 字符2"/>
    <w:link w:val="Header"/>
    <w:uiPriority w:val="99"/>
    <w:qFormat/>
    <w:rPr>
      <w:rFonts w:ascii="Times New Roman" w:eastAsia="宋体" w:hAnsi="Times New Roman" w:cs="Times New Roman"/>
      <w:sz w:val="18"/>
      <w:szCs w:val="18"/>
      <w:lang w:val="zh-CN"/>
    </w:rPr>
  </w:style>
  <w:style w:type="character" w:customStyle="1" w:styleId="25">
    <w:name w:val="脚注文本 字符2"/>
    <w:link w:val="FootnoteText"/>
    <w:uiPriority w:val="99"/>
    <w:semiHidden/>
    <w:qFormat/>
    <w:rPr>
      <w:rFonts w:ascii="Times New Roman" w:eastAsia="宋体" w:hAnsi="Times New Roman" w:cs="Times New Roman"/>
      <w:kern w:val="0"/>
      <w:sz w:val="18"/>
      <w:szCs w:val="18"/>
      <w:lang w:val="zh-CN"/>
    </w:rPr>
  </w:style>
  <w:style w:type="character" w:customStyle="1" w:styleId="33">
    <w:name w:val="正文文本缩进 3 字符"/>
    <w:link w:val="BodyTextIndent3"/>
    <w:uiPriority w:val="99"/>
    <w:qFormat/>
    <w:rPr>
      <w:rFonts w:ascii="Arial" w:eastAsia="宋体" w:hAnsi="Arial" w:cs="Times New Roman"/>
      <w:kern w:val="0"/>
      <w:sz w:val="16"/>
      <w:szCs w:val="16"/>
      <w:lang w:eastAsia="en-US"/>
    </w:rPr>
  </w:style>
  <w:style w:type="character" w:customStyle="1" w:styleId="113">
    <w:name w:val="标题 字符1"/>
    <w:link w:val="Title"/>
    <w:uiPriority w:val="99"/>
    <w:qFormat/>
    <w:rPr>
      <w:rFonts w:ascii="Cambria" w:eastAsia="宋体" w:hAnsi="Cambria" w:cs="Times New Roman"/>
      <w:b/>
      <w:bCs/>
      <w:sz w:val="32"/>
      <w:szCs w:val="32"/>
    </w:rPr>
  </w:style>
  <w:style w:type="table" w:customStyle="1" w:styleId="afe-BR050241">
    <w:name w:val="afe-BR050241"/>
    <w:basedOn w:val="a1-BR050241"/>
    <w:qFormat/>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1">
    <w:name w:val="Char Char Char Char1"/>
    <w:uiPriority w:val="99"/>
    <w:qFormat/>
    <w:pPr>
      <w:adjustRightInd w:val="0"/>
      <w:textAlignment w:val="baseline"/>
    </w:pPr>
    <w:rPr>
      <w:rFonts w:asciiTheme="minorHAnsi" w:eastAsiaTheme="minorEastAsia" w:hAnsiTheme="minorHAnsi" w:cstheme="minorBidi"/>
      <w:lang w:val="en-US" w:eastAsia="zh-CN" w:bidi="ar-SA"/>
    </w:rPr>
  </w:style>
  <w:style w:type="paragraph" w:customStyle="1" w:styleId="CharCharCharCharCharChar1CharCharChar1">
    <w:name w:val="Char Char Char Char Char Char1 Char Char Char1"/>
    <w:uiPriority w:val="99"/>
    <w:qFormat/>
    <w:pPr>
      <w:autoSpaceDE w:val="0"/>
      <w:autoSpaceDN w:val="0"/>
      <w:adjustRightInd w:val="0"/>
      <w:textAlignment w:val="baseline"/>
    </w:pPr>
    <w:rPr>
      <w:rFonts w:eastAsia="方正仿宋简体" w:asciiTheme="minorHAnsi" w:hAnsiTheme="minorHAnsi" w:cstheme="minorBidi"/>
      <w:sz w:val="32"/>
      <w:lang w:val="en-US" w:eastAsia="zh-CN" w:bidi="ar-SA"/>
    </w:rPr>
  </w:style>
  <w:style w:type="paragraph" w:customStyle="1" w:styleId="114">
    <w:name w:val="正文所1"/>
    <w:uiPriority w:val="99"/>
    <w:qFormat/>
    <w:pPr>
      <w:spacing w:line="360" w:lineRule="auto"/>
      <w:ind w:firstLine="420" w:firstLineChars="200"/>
    </w:pPr>
    <w:rPr>
      <w:rFonts w:ascii="宋体" w:eastAsiaTheme="minorEastAsia" w:hAnsiTheme="minorHAnsi" w:cstheme="minorBidi"/>
      <w:lang w:val="en-US" w:eastAsia="zh-CN" w:bidi="ar-SA"/>
    </w:rPr>
  </w:style>
  <w:style w:type="paragraph" w:customStyle="1" w:styleId="ParaChar1">
    <w:name w:val="默认段落字体 Para Char1"/>
    <w:uiPriority w:val="99"/>
    <w:qFormat/>
    <w:pPr>
      <w:spacing w:before="312" w:after="312" w:line="360" w:lineRule="auto"/>
    </w:pPr>
    <w:rPr>
      <w:rFonts w:asciiTheme="minorHAnsi" w:eastAsiaTheme="minorEastAsia" w:hAnsiTheme="minorHAnsi" w:cstheme="minorBidi"/>
      <w:sz w:val="24"/>
      <w:lang w:val="en-US" w:eastAsia="zh-CN" w:bidi="ar-SA"/>
    </w:rPr>
  </w:style>
  <w:style w:type="paragraph" w:customStyle="1" w:styleId="115">
    <w:name w:val="列出段落11"/>
    <w:uiPriority w:val="99"/>
    <w:qFormat/>
    <w:pPr>
      <w:ind w:firstLine="420" w:firstLineChars="200"/>
    </w:pPr>
    <w:rPr>
      <w:rFonts w:asciiTheme="minorHAnsi" w:eastAsiaTheme="minorEastAsia" w:hAnsiTheme="minorHAnsi" w:cstheme="minorBidi"/>
      <w:lang w:val="en-US" w:eastAsia="zh-CN" w:bidi="ar-SA"/>
    </w:rPr>
  </w:style>
  <w:style w:type="character" w:customStyle="1" w:styleId="CharChar11">
    <w:name w:val="Char Char11"/>
    <w:uiPriority w:val="99"/>
    <w:qFormat/>
    <w:locked/>
    <w:rPr>
      <w:rFonts w:ascii="宋体" w:eastAsia="宋体" w:hAnsi="宋体" w:cs="Times New Roman"/>
      <w:kern w:val="2"/>
      <w:sz w:val="24"/>
      <w:szCs w:val="24"/>
      <w:lang w:val="en-US" w:eastAsia="zh-CN" w:bidi="ar-SA"/>
    </w:rPr>
  </w:style>
  <w:style w:type="paragraph" w:customStyle="1" w:styleId="24-BR050241">
    <w:name w:val="24-BR050241"/>
    <w:basedOn w:val="a-BR050241"/>
    <w:uiPriority w:val="99"/>
    <w:qFormat/>
    <w:pPr>
      <w:ind w:firstLine="420" w:firstLineChars="200"/>
    </w:pPr>
  </w:style>
  <w:style w:type="paragraph" w:customStyle="1" w:styleId="2110">
    <w:name w:val="修订211"/>
    <w:hidden/>
    <w:uiPriority w:val="99"/>
    <w:semiHidden/>
    <w:qFormat/>
    <w:rPr>
      <w:rFonts w:ascii="Times New Roman" w:eastAsia="宋体" w:hAnsi="Times New Roman" w:cs="Times New Roman"/>
      <w:kern w:val="2"/>
      <w:sz w:val="21"/>
      <w:szCs w:val="24"/>
      <w:lang w:val="en-US" w:eastAsia="zh-CN" w:bidi="ar-SA"/>
    </w:rPr>
  </w:style>
  <w:style w:type="paragraph" w:customStyle="1" w:styleId="116">
    <w:name w:val="标题  目录1"/>
    <w:qFormat/>
    <w:pPr>
      <w:jc w:val="center"/>
    </w:pPr>
    <w:rPr>
      <w:rFonts w:ascii="宋体" w:hAnsi="宋体" w:eastAsiaTheme="minorEastAsia" w:cstheme="minorBidi"/>
      <w:sz w:val="28"/>
      <w:szCs w:val="28"/>
      <w:lang w:val="en-US" w:eastAsia="zh-CN" w:bidi="ar-SA"/>
    </w:rPr>
  </w:style>
  <w:style w:type="paragraph" w:customStyle="1" w:styleId="Default1">
    <w:name w:val="Default1"/>
    <w:qFormat/>
    <w:pPr>
      <w:widowControl w:val="0"/>
      <w:autoSpaceDE w:val="0"/>
      <w:autoSpaceDN w:val="0"/>
      <w:adjustRightInd w:val="0"/>
    </w:pPr>
    <w:rPr>
      <w:rFonts w:ascii="宋体" w:eastAsia="宋体" w:hAnsi="Times New Roman" w:cs="宋体"/>
      <w:color w:val="000000"/>
      <w:sz w:val="24"/>
      <w:szCs w:val="24"/>
      <w:lang w:val="en-US" w:eastAsia="zh-CN" w:bidi="ar-SA"/>
    </w:rPr>
  </w:style>
  <w:style w:type="paragraph" w:customStyle="1" w:styleId="311">
    <w:name w:val="修订31"/>
    <w:hidden/>
    <w:uiPriority w:val="99"/>
    <w:unhideWhenUsed/>
    <w:qFormat/>
    <w:rPr>
      <w:rFonts w:ascii="Times New Roman" w:eastAsia="宋体" w:hAnsi="Times New Roman" w:cs="Times New Roman"/>
      <w:kern w:val="2"/>
      <w:sz w:val="21"/>
      <w:szCs w:val="24"/>
      <w:lang w:val="en-US" w:eastAsia="zh-CN" w:bidi="ar-SA"/>
    </w:rPr>
  </w:style>
  <w:style w:type="paragraph" w:customStyle="1" w:styleId="412">
    <w:name w:val="修订41"/>
    <w:hidden/>
    <w:uiPriority w:val="99"/>
    <w:unhideWhenUsed/>
    <w:qFormat/>
    <w:rPr>
      <w:rFonts w:ascii="Times New Roman" w:eastAsia="宋体" w:hAnsi="Times New Roman" w:cs="Times New Roman"/>
      <w:kern w:val="2"/>
      <w:sz w:val="21"/>
      <w:szCs w:val="24"/>
      <w:lang w:val="en-US" w:eastAsia="zh-CN" w:bidi="ar-SA"/>
    </w:rPr>
  </w:style>
  <w:style w:type="paragraph" w:customStyle="1" w:styleId="312">
    <w:name w:val="列出段落31"/>
    <w:basedOn w:val="a-BR050241"/>
    <w:uiPriority w:val="99"/>
    <w:unhideWhenUsed/>
    <w:qFormat/>
    <w:pPr>
      <w:ind w:firstLine="420" w:firstLineChars="200"/>
    </w:pPr>
  </w:style>
  <w:style w:type="paragraph" w:customStyle="1" w:styleId="520">
    <w:name w:val="修订52"/>
    <w:hidden/>
    <w:uiPriority w:val="99"/>
    <w:unhideWhenUsed/>
    <w:qFormat/>
    <w:rPr>
      <w:rFonts w:ascii="Times New Roman" w:eastAsia="宋体" w:hAnsi="Times New Roman" w:cs="Times New Roman"/>
      <w:kern w:val="2"/>
      <w:sz w:val="21"/>
      <w:szCs w:val="24"/>
      <w:lang w:val="en-US" w:eastAsia="zh-CN" w:bidi="ar-SA"/>
    </w:rPr>
  </w:style>
  <w:style w:type="paragraph" w:customStyle="1" w:styleId="42">
    <w:name w:val="列出段落42"/>
    <w:uiPriority w:val="99"/>
    <w:unhideWhenUsed/>
    <w:qFormat/>
    <w:pPr>
      <w:ind w:firstLine="420" w:firstLineChars="200"/>
    </w:pPr>
    <w:rPr>
      <w:rFonts w:asciiTheme="minorHAnsi" w:eastAsiaTheme="minorEastAsia" w:hAnsiTheme="minorHAnsi" w:cstheme="minorBidi"/>
      <w:lang w:val="en-US" w:eastAsia="zh-CN" w:bidi="ar-SA"/>
    </w:rPr>
  </w:style>
  <w:style w:type="paragraph" w:customStyle="1" w:styleId="511">
    <w:name w:val="修订511"/>
    <w:uiPriority w:val="99"/>
    <w:qFormat/>
    <w:rPr>
      <w:rFonts w:ascii="Times New Roman" w:eastAsia="宋体" w:hAnsi="Times New Roman" w:cs="Times New Roman"/>
      <w:kern w:val="2"/>
      <w:sz w:val="21"/>
      <w:szCs w:val="24"/>
      <w:lang w:val="en-US" w:eastAsia="zh-CN" w:bidi="ar-SA"/>
    </w:rPr>
  </w:style>
  <w:style w:type="paragraph" w:customStyle="1" w:styleId="410-BR050241">
    <w:name w:val="410-BR050241"/>
    <w:basedOn w:val="a-BR050241"/>
    <w:uiPriority w:val="99"/>
    <w:qFormat/>
    <w:pPr>
      <w:ind w:firstLine="420" w:firstLineChars="200"/>
    </w:pPr>
  </w:style>
  <w:style w:type="paragraph" w:customStyle="1" w:styleId="512">
    <w:name w:val="列出段落51"/>
    <w:uiPriority w:val="34"/>
    <w:qFormat/>
    <w:pPr>
      <w:ind w:firstLine="420" w:firstLineChars="200"/>
    </w:pPr>
    <w:rPr>
      <w:rFonts w:ascii="Calibri" w:hAnsi="Calibri" w:eastAsiaTheme="minorEastAsia" w:cstheme="minorBidi"/>
      <w:szCs w:val="22"/>
      <w:lang w:val="en-US" w:eastAsia="zh-CN" w:bidi="ar-SA"/>
    </w:rPr>
  </w:style>
  <w:style w:type="paragraph" w:customStyle="1" w:styleId="610">
    <w:name w:val="修订61"/>
    <w:hidden/>
    <w:uiPriority w:val="99"/>
    <w:unhideWhenUsed/>
    <w:qFormat/>
    <w:rPr>
      <w:rFonts w:ascii="Times New Roman" w:eastAsia="宋体" w:hAnsi="Times New Roman" w:cs="Times New Roman"/>
      <w:kern w:val="2"/>
      <w:sz w:val="21"/>
      <w:szCs w:val="24"/>
      <w:lang w:val="en-US" w:eastAsia="zh-CN" w:bidi="ar-SA"/>
    </w:rPr>
  </w:style>
  <w:style w:type="paragraph" w:customStyle="1" w:styleId="710">
    <w:name w:val="修订71"/>
    <w:hidden/>
    <w:uiPriority w:val="99"/>
    <w:semiHidden/>
    <w:qFormat/>
    <w:rPr>
      <w:rFonts w:ascii="Times New Roman" w:eastAsia="宋体" w:hAnsi="Times New Roman" w:cs="Times New Roman"/>
      <w:kern w:val="2"/>
      <w:sz w:val="21"/>
      <w:szCs w:val="24"/>
      <w:lang w:val="en-US" w:eastAsia="zh-CN" w:bidi="ar-SA"/>
    </w:rPr>
  </w:style>
  <w:style w:type="paragraph" w:customStyle="1" w:styleId="810">
    <w:name w:val="修订81"/>
    <w:hidden/>
    <w:uiPriority w:val="99"/>
    <w:unhideWhenUsed/>
    <w:qFormat/>
    <w:rPr>
      <w:rFonts w:ascii="Times New Roman" w:eastAsia="宋体" w:hAnsi="Times New Roman" w:cs="Times New Roman"/>
      <w:kern w:val="2"/>
      <w:sz w:val="21"/>
      <w:szCs w:val="24"/>
      <w:lang w:val="en-US" w:eastAsia="zh-CN" w:bidi="ar-SA"/>
    </w:rPr>
  </w:style>
  <w:style w:type="paragraph" w:customStyle="1" w:styleId="910">
    <w:name w:val="修订91"/>
    <w:hidden/>
    <w:uiPriority w:val="99"/>
    <w:unhideWhenUsed/>
    <w:qFormat/>
    <w:rPr>
      <w:rFonts w:ascii="Times New Roman" w:eastAsia="宋体" w:hAnsi="Times New Roman" w:cs="Times New Roman"/>
      <w:kern w:val="2"/>
      <w:sz w:val="21"/>
      <w:szCs w:val="24"/>
      <w:lang w:val="en-US" w:eastAsia="zh-CN" w:bidi="ar-SA"/>
    </w:rPr>
  </w:style>
  <w:style w:type="paragraph" w:customStyle="1" w:styleId="101">
    <w:name w:val="修订101"/>
    <w:hidden/>
    <w:uiPriority w:val="99"/>
    <w:unhideWhenUsed/>
    <w:qFormat/>
    <w:rPr>
      <w:rFonts w:ascii="Times New Roman" w:eastAsia="宋体" w:hAnsi="Times New Roman" w:cs="Times New Roman"/>
      <w:kern w:val="2"/>
      <w:sz w:val="21"/>
      <w:szCs w:val="24"/>
      <w:lang w:val="en-US" w:eastAsia="zh-CN" w:bidi="ar-SA"/>
    </w:rPr>
  </w:style>
  <w:style w:type="paragraph" w:customStyle="1" w:styleId="1110">
    <w:name w:val="修订111"/>
    <w:hidden/>
    <w:uiPriority w:val="99"/>
    <w:semiHidden/>
    <w:qFormat/>
    <w:rPr>
      <w:rFonts w:ascii="Times New Roman" w:eastAsia="宋体" w:hAnsi="Times New Roman" w:cs="Times New Roman"/>
      <w:kern w:val="2"/>
      <w:sz w:val="21"/>
      <w:szCs w:val="24"/>
      <w:lang w:val="en-US" w:eastAsia="zh-CN" w:bidi="ar-SA"/>
    </w:rPr>
  </w:style>
  <w:style w:type="paragraph" w:customStyle="1" w:styleId="121">
    <w:name w:val="修订121"/>
    <w:hidden/>
    <w:uiPriority w:val="99"/>
    <w:unhideWhenUsed/>
    <w:qFormat/>
    <w:rPr>
      <w:rFonts w:ascii="Times New Roman" w:eastAsia="宋体" w:hAnsi="Times New Roman" w:cs="Times New Roman"/>
      <w:kern w:val="2"/>
      <w:sz w:val="21"/>
      <w:szCs w:val="24"/>
      <w:lang w:val="en-US" w:eastAsia="zh-CN" w:bidi="ar-SA"/>
    </w:rPr>
  </w:style>
  <w:style w:type="paragraph" w:customStyle="1" w:styleId="131">
    <w:name w:val="修订131"/>
    <w:hidden/>
    <w:uiPriority w:val="99"/>
    <w:unhideWhenUsed/>
    <w:qFormat/>
    <w:rPr>
      <w:rFonts w:ascii="Times New Roman" w:eastAsia="宋体" w:hAnsi="Times New Roman" w:cs="Times New Roman"/>
      <w:kern w:val="2"/>
      <w:sz w:val="21"/>
      <w:szCs w:val="24"/>
      <w:lang w:val="en-US" w:eastAsia="zh-CN" w:bidi="ar-SA"/>
    </w:rPr>
  </w:style>
  <w:style w:type="paragraph" w:customStyle="1" w:styleId="140">
    <w:name w:val="修订14"/>
    <w:hidden/>
    <w:uiPriority w:val="99"/>
    <w:unhideWhenUsed/>
    <w:qFormat/>
    <w:rPr>
      <w:rFonts w:ascii="Times New Roman" w:eastAsia="宋体" w:hAnsi="Times New Roman" w:cs="Times New Roman"/>
      <w:kern w:val="2"/>
      <w:sz w:val="21"/>
      <w:szCs w:val="24"/>
      <w:lang w:val="en-US" w:eastAsia="zh-CN" w:bidi="ar-SA"/>
    </w:rPr>
  </w:style>
  <w:style w:type="character" w:customStyle="1" w:styleId="stylekwd">
    <w:name w:val="style_kwd"/>
    <w:basedOn w:val="DefaultParagraphFont"/>
    <w:qFormat/>
  </w:style>
  <w:style w:type="paragraph" w:customStyle="1" w:styleId="150">
    <w:name w:val="修订15"/>
    <w:hidden/>
    <w:uiPriority w:val="99"/>
    <w:semiHidden/>
    <w:qFormat/>
    <w:rPr>
      <w:rFonts w:ascii="Times New Roman" w:eastAsia="宋体" w:hAnsi="Times New Roman" w:cs="Times New Roman"/>
      <w:kern w:val="2"/>
      <w:sz w:val="21"/>
      <w:szCs w:val="24"/>
      <w:lang w:val="en-US" w:eastAsia="zh-CN" w:bidi="ar-SA"/>
    </w:rPr>
  </w:style>
  <w:style w:type="paragraph" w:customStyle="1" w:styleId="117">
    <w:name w:val="列表段落1"/>
    <w:basedOn w:val="a-BR050241"/>
    <w:uiPriority w:val="99"/>
    <w:qFormat/>
    <w:pPr>
      <w:ind w:firstLine="420" w:firstLineChars="200"/>
    </w:pPr>
  </w:style>
  <w:style w:type="paragraph" w:customStyle="1" w:styleId="TOC11">
    <w:name w:val="TOC 标题11"/>
    <w:basedOn w:val="Heading1"/>
    <w:next w:val="a-BR050241"/>
    <w:uiPriority w:val="39"/>
    <w:unhideWhenUsed/>
    <w:qFormat/>
    <w:pPr>
      <w:widowControl/>
      <w:spacing w:before="240" w:after="0" w:line="259" w:lineRule="auto"/>
      <w:jc w:val="left"/>
      <w:outlineLvl w:val="9"/>
    </w:pPr>
    <w:rPr>
      <w:rFonts w:ascii="等线 Light" w:eastAsia="PMingLiU" w:hAnsi="等线 Light" w:cstheme="majorBidi"/>
      <w:b w:val="0"/>
      <w:bCs w:val="0"/>
      <w:color w:val="376092" w:themeColor="accent1" w:themeShade="BF"/>
      <w:kern w:val="0"/>
      <w:sz w:val="32"/>
      <w:szCs w:val="32"/>
      <w:lang w:val="en-US"/>
    </w:rPr>
  </w:style>
  <w:style w:type="character" w:customStyle="1" w:styleId="120">
    <w:name w:val="批注文字 字符12"/>
    <w:basedOn w:val="DefaultParagraphFont"/>
    <w:uiPriority w:val="99"/>
    <w:qFormat/>
    <w:rPr>
      <w:kern w:val="2"/>
      <w:sz w:val="24"/>
      <w:szCs w:val="24"/>
    </w:rPr>
  </w:style>
  <w:style w:type="paragraph" w:customStyle="1" w:styleId="160">
    <w:name w:val="修订16"/>
    <w:hidden/>
    <w:uiPriority w:val="99"/>
    <w:semiHidden/>
    <w:qFormat/>
    <w:rPr>
      <w:rFonts w:ascii="Times New Roman" w:eastAsia="宋体" w:hAnsi="Times New Roman" w:cs="Times New Roman"/>
      <w:kern w:val="2"/>
      <w:sz w:val="21"/>
      <w:szCs w:val="24"/>
      <w:lang w:val="en-US" w:eastAsia="zh-CN" w:bidi="ar-SA"/>
    </w:rPr>
  </w:style>
  <w:style w:type="paragraph" w:customStyle="1" w:styleId="170">
    <w:name w:val="修订17"/>
    <w:hidden/>
    <w:uiPriority w:val="99"/>
    <w:semiHidden/>
    <w:qFormat/>
    <w:rPr>
      <w:rFonts w:ascii="Times New Roman" w:eastAsia="宋体" w:hAnsi="Times New Roman" w:cs="Times New Roman"/>
      <w:kern w:val="2"/>
      <w:sz w:val="21"/>
      <w:szCs w:val="24"/>
      <w:lang w:val="en-US" w:eastAsia="zh-CN" w:bidi="ar-SA"/>
    </w:rPr>
  </w:style>
  <w:style w:type="paragraph" w:customStyle="1" w:styleId="26">
    <w:name w:val="列表段落2"/>
    <w:basedOn w:val="a-BR050241"/>
    <w:uiPriority w:val="99"/>
    <w:qFormat/>
    <w:pPr>
      <w:ind w:firstLine="420" w:firstLineChars="200"/>
    </w:pPr>
  </w:style>
  <w:style w:type="paragraph" w:customStyle="1" w:styleId="180">
    <w:name w:val="修订18"/>
    <w:hidden/>
    <w:uiPriority w:val="99"/>
    <w:semiHidden/>
    <w:qFormat/>
    <w:rPr>
      <w:rFonts w:ascii="Times New Roman" w:eastAsia="宋体" w:hAnsi="Times New Roman" w:cs="Times New Roman"/>
      <w:kern w:val="2"/>
      <w:sz w:val="21"/>
      <w:szCs w:val="24"/>
      <w:lang w:val="en-US" w:eastAsia="zh-CN" w:bidi="ar-SA"/>
    </w:rPr>
  </w:style>
  <w:style w:type="paragraph" w:customStyle="1" w:styleId="34">
    <w:name w:val="列表段落3"/>
    <w:basedOn w:val="a-BR050241"/>
    <w:uiPriority w:val="99"/>
    <w:qFormat/>
    <w:pPr>
      <w:ind w:firstLine="420" w:firstLineChars="200"/>
    </w:pPr>
  </w:style>
  <w:style w:type="paragraph" w:customStyle="1" w:styleId="190">
    <w:name w:val="修订19"/>
    <w:hidden/>
    <w:uiPriority w:val="99"/>
    <w:unhideWhenUsed/>
    <w:qFormat/>
    <w:rPr>
      <w:rFonts w:ascii="Times New Roman" w:eastAsia="宋体" w:hAnsi="Times New Roman" w:cs="Times New Roman"/>
      <w:kern w:val="2"/>
      <w:sz w:val="21"/>
      <w:szCs w:val="24"/>
      <w:lang w:val="en-US" w:eastAsia="zh-CN" w:bidi="ar-SA"/>
    </w:rPr>
  </w:style>
  <w:style w:type="paragraph" w:customStyle="1" w:styleId="200">
    <w:name w:val="修订20"/>
    <w:hidden/>
    <w:uiPriority w:val="99"/>
    <w:semiHidden/>
    <w:qFormat/>
    <w:rPr>
      <w:rFonts w:ascii="Times New Roman" w:eastAsia="宋体" w:hAnsi="Times New Roman" w:cs="Times New Roman"/>
      <w:kern w:val="2"/>
      <w:sz w:val="21"/>
      <w:szCs w:val="24"/>
      <w:lang w:val="en-US" w:eastAsia="zh-CN" w:bidi="ar-SA"/>
    </w:rPr>
  </w:style>
  <w:style w:type="paragraph" w:customStyle="1" w:styleId="212">
    <w:name w:val="修订21"/>
    <w:hidden/>
    <w:uiPriority w:val="99"/>
    <w:semiHidden/>
    <w:qFormat/>
    <w:rPr>
      <w:rFonts w:ascii="Times New Roman" w:eastAsia="宋体" w:hAnsi="Times New Roman" w:cs="Times New Roman"/>
      <w:kern w:val="2"/>
      <w:sz w:val="21"/>
      <w:szCs w:val="24"/>
      <w:lang w:val="en-US" w:eastAsia="zh-CN" w:bidi="ar-SA"/>
    </w:rPr>
  </w:style>
  <w:style w:type="paragraph" w:customStyle="1" w:styleId="43">
    <w:name w:val="列表段落4"/>
    <w:basedOn w:val="a-BR050241"/>
    <w:uiPriority w:val="99"/>
    <w:qFormat/>
    <w:pPr>
      <w:ind w:firstLine="420" w:firstLineChars="200"/>
    </w:pPr>
  </w:style>
  <w:style w:type="paragraph" w:customStyle="1" w:styleId="220">
    <w:name w:val="修订22"/>
    <w:hidden/>
    <w:uiPriority w:val="99"/>
    <w:semiHidden/>
    <w:qFormat/>
    <w:rPr>
      <w:rFonts w:ascii="Times New Roman" w:eastAsia="宋体" w:hAnsi="Times New Roman" w:cs="Times New Roman"/>
      <w:kern w:val="2"/>
      <w:sz w:val="21"/>
      <w:szCs w:val="24"/>
      <w:lang w:val="en-US" w:eastAsia="zh-CN" w:bidi="ar-SA"/>
    </w:rPr>
  </w:style>
  <w:style w:type="paragraph" w:customStyle="1" w:styleId="aff1-BR050241">
    <w:name w:val="aff1-BR050241"/>
    <w:basedOn w:val="a-BR050241"/>
    <w:uiPriority w:val="99"/>
    <w:qFormat/>
    <w:pPr>
      <w:ind w:firstLine="420" w:firstLineChars="200"/>
    </w:pPr>
  </w:style>
  <w:style w:type="paragraph" w:customStyle="1" w:styleId="230">
    <w:name w:val="修订23"/>
    <w:hidden/>
    <w:uiPriority w:val="99"/>
    <w:semiHidden/>
    <w:qFormat/>
    <w:rPr>
      <w:rFonts w:ascii="Times New Roman" w:eastAsia="宋体" w:hAnsi="Times New Roman" w:cs="Times New Roman"/>
      <w:kern w:val="2"/>
      <w:sz w:val="21"/>
      <w:szCs w:val="24"/>
      <w:lang w:val="en-US" w:eastAsia="zh-CN" w:bidi="ar-SA"/>
    </w:rPr>
  </w:style>
  <w:style w:type="paragraph" w:customStyle="1" w:styleId="a-BR884476">
    <w:name w:val="a-BR884476"/>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84476">
    <w:name w:val="1-BR884476"/>
    <w:basedOn w:val="a-BR884476"/>
    <w:next w:val="a-BR884476"/>
    <w:uiPriority w:val="9"/>
    <w:qFormat/>
    <w:pPr>
      <w:keepNext/>
      <w:keepLines/>
      <w:spacing w:before="340" w:after="330" w:line="578" w:lineRule="auto"/>
      <w:outlineLvl w:val="0"/>
    </w:pPr>
    <w:rPr>
      <w:b/>
      <w:bCs/>
      <w:kern w:val="44"/>
      <w:sz w:val="44"/>
      <w:szCs w:val="44"/>
    </w:rPr>
  </w:style>
  <w:style w:type="paragraph" w:customStyle="1" w:styleId="a7-BR884476">
    <w:name w:val="a7-BR884476"/>
    <w:basedOn w:val="1-BR884476"/>
    <w:qFormat/>
    <w:pPr>
      <w:jc w:val="center"/>
    </w:pPr>
    <w:rPr>
      <w:rFonts w:ascii="宋体" w:hAnsi="宋体"/>
      <w:sz w:val="28"/>
      <w:szCs w:val="28"/>
      <w:lang w:val="zh-CN"/>
    </w:rPr>
  </w:style>
  <w:style w:type="paragraph" w:customStyle="1" w:styleId="a-BR181514">
    <w:name w:val="a-BR181514"/>
    <w:qFormat/>
    <w:pPr>
      <w:widowControl w:val="0"/>
      <w:jc w:val="both"/>
    </w:pPr>
    <w:rPr>
      <w:rFonts w:ascii="Times New Roman" w:eastAsia="宋体" w:hAnsi="Times New Roman" w:cs="Times New Roman"/>
      <w:kern w:val="2"/>
      <w:sz w:val="21"/>
      <w:szCs w:val="24"/>
      <w:lang w:val="en-US" w:eastAsia="zh-CN" w:bidi="ar-SA"/>
    </w:rPr>
  </w:style>
  <w:style w:type="paragraph" w:customStyle="1" w:styleId="1-BR181514">
    <w:name w:val="1-BR181514"/>
    <w:basedOn w:val="a-BR181514"/>
    <w:next w:val="a-BR181514"/>
    <w:uiPriority w:val="9"/>
    <w:qFormat/>
    <w:pPr>
      <w:keepNext/>
      <w:keepLines/>
      <w:spacing w:before="340" w:after="330" w:line="578" w:lineRule="auto"/>
      <w:outlineLvl w:val="0"/>
    </w:pPr>
    <w:rPr>
      <w:b/>
      <w:bCs/>
      <w:kern w:val="44"/>
      <w:sz w:val="44"/>
      <w:szCs w:val="44"/>
    </w:rPr>
  </w:style>
  <w:style w:type="paragraph" w:customStyle="1" w:styleId="a8-BR181514">
    <w:name w:val="a8-BR181514"/>
    <w:basedOn w:val="1-BR181514"/>
    <w:qFormat/>
    <w:pPr>
      <w:jc w:val="center"/>
    </w:pPr>
    <w:rPr>
      <w:rFonts w:ascii="宋体" w:hAnsi="宋体"/>
      <w:sz w:val="28"/>
      <w:szCs w:val="28"/>
      <w:lang w:val="zh-CN"/>
    </w:rPr>
  </w:style>
  <w:style w:type="paragraph" w:customStyle="1" w:styleId="a-BR821136">
    <w:name w:val="a-BR821136"/>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21136">
    <w:name w:val="1-BR821136"/>
    <w:basedOn w:val="a-BR821136"/>
    <w:next w:val="a-BR821136"/>
    <w:uiPriority w:val="9"/>
    <w:qFormat/>
    <w:pPr>
      <w:keepNext/>
      <w:keepLines/>
      <w:spacing w:before="340" w:after="330" w:line="578" w:lineRule="auto"/>
      <w:outlineLvl w:val="0"/>
    </w:pPr>
    <w:rPr>
      <w:b/>
      <w:bCs/>
      <w:kern w:val="44"/>
      <w:sz w:val="44"/>
      <w:szCs w:val="44"/>
    </w:rPr>
  </w:style>
  <w:style w:type="character" w:customStyle="1" w:styleId="a3-BR821136">
    <w:name w:val="a3-BR821136"/>
    <w:uiPriority w:val="99"/>
    <w:qFormat/>
    <w:rPr>
      <w:rFonts w:ascii="等线" w:eastAsia="PMingLiU" w:hAnsi="等线" w:cs="Times New Roman"/>
      <w:kern w:val="2"/>
      <w:sz w:val="21"/>
      <w:szCs w:val="21"/>
      <w:lang w:val="en-US" w:eastAsia="zh-CN" w:bidi="ar-SA"/>
    </w:rPr>
  </w:style>
  <w:style w:type="paragraph" w:customStyle="1" w:styleId="a4-BR821136">
    <w:name w:val="a4-BR821136"/>
    <w:basedOn w:val="a-BR821136"/>
    <w:uiPriority w:val="99"/>
    <w:qFormat/>
    <w:pPr>
      <w:ind w:firstLine="420" w:firstLineChars="200"/>
    </w:pPr>
  </w:style>
  <w:style w:type="paragraph" w:customStyle="1" w:styleId="a9-BR821136">
    <w:name w:val="a9-BR821136"/>
    <w:basedOn w:val="1-BR821136"/>
    <w:qFormat/>
    <w:pPr>
      <w:jc w:val="center"/>
    </w:pPr>
    <w:rPr>
      <w:rFonts w:ascii="宋体" w:hAnsi="宋体"/>
      <w:sz w:val="28"/>
      <w:szCs w:val="28"/>
      <w:lang w:val="zh-CN"/>
    </w:rPr>
  </w:style>
  <w:style w:type="paragraph" w:customStyle="1" w:styleId="a-BR375040">
    <w:name w:val="a-BR375040"/>
    <w:qFormat/>
    <w:pPr>
      <w:widowControl w:val="0"/>
      <w:jc w:val="both"/>
    </w:pPr>
    <w:rPr>
      <w:rFonts w:ascii="Times New Roman" w:eastAsia="宋体" w:hAnsi="Times New Roman" w:cs="Times New Roman"/>
      <w:kern w:val="2"/>
      <w:sz w:val="21"/>
      <w:szCs w:val="24"/>
      <w:lang w:val="en-US" w:eastAsia="zh-CN" w:bidi="ar-SA"/>
    </w:rPr>
  </w:style>
  <w:style w:type="paragraph" w:customStyle="1" w:styleId="1-BR375040">
    <w:name w:val="1-BR375040"/>
    <w:basedOn w:val="a-BR375040"/>
    <w:next w:val="a-BR375040"/>
    <w:uiPriority w:val="9"/>
    <w:qFormat/>
    <w:pPr>
      <w:keepNext/>
      <w:keepLines/>
      <w:spacing w:before="340" w:after="330" w:line="578" w:lineRule="auto"/>
      <w:outlineLvl w:val="0"/>
    </w:pPr>
    <w:rPr>
      <w:b/>
      <w:bCs/>
      <w:kern w:val="44"/>
      <w:sz w:val="44"/>
      <w:szCs w:val="44"/>
    </w:rPr>
  </w:style>
  <w:style w:type="paragraph" w:customStyle="1" w:styleId="a7-BR375040">
    <w:name w:val="a7-BR375040"/>
    <w:basedOn w:val="1-BR375040"/>
    <w:qFormat/>
    <w:pPr>
      <w:jc w:val="center"/>
    </w:pPr>
    <w:rPr>
      <w:rFonts w:ascii="宋体" w:hAnsi="宋体"/>
      <w:sz w:val="28"/>
      <w:szCs w:val="28"/>
      <w:lang w:val="zh-CN"/>
    </w:rPr>
  </w:style>
  <w:style w:type="paragraph" w:customStyle="1" w:styleId="a-BR656878">
    <w:name w:val="a-BR656878"/>
    <w:qFormat/>
    <w:pPr>
      <w:widowControl w:val="0"/>
      <w:jc w:val="both"/>
    </w:pPr>
    <w:rPr>
      <w:rFonts w:ascii="Times New Roman" w:eastAsia="宋体" w:hAnsi="Times New Roman" w:cs="Times New Roman"/>
      <w:kern w:val="2"/>
      <w:sz w:val="21"/>
      <w:szCs w:val="24"/>
      <w:lang w:val="en-US" w:eastAsia="zh-CN" w:bidi="ar-SA"/>
    </w:rPr>
  </w:style>
  <w:style w:type="paragraph" w:customStyle="1" w:styleId="1-BR656878">
    <w:name w:val="1-BR656878"/>
    <w:basedOn w:val="a-BR656878"/>
    <w:next w:val="a-BR656878"/>
    <w:uiPriority w:val="9"/>
    <w:qFormat/>
    <w:pPr>
      <w:keepNext/>
      <w:keepLines/>
      <w:spacing w:before="340" w:after="330" w:line="578" w:lineRule="auto"/>
      <w:outlineLvl w:val="0"/>
    </w:pPr>
    <w:rPr>
      <w:b/>
      <w:bCs/>
      <w:kern w:val="44"/>
      <w:sz w:val="44"/>
      <w:szCs w:val="44"/>
    </w:rPr>
  </w:style>
  <w:style w:type="paragraph" w:customStyle="1" w:styleId="a7-BR656878">
    <w:name w:val="a7-BR656878"/>
    <w:basedOn w:val="1-BR656878"/>
    <w:qFormat/>
    <w:pPr>
      <w:jc w:val="center"/>
    </w:pPr>
    <w:rPr>
      <w:rFonts w:ascii="宋体" w:hAnsi="宋体"/>
      <w:sz w:val="28"/>
      <w:szCs w:val="28"/>
      <w:lang w:val="zh-CN"/>
    </w:rPr>
  </w:style>
  <w:style w:type="paragraph" w:customStyle="1" w:styleId="a-BR015361">
    <w:name w:val="a-BR015361"/>
    <w:qFormat/>
    <w:pPr>
      <w:widowControl w:val="0"/>
      <w:jc w:val="both"/>
    </w:pPr>
    <w:rPr>
      <w:rFonts w:ascii="Times New Roman" w:eastAsia="宋体" w:hAnsi="Times New Roman" w:cs="Times New Roman"/>
      <w:kern w:val="2"/>
      <w:sz w:val="21"/>
      <w:szCs w:val="24"/>
      <w:lang w:val="en-US" w:eastAsia="zh-CN" w:bidi="ar-SA"/>
    </w:rPr>
  </w:style>
  <w:style w:type="paragraph" w:customStyle="1" w:styleId="1-BR015361">
    <w:name w:val="1-BR015361"/>
    <w:basedOn w:val="a-BR015361"/>
    <w:next w:val="a-BR015361"/>
    <w:uiPriority w:val="9"/>
    <w:qFormat/>
    <w:pPr>
      <w:keepNext/>
      <w:keepLines/>
      <w:spacing w:before="340" w:after="330" w:line="578" w:lineRule="auto"/>
      <w:outlineLvl w:val="0"/>
    </w:pPr>
    <w:rPr>
      <w:b/>
      <w:bCs/>
      <w:kern w:val="44"/>
      <w:sz w:val="44"/>
      <w:szCs w:val="44"/>
    </w:rPr>
  </w:style>
  <w:style w:type="paragraph" w:customStyle="1" w:styleId="a7-BR015361">
    <w:name w:val="a7-BR015361"/>
    <w:basedOn w:val="1-BR015361"/>
    <w:qFormat/>
    <w:pPr>
      <w:jc w:val="center"/>
    </w:pPr>
    <w:rPr>
      <w:rFonts w:ascii="宋体" w:hAnsi="宋体"/>
      <w:sz w:val="28"/>
      <w:szCs w:val="28"/>
      <w:lang w:val="zh-CN"/>
    </w:rPr>
  </w:style>
  <w:style w:type="paragraph" w:customStyle="1" w:styleId="a-BR802661">
    <w:name w:val="a-BR802661"/>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02661">
    <w:name w:val="1-BR802661"/>
    <w:basedOn w:val="a-BR802661"/>
    <w:next w:val="a-BR802661"/>
    <w:uiPriority w:val="9"/>
    <w:qFormat/>
    <w:pPr>
      <w:keepNext/>
      <w:keepLines/>
      <w:spacing w:before="340" w:after="330" w:line="578" w:lineRule="auto"/>
      <w:outlineLvl w:val="0"/>
    </w:pPr>
    <w:rPr>
      <w:b/>
      <w:bCs/>
      <w:kern w:val="44"/>
      <w:sz w:val="44"/>
      <w:szCs w:val="44"/>
    </w:rPr>
  </w:style>
  <w:style w:type="paragraph" w:customStyle="1" w:styleId="a7-BR802661">
    <w:name w:val="a7-BR802661"/>
    <w:basedOn w:val="1-BR802661"/>
    <w:qFormat/>
    <w:pPr>
      <w:jc w:val="center"/>
    </w:pPr>
    <w:rPr>
      <w:rFonts w:ascii="宋体" w:hAnsi="宋体"/>
      <w:sz w:val="28"/>
      <w:szCs w:val="28"/>
      <w:lang w:val="zh-CN"/>
    </w:rPr>
  </w:style>
  <w:style w:type="paragraph" w:customStyle="1" w:styleId="a-BR360216">
    <w:name w:val="a-BR360216"/>
    <w:qFormat/>
    <w:pPr>
      <w:widowControl w:val="0"/>
      <w:jc w:val="both"/>
    </w:pPr>
    <w:rPr>
      <w:rFonts w:ascii="Times New Roman" w:eastAsia="宋体" w:hAnsi="Times New Roman" w:cs="Times New Roman"/>
      <w:kern w:val="2"/>
      <w:sz w:val="21"/>
      <w:szCs w:val="24"/>
      <w:lang w:val="en-US" w:eastAsia="zh-CN" w:bidi="ar-SA"/>
    </w:rPr>
  </w:style>
  <w:style w:type="paragraph" w:customStyle="1" w:styleId="1-BR360216">
    <w:name w:val="1-BR360216"/>
    <w:basedOn w:val="a-BR360216"/>
    <w:next w:val="a-BR360216"/>
    <w:uiPriority w:val="9"/>
    <w:qFormat/>
    <w:pPr>
      <w:keepNext/>
      <w:keepLines/>
      <w:spacing w:before="340" w:after="330" w:line="578" w:lineRule="auto"/>
      <w:outlineLvl w:val="0"/>
    </w:pPr>
    <w:rPr>
      <w:b/>
      <w:bCs/>
      <w:kern w:val="44"/>
      <w:sz w:val="44"/>
      <w:szCs w:val="44"/>
    </w:rPr>
  </w:style>
  <w:style w:type="paragraph" w:customStyle="1" w:styleId="a9-BR360216">
    <w:name w:val="a9-BR360216"/>
    <w:basedOn w:val="1-BR360216"/>
    <w:qFormat/>
    <w:pPr>
      <w:jc w:val="center"/>
    </w:pPr>
    <w:rPr>
      <w:rFonts w:ascii="宋体" w:hAnsi="宋体"/>
      <w:sz w:val="28"/>
      <w:szCs w:val="28"/>
      <w:lang w:val="zh-CN"/>
    </w:rPr>
  </w:style>
  <w:style w:type="paragraph" w:customStyle="1" w:styleId="a-BR366260">
    <w:name w:val="a-BR366260"/>
    <w:qFormat/>
    <w:pPr>
      <w:widowControl w:val="0"/>
      <w:jc w:val="both"/>
    </w:pPr>
    <w:rPr>
      <w:rFonts w:ascii="Times New Roman" w:eastAsia="宋体" w:hAnsi="Times New Roman" w:cs="Times New Roman"/>
      <w:kern w:val="2"/>
      <w:sz w:val="21"/>
      <w:szCs w:val="24"/>
      <w:lang w:val="en-US" w:eastAsia="zh-CN" w:bidi="ar-SA"/>
    </w:rPr>
  </w:style>
  <w:style w:type="paragraph" w:customStyle="1" w:styleId="1-BR366260">
    <w:name w:val="1-BR366260"/>
    <w:basedOn w:val="a-BR366260"/>
    <w:next w:val="a-BR366260"/>
    <w:uiPriority w:val="9"/>
    <w:qFormat/>
    <w:pPr>
      <w:keepNext/>
      <w:keepLines/>
      <w:spacing w:before="340" w:after="330" w:line="578" w:lineRule="auto"/>
      <w:outlineLvl w:val="0"/>
    </w:pPr>
    <w:rPr>
      <w:b/>
      <w:bCs/>
      <w:kern w:val="44"/>
      <w:sz w:val="44"/>
      <w:szCs w:val="44"/>
    </w:rPr>
  </w:style>
  <w:style w:type="paragraph" w:customStyle="1" w:styleId="a9-BR366260">
    <w:name w:val="a9-BR366260"/>
    <w:basedOn w:val="1-BR366260"/>
    <w:qFormat/>
    <w:pPr>
      <w:jc w:val="center"/>
    </w:pPr>
    <w:rPr>
      <w:rFonts w:ascii="宋体" w:hAnsi="宋体"/>
      <w:sz w:val="28"/>
      <w:szCs w:val="28"/>
      <w:lang w:val="zh-CN"/>
    </w:rPr>
  </w:style>
  <w:style w:type="paragraph" w:customStyle="1" w:styleId="a-BR807485">
    <w:name w:val="a-BR807485"/>
    <w:qFormat/>
    <w:pPr>
      <w:widowControl w:val="0"/>
      <w:jc w:val="both"/>
    </w:pPr>
    <w:rPr>
      <w:rFonts w:ascii="Times New Roman" w:eastAsia="宋体" w:hAnsi="Times New Roman" w:cs="Times New Roman"/>
      <w:kern w:val="2"/>
      <w:sz w:val="21"/>
      <w:szCs w:val="24"/>
      <w:lang w:val="en-US" w:eastAsia="zh-CN" w:bidi="ar-SA"/>
    </w:rPr>
  </w:style>
  <w:style w:type="paragraph" w:customStyle="1" w:styleId="1-BR807485">
    <w:name w:val="1-BR807485"/>
    <w:basedOn w:val="a-BR807485"/>
    <w:next w:val="a-BR807485"/>
    <w:uiPriority w:val="9"/>
    <w:qFormat/>
    <w:pPr>
      <w:keepNext/>
      <w:keepLines/>
      <w:spacing w:before="340" w:after="330" w:line="578" w:lineRule="auto"/>
      <w:outlineLvl w:val="0"/>
    </w:pPr>
    <w:rPr>
      <w:b/>
      <w:bCs/>
      <w:kern w:val="44"/>
      <w:sz w:val="44"/>
      <w:szCs w:val="44"/>
    </w:rPr>
  </w:style>
  <w:style w:type="character" w:customStyle="1" w:styleId="a3-BR807485">
    <w:name w:val="a3-BR807485"/>
    <w:uiPriority w:val="99"/>
    <w:qFormat/>
    <w:rPr>
      <w:rFonts w:ascii="等线" w:eastAsia="PMingLiU" w:hAnsi="等线" w:cs="Times New Roman"/>
      <w:kern w:val="2"/>
      <w:sz w:val="21"/>
      <w:szCs w:val="21"/>
      <w:lang w:val="en-US" w:eastAsia="zh-CN" w:bidi="ar-SA"/>
    </w:rPr>
  </w:style>
  <w:style w:type="paragraph" w:customStyle="1" w:styleId="a9-BR807485">
    <w:name w:val="a9-BR807485"/>
    <w:basedOn w:val="1-BR807485"/>
    <w:qFormat/>
    <w:pPr>
      <w:jc w:val="center"/>
    </w:pPr>
    <w:rPr>
      <w:rFonts w:ascii="宋体" w:hAnsi="宋体"/>
      <w:sz w:val="28"/>
      <w:szCs w:val="28"/>
      <w:lang w:val="zh-CN"/>
    </w:rPr>
  </w:style>
  <w:style w:type="paragraph" w:customStyle="1" w:styleId="a-BR376268">
    <w:name w:val="a-BR376268"/>
    <w:qFormat/>
    <w:pPr>
      <w:widowControl w:val="0"/>
      <w:jc w:val="both"/>
    </w:pPr>
    <w:rPr>
      <w:rFonts w:ascii="Times New Roman" w:eastAsia="宋体" w:hAnsi="Times New Roman" w:cs="Times New Roman"/>
      <w:kern w:val="2"/>
      <w:sz w:val="21"/>
      <w:szCs w:val="24"/>
      <w:lang w:val="en-US" w:eastAsia="zh-CN" w:bidi="ar-SA"/>
    </w:rPr>
  </w:style>
  <w:style w:type="paragraph" w:customStyle="1" w:styleId="1-BR376268">
    <w:name w:val="1-BR376268"/>
    <w:basedOn w:val="a-BR376268"/>
    <w:next w:val="a-BR376268"/>
    <w:uiPriority w:val="9"/>
    <w:qFormat/>
    <w:pPr>
      <w:keepNext/>
      <w:keepLines/>
      <w:spacing w:before="340" w:after="330" w:line="578" w:lineRule="auto"/>
      <w:outlineLvl w:val="0"/>
    </w:pPr>
    <w:rPr>
      <w:b/>
      <w:bCs/>
      <w:kern w:val="44"/>
      <w:sz w:val="44"/>
      <w:szCs w:val="44"/>
    </w:rPr>
  </w:style>
  <w:style w:type="paragraph" w:customStyle="1" w:styleId="2-BR376268">
    <w:name w:val="2-BR376268"/>
    <w:basedOn w:val="a-BR376268"/>
    <w:uiPriority w:val="99"/>
    <w:qFormat/>
    <w:pPr>
      <w:ind w:firstLine="420" w:firstLineChars="200"/>
    </w:pPr>
  </w:style>
  <w:style w:type="paragraph" w:customStyle="1" w:styleId="a7-BR376268">
    <w:name w:val="a7-BR376268"/>
    <w:basedOn w:val="1-BR376268"/>
    <w:qFormat/>
    <w:pPr>
      <w:jc w:val="center"/>
    </w:pPr>
    <w:rPr>
      <w:rFonts w:ascii="宋体" w:hAnsi="宋体"/>
      <w:sz w:val="28"/>
      <w:szCs w:val="28"/>
      <w:lang w:val="zh-CN"/>
    </w:rPr>
  </w:style>
  <w:style w:type="table" w:customStyle="1" w:styleId="a1-BR353846">
    <w:name w:val="a1-BR353846"/>
    <w:uiPriority w:val="99"/>
    <w:semiHidden/>
    <w:unhideWhenUsed/>
    <w:qFormat/>
    <w:rPr>
      <w:rFonts w:ascii="等线" w:eastAsia="PMingLiU" w:hAnsi="等线"/>
      <w:kern w:val="2"/>
      <w:sz w:val="21"/>
      <w:szCs w:val="22"/>
    </w:rPr>
    <w:tblPr>
      <w:tblCellMar>
        <w:top w:w="0" w:type="dxa"/>
        <w:left w:w="108" w:type="dxa"/>
        <w:bottom w:w="0" w:type="dxa"/>
        <w:right w:w="108" w:type="dxa"/>
      </w:tblCellMar>
    </w:tblPr>
  </w:style>
  <w:style w:type="paragraph" w:customStyle="1" w:styleId="a3-BR353846">
    <w:name w:val="a3-BR353846"/>
    <w:basedOn w:val="a-BR353846"/>
    <w:uiPriority w:val="99"/>
    <w:qFormat/>
    <w:pPr>
      <w:tabs>
        <w:tab w:val="center" w:pos="4153"/>
        <w:tab w:val="right" w:pos="8306"/>
      </w:tabs>
      <w:snapToGrid w:val="0"/>
      <w:jc w:val="left"/>
    </w:pPr>
    <w:rPr>
      <w:kern w:val="0"/>
      <w:sz w:val="18"/>
      <w:szCs w:val="18"/>
      <w:lang w:val="zh-CN"/>
    </w:rPr>
  </w:style>
  <w:style w:type="character" w:customStyle="1" w:styleId="a7-BR353846">
    <w:name w:val="a7-BR353846"/>
    <w:uiPriority w:val="99"/>
    <w:qFormat/>
    <w:rPr>
      <w:rFonts w:ascii="等线" w:eastAsia="PMingLiU" w:hAnsi="等线" w:cs="Times New Roman"/>
      <w:kern w:val="2"/>
      <w:sz w:val="21"/>
      <w:szCs w:val="22"/>
      <w:lang w:val="en-US" w:eastAsia="zh-CN" w:bidi="ar-SA"/>
    </w:rPr>
  </w:style>
  <w:style w:type="table" w:customStyle="1" w:styleId="a8-BR353846">
    <w:name w:val="a8-BR353846"/>
    <w:basedOn w:val="a1-BR353846"/>
    <w:qFormat/>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
    <w:name w:val="Revision"/>
    <w:hidden/>
    <w:uiPriority w:val="99"/>
    <w:semiHidden/>
    <w:rPr>
      <w:rFonts w:asciiTheme="minorHAnsi" w:eastAsiaTheme="minorEastAsia" w:hAnsiTheme="minorHAnsi" w:cstheme="minorBidi"/>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16"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s="http://www.wps.cn/officeDocument/2013/wpsCustomData" xmlns="http://www.wps.cn/officeDocument/2013/wpsCustomData">
  <customSectProps>
    <customSectPr/>
    <customSectPr/>
  </customSectProps>
  <customShpExts>
    <customShpInfo spid="_x0000_s1026"/>
  </customShpExt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8C295D-A819-478D-A432-6DF5E70E825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97</Pages>
  <Words>11920</Words>
  <Characters>67950</Characters>
  <Application>Microsoft Office Word</Application>
  <DocSecurity>0</DocSecurity>
  <Lines>566</Lines>
  <Paragraphs>159</Paragraphs>
  <ScaleCrop>false</ScaleCrop>
  <Company>GTJA</Company>
  <LinksUpToDate>false</LinksUpToDate>
  <CharactersWithSpaces>79711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私募基金合同</dc:title>
  <dc:creator>gtja</dc:creator>
  <cp:lastModifiedBy>docx4j 8.0.0</cp:lastModifiedBy>
  <cp:revision>10</cp:revision>
  <cp:lastPrinted>2015-08-27T01:18:00Z</cp:lastPrinted>
  <dcterms:created xsi:type="dcterms:W3CDTF">2021-12-01T07:06:00Z</dcterms:created>
  <dcterms:modified xsi:type="dcterms:W3CDTF">2022-09-02T02:52:59Z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E4BE3CA614FC4B3EB4E3E9C5EFE7290C</vt:lpwstr>
  </property>
  <property fmtid="{D5CDD505-2E9C-101B-9397-08002B2CF9AE}" pid="3" name="KSOProductBuildVer">
    <vt:lpwstr>2052-11.1.0.12313</vt:lpwstr>
  </property>
</Properties>
</file>