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color w:val="1F2428"/>
          <w:sz w:val="56"/>
        </w:rPr>
        <w:t>Cogito Zero</w:t>
      </w:r>
    </w:p>
    <w:p>
      <w:r>
        <w:rPr>
          <w:rFonts w:ascii="맑은 고딕" w:hAnsi="맑은 고딕" w:eastAsia="맑은 고딕"/>
          <w:b/>
          <w:color w:val="0F766E"/>
          <w:sz w:val="26"/>
        </w:rPr>
        <w:t>AI 에이전트 실행 통제를 위한 제로트러스트 게이트웨이</w:t>
      </w:r>
    </w:p>
    <w:p>
      <w:r>
        <w:rPr>
          <w:rFonts w:ascii="맑은 고딕" w:hAnsi="맑은 고딕" w:eastAsia="맑은 고딕"/>
          <w:b w:val="0"/>
          <w:color w:val="6E7781"/>
          <w:sz w:val="17"/>
        </w:rPr>
        <w:t>Balanced Business Plan Copy · v1.1 · 2026</w:t>
      </w:r>
    </w:p>
    <w:p>
      <w:pPr>
        <w:spacing w:after="100" w:line="271" w:lineRule="auto"/>
      </w:pPr>
      <w:r>
        <w:rPr>
          <w:rFonts w:ascii="맑은 고딕" w:hAnsi="맑은 고딕" w:eastAsia="맑은 고딕"/>
          <w:b w:val="0"/>
          <w:color w:val="1F2428"/>
          <w:sz w:val="19"/>
        </w:rPr>
        <w:t>본 문서는 원본 상세본과 light 버전의 중간 지점을 목표로 작성한 balanced 사본입니다. 원본의 시장·거버넌스·재무·리스크 설득 요소를 일부 되살리되, 장황한 서사와 과도한 세부 설명은 줄였습니다.</w:t>
      </w:r>
    </w:p>
    <w:p>
      <w:pPr>
        <w:spacing w:after="100" w:line="271" w:lineRule="auto"/>
      </w:pPr>
      <w:r>
        <w:rPr>
          <w:rFonts w:ascii="맑은 고딕" w:hAnsi="맑은 고딕" w:eastAsia="맑은 고딕"/>
          <w:b/>
          <w:color w:val="0F766E"/>
          <w:sz w:val="19"/>
        </w:rPr>
        <w:t>핵심 정의:</w:t>
      </w:r>
      <w:r>
        <w:rPr>
          <w:rFonts w:ascii="맑은 고딕" w:hAnsi="맑은 고딕" w:eastAsia="맑은 고딕"/>
          <w:b w:val="0"/>
          <w:color w:val="1F2428"/>
          <w:sz w:val="19"/>
        </w:rPr>
        <w:t xml:space="preserve"> Cogito Zero는 AI 에이전트와 도구/MCP/API 사이에서 모든 실행 요청을 정책 기반으로 평가하고, 필요한 경우 조건부 실행·승인·드라이런·차단으로 전환하는 제로트러스트 실행 통제 게이트웨이입니다.</w:t>
      </w:r>
    </w:p>
    <w:p>
      <w:r>
        <w:br w:type="page"/>
      </w:r>
    </w:p>
    <w:p>
      <w:pPr>
        <w:pStyle w:val="Heading1"/>
        <w:spacing w:before="200" w:after="100"/>
      </w:pPr>
      <w:r>
        <w:rPr>
          <w:rFonts w:ascii="맑은 고딕" w:hAnsi="맑은 고딕" w:eastAsia="맑은 고딕"/>
          <w:b/>
          <w:color w:val="1F2428"/>
          <w:sz w:val="34"/>
        </w:rPr>
        <w:t>목차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color w:val="1F2428"/>
          <w:sz w:val="18"/>
        </w:rPr>
        <w:t>1. 프롤로그: 병목은 모델이 아니라 실행 통제다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color w:val="1F2428"/>
          <w:sz w:val="18"/>
        </w:rPr>
        <w:t>2. 핵심 요약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color w:val="1F2428"/>
          <w:sz w:val="18"/>
        </w:rPr>
        <w:t>3. 시장 기회: Agent Execution Security의 등장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color w:val="1F2428"/>
          <w:sz w:val="18"/>
        </w:rPr>
        <w:t>4. 문제 정의: Tool Call의 블랙박스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color w:val="1F2428"/>
          <w:sz w:val="18"/>
        </w:rPr>
        <w:t>5. 솔루션: Zero Trust Gateway for AI Agents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color w:val="1F2428"/>
          <w:sz w:val="18"/>
        </w:rPr>
        <w:t>6. 제품 구성과 작동 방식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color w:val="1F2428"/>
          <w:sz w:val="18"/>
        </w:rPr>
        <w:t>7. 정책 결정 체계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color w:val="1F2428"/>
          <w:sz w:val="18"/>
        </w:rPr>
        <w:t>8. 대표 시나리오 3가지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color w:val="1F2428"/>
          <w:sz w:val="18"/>
        </w:rPr>
        <w:t>9. 거버넌스와 컴플라이언스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color w:val="1F2428"/>
          <w:sz w:val="18"/>
        </w:rPr>
        <w:t>10. 경쟁 환경과 포지셔닝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color w:val="1F2428"/>
          <w:sz w:val="18"/>
        </w:rPr>
        <w:t>11. 비즈니스 모델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color w:val="1F2428"/>
          <w:sz w:val="18"/>
        </w:rPr>
        <w:t>12. GTM 및 초기 도입 전략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color w:val="1F2428"/>
          <w:sz w:val="18"/>
        </w:rPr>
        <w:t>13. 로드맵과 팀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color w:val="1F2428"/>
          <w:sz w:val="18"/>
        </w:rPr>
        <w:t>14. 재무 관점과 리스크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color w:val="1F2428"/>
          <w:sz w:val="18"/>
        </w:rPr>
        <w:t>15. 맺음말</w:t>
      </w:r>
    </w:p>
    <w:p>
      <w:r>
        <w:br w:type="page"/>
      </w:r>
    </w:p>
    <w:p>
      <w:pPr>
        <w:pStyle w:val="Heading1"/>
        <w:spacing w:before="200" w:after="100"/>
      </w:pPr>
      <w:r>
        <w:rPr>
          <w:rFonts w:ascii="맑은 고딕" w:hAnsi="맑은 고딕" w:eastAsia="맑은 고딕"/>
          <w:b/>
          <w:color w:val="1F2428"/>
          <w:sz w:val="34"/>
        </w:rPr>
        <w:t>1. 프롤로그: 병목은 모델이 아니라 실행 통제다</w:t>
      </w:r>
    </w:p>
    <w:p>
      <w:pPr>
        <w:spacing w:after="100" w:line="271" w:lineRule="auto"/>
      </w:pPr>
      <w:r>
        <w:rPr>
          <w:rFonts w:ascii="맑은 고딕" w:hAnsi="맑은 고딕" w:eastAsia="맑은 고딕"/>
          <w:b w:val="0"/>
          <w:color w:val="1F2428"/>
          <w:sz w:val="19"/>
        </w:rPr>
        <w:t>AI 에이전트는 더 이상 답변을 생성하는 데서 멈추지 않습니다. MCP, API, SaaS, 데이터베이스, 보안장비를 호출하며 실제 업무를 수행하는 운영 주체로 이동하고 있습니다.</w:t>
      </w:r>
    </w:p>
    <w:p>
      <w:pPr>
        <w:spacing w:after="100" w:line="271" w:lineRule="auto"/>
      </w:pPr>
      <w:r>
        <w:rPr>
          <w:rFonts w:ascii="맑은 고딕" w:hAnsi="맑은 고딕" w:eastAsia="맑은 고딕"/>
          <w:b w:val="0"/>
          <w:color w:val="1F2428"/>
          <w:sz w:val="19"/>
        </w:rPr>
        <w:t>이 변화가 커질수록 기업의 질문도 바뀝니다. “어떤 모델을 쓸 것인가”보다 “이 에이전트에게 어디까지 실행 권한을 줄 수 있는가”가 더 중요한 병목이 됩니다.</w:t>
      </w:r>
    </w:p>
    <w:p>
      <w:pPr>
        <w:spacing w:after="100" w:line="271" w:lineRule="auto"/>
      </w:pPr>
      <w:r>
        <w:rPr>
          <w:rFonts w:ascii="맑은 고딕" w:hAnsi="맑은 고딕" w:eastAsia="맑은 고딕"/>
          <w:b w:val="0"/>
          <w:color w:val="1F2428"/>
          <w:sz w:val="19"/>
        </w:rPr>
        <w:t>사람에게는 계정, 권한, 승인, 감사라는 통제 체계가 있습니다. 그러나 사람 중심 체계만으로는 에이전트의 빠르고 반복적인 Tool Call을 충분히 설명하거나 통제하기 어렵습니다.</w:t>
      </w:r>
    </w:p>
    <w:p>
      <w:pPr>
        <w:spacing w:after="100" w:line="271" w:lineRule="auto"/>
      </w:pPr>
      <w:r>
        <w:rPr>
          <w:rFonts w:ascii="맑은 고딕" w:hAnsi="맑은 고딕" w:eastAsia="맑은 고딕"/>
          <w:b w:val="0"/>
          <w:color w:val="1F2428"/>
          <w:sz w:val="19"/>
        </w:rPr>
        <w:t>Cogito Zero는 바로 이 지점에 위치합니다. 에이전트와 도구 사이에서 실행 요청을 검증하고, 위험한 호출은 조건부 실행·승인·드라이런·차단으로 전환합니다.</w:t>
      </w:r>
    </w:p>
    <w:p>
      <w:pPr>
        <w:pStyle w:val="Heading1"/>
        <w:spacing w:before="200" w:after="100"/>
      </w:pPr>
      <w:r>
        <w:rPr>
          <w:rFonts w:ascii="맑은 고딕" w:hAnsi="맑은 고딕" w:eastAsia="맑은 고딕"/>
          <w:b/>
          <w:color w:val="1F2428"/>
          <w:sz w:val="34"/>
        </w:rPr>
        <w:t>2. 핵심 요약</w:t>
      </w:r>
    </w:p>
    <w:p>
      <w:pPr>
        <w:spacing w:after="100" w:line="271" w:lineRule="auto"/>
      </w:pPr>
      <w:r>
        <w:rPr>
          <w:rFonts w:ascii="맑은 고딕" w:hAnsi="맑은 고딕" w:eastAsia="맑은 고딕"/>
          <w:b w:val="0"/>
          <w:color w:val="1F2428"/>
          <w:sz w:val="19"/>
        </w:rPr>
        <w:t>Cogito Zero는 AI 에이전트 실행 보안을 위한 제로트러스트 게이트웨이입니다. 모든 Tool Call을 실행 직전에 평가하고, 정책에 따라 허용 또는 제한합니다.</w:t>
      </w:r>
    </w:p>
    <w:p>
      <w:pPr>
        <w:spacing w:after="100" w:line="271" w:lineRule="auto"/>
      </w:pPr>
      <w:r>
        <w:rPr>
          <w:rFonts w:ascii="맑은 고딕" w:hAnsi="맑은 고딕" w:eastAsia="맑은 고딕"/>
          <w:b w:val="0"/>
          <w:color w:val="1F2428"/>
          <w:sz w:val="19"/>
        </w:rPr>
        <w:t>제품의 핵심 가치는 자동화를 멈추지 않으면서 위험한 실행만 선별적으로 제어하는 데 있습니다. 보안팀은 통제와 증적을 얻고, 현업은 자동화 흐름을 유지할 수 있습니다.</w:t>
      </w:r>
    </w:p>
    <w:p>
      <w:pPr>
        <w:spacing w:after="100" w:line="271" w:lineRule="auto"/>
      </w:pPr>
      <w:r>
        <w:rPr>
          <w:rFonts w:ascii="맑은 고딕" w:hAnsi="맑은 고딕" w:eastAsia="맑은 고딕"/>
          <w:b w:val="0"/>
          <w:color w:val="1F2428"/>
          <w:sz w:val="19"/>
        </w:rPr>
        <w:t>주요 구성은 Tool Call Firewall, Agent/Tool Registry, Execution Ontology, Policy Engine, Approval Workflow, Audit Timeline, Data Sensitivity Guard, Dashboard입니다.</w:t>
      </w:r>
    </w:p>
    <w:p>
      <w:pPr>
        <w:spacing w:after="100" w:line="271" w:lineRule="auto"/>
      </w:pPr>
      <w:r>
        <w:rPr>
          <w:rFonts w:ascii="맑은 고딕" w:hAnsi="맑은 고딕" w:eastAsia="맑은 고딕"/>
          <w:b w:val="0"/>
          <w:color w:val="1F2428"/>
          <w:sz w:val="19"/>
        </w:rPr>
        <w:t>초기 고객은 AI 에이전트를 실제 업무 시스템에 연결하려는 금융, SOC/MSSP, 공공, 규제 산업, 대기업 DX 조직입니다. 이들은 자동화 수요와 감사·승인 요구를 동시에 갖고 있습니다.</w:t>
      </w:r>
    </w:p>
    <w:p>
      <w:pPr>
        <w:spacing w:after="100" w:line="271" w:lineRule="auto"/>
      </w:pPr>
      <w:r>
        <w:rPr>
          <w:rFonts w:ascii="맑은 고딕" w:hAnsi="맑은 고딕" w:eastAsia="맑은 고딕"/>
          <w:b w:val="0"/>
          <w:color w:val="1F2428"/>
          <w:sz w:val="19"/>
        </w:rPr>
        <w:t>수익 모델은 엔터프라이즈 구독과 도입 전문서비스의 결합입니다. PoC로 시작해 정책 템플릿, 연동, 감사 리포트, 고급 컴플라이언스 기능으로 확장합니다.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54"/>
        <w:gridCol w:w="5054"/>
      </w:tblGrid>
      <w:tr>
        <w:tc>
          <w:tcPr>
            <w:tcW w:type="dxa" w:w="2016"/>
            <w:shd w:fill="1F2428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200"/>
            <w:shd w:fill="1F2428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Balanced 메시지</w:t>
            </w:r>
          </w:p>
        </w:tc>
      </w:tr>
      <w:tr>
        <w:tc>
          <w:tcPr>
            <w:tcW w:type="dxa" w:w="2016"/>
            <w:shd w:fill="FFFFFF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1F2428"/>
                <w:sz w:val="16"/>
              </w:rPr>
              <w:t>문제</w:t>
            </w:r>
          </w:p>
        </w:tc>
        <w:tc>
          <w:tcPr>
            <w:tcW w:type="dxa" w:w="7200"/>
            <w:shd w:fill="FFFFFF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1F2428"/>
                <w:sz w:val="16"/>
              </w:rPr>
              <w:t>에이전트가 실제 도구를 실행하지만 실행 직전 통제와 감사 체계가 부족합니다.</w:t>
            </w:r>
          </w:p>
        </w:tc>
      </w:tr>
      <w:tr>
        <w:tc>
          <w:tcPr>
            <w:tcW w:type="dxa" w:w="2016"/>
            <w:shd w:fill="EFECE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1F2428"/>
                <w:sz w:val="16"/>
              </w:rPr>
              <w:t>해법</w:t>
            </w:r>
          </w:p>
        </w:tc>
        <w:tc>
          <w:tcPr>
            <w:tcW w:type="dxa" w:w="7200"/>
            <w:shd w:fill="EFECE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1F2428"/>
                <w:sz w:val="16"/>
              </w:rPr>
              <w:t>모든 Tool Call을 정책 기반으로 평가하고 승인·드라이런·차단으로 전환합니다.</w:t>
            </w:r>
          </w:p>
        </w:tc>
      </w:tr>
      <w:tr>
        <w:tc>
          <w:tcPr>
            <w:tcW w:type="dxa" w:w="2016"/>
            <w:shd w:fill="FFFFFF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1F2428"/>
                <w:sz w:val="16"/>
              </w:rPr>
              <w:t>고객</w:t>
            </w:r>
          </w:p>
        </w:tc>
        <w:tc>
          <w:tcPr>
            <w:tcW w:type="dxa" w:w="7200"/>
            <w:shd w:fill="FFFFFF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1F2428"/>
                <w:sz w:val="16"/>
              </w:rPr>
              <w:t>금융, SOC/MSSP, 공공, 규제 산업, 대기업 DX 조직부터 시작합니다.</w:t>
            </w:r>
          </w:p>
        </w:tc>
      </w:tr>
      <w:tr>
        <w:tc>
          <w:tcPr>
            <w:tcW w:type="dxa" w:w="2016"/>
            <w:shd w:fill="EFECE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1F2428"/>
                <w:sz w:val="16"/>
              </w:rPr>
              <w:t>수익</w:t>
            </w:r>
          </w:p>
        </w:tc>
        <w:tc>
          <w:tcPr>
            <w:tcW w:type="dxa" w:w="7200"/>
            <w:shd w:fill="EFECE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1F2428"/>
                <w:sz w:val="16"/>
              </w:rPr>
              <w:t>구독형 플랫폼 + PoC/정책 설계/연동 전문서비스로 진입합니다.</w:t>
            </w:r>
          </w:p>
        </w:tc>
      </w:tr>
    </w:tbl>
    <w:p/>
    <w:p>
      <w:pPr>
        <w:pStyle w:val="Heading1"/>
        <w:spacing w:before="200" w:after="100"/>
      </w:pPr>
      <w:r>
        <w:rPr>
          <w:rFonts w:ascii="맑은 고딕" w:hAnsi="맑은 고딕" w:eastAsia="맑은 고딕"/>
          <w:b/>
          <w:color w:val="1F2428"/>
          <w:sz w:val="34"/>
        </w:rPr>
        <w:t>3. 시장 기회: Agent Execution Security의 등장</w:t>
      </w:r>
    </w:p>
    <w:p>
      <w:pPr>
        <w:spacing w:after="100" w:line="271" w:lineRule="auto"/>
      </w:pPr>
      <w:r>
        <w:rPr>
          <w:rFonts w:ascii="맑은 고딕" w:hAnsi="맑은 고딕" w:eastAsia="맑은 고딕"/>
          <w:b w:val="0"/>
          <w:color w:val="1F2428"/>
          <w:sz w:val="19"/>
        </w:rPr>
        <w:t>LLM 시장은 생성형 도구에서 에이전트 실행 계층으로 이동하고 있습니다. 에이전트가 외부 시스템을 호출할수록 통제의 중심은 프롬프트가 아니라 실행 요청으로 옮겨갑니다.</w:t>
      </w:r>
    </w:p>
    <w:p>
      <w:pPr>
        <w:spacing w:after="100" w:line="271" w:lineRule="auto"/>
      </w:pPr>
      <w:r>
        <w:rPr>
          <w:rFonts w:ascii="맑은 고딕" w:hAnsi="맑은 고딕" w:eastAsia="맑은 고딕"/>
          <w:b w:val="0"/>
          <w:color w:val="1F2428"/>
          <w:sz w:val="19"/>
        </w:rPr>
        <w:t>MCP와 Tool Use는 연결을 쉽게 만들지만, 연결이 쉬워진 만큼 실행 리스크도 커집니다. 이메일 발송, DB 조회, 계정 변경, 배포, 파일 삭제는 모두 실제 피해를 만들 수 있는 행동입니다.</w:t>
      </w:r>
    </w:p>
    <w:p>
      <w:pPr>
        <w:spacing w:after="100" w:line="271" w:lineRule="auto"/>
      </w:pPr>
      <w:r>
        <w:rPr>
          <w:rFonts w:ascii="맑은 고딕" w:hAnsi="맑은 고딕" w:eastAsia="맑은 고딕"/>
          <w:b w:val="0"/>
          <w:color w:val="1F2428"/>
          <w:sz w:val="19"/>
        </w:rPr>
        <w:t>기존 보안 예산은 IAM, PAM, DLP, CASB, SIEM/SOAR 같은 사람·네트워크·데이터 중심 통제에 집중되어 있습니다. 그러나 에이전트가 권한 안에서 내리는 실행 결정은 별도 계층이 필요합니다.</w:t>
      </w:r>
    </w:p>
    <w:p>
      <w:pPr>
        <w:spacing w:after="100" w:line="271" w:lineRule="auto"/>
      </w:pPr>
      <w:r>
        <w:rPr>
          <w:rFonts w:ascii="맑은 고딕" w:hAnsi="맑은 고딕" w:eastAsia="맑은 고딕"/>
          <w:b w:val="0"/>
          <w:color w:val="1F2428"/>
          <w:sz w:val="19"/>
        </w:rPr>
        <w:t>우리는 이 범주를 Agent Execution Security 또는 Tool Call Governance로 정의합니다. 이는 기존 보안 제품을 대체하기보다, AI 에이전트 운영에 필요한 새로운 통제 지점을 추가합니다.</w:t>
      </w:r>
    </w:p>
    <w:p>
      <w:pPr>
        <w:spacing w:after="100" w:line="271" w:lineRule="auto"/>
      </w:pPr>
      <w:r>
        <w:rPr>
          <w:rFonts w:ascii="맑은 고딕" w:hAnsi="맑은 고딕" w:eastAsia="맑은 고딕"/>
          <w:b w:val="0"/>
          <w:color w:val="1F2428"/>
          <w:sz w:val="19"/>
        </w:rPr>
        <w:t>시장 진입의 핵심은 거대한 수치보다 명확한 초기 문제입니다. 규제 산업과 보안운영 영역은 실행 통제와 감사 증적의 필요성을 가장 먼저 체감합니다.</w:t>
      </w:r>
    </w:p>
    <w:p>
      <w:pPr>
        <w:pStyle w:val="Heading1"/>
        <w:spacing w:before="200" w:after="100"/>
      </w:pPr>
      <w:r>
        <w:rPr>
          <w:rFonts w:ascii="맑은 고딕" w:hAnsi="맑은 고딕" w:eastAsia="맑은 고딕"/>
          <w:b/>
          <w:color w:val="1F2428"/>
          <w:sz w:val="34"/>
        </w:rPr>
        <w:t>4. 문제 정의: Tool Call의 블랙박스</w:t>
      </w:r>
    </w:p>
    <w:p>
      <w:pPr>
        <w:spacing w:after="100" w:line="271" w:lineRule="auto"/>
      </w:pPr>
      <w:r>
        <w:rPr>
          <w:rFonts w:ascii="맑은 고딕" w:hAnsi="맑은 고딕" w:eastAsia="맑은 고딕"/>
          <w:b w:val="0"/>
          <w:color w:val="1F2428"/>
          <w:sz w:val="19"/>
        </w:rPr>
        <w:t>에이전트는 권한을 부여받는 순간부터 행동할 수 있는 존재가 됩니다. 문제는 그 권한 안에서 내려지는 판단이 항상 올바르지는 않다는 점입니다.</w:t>
      </w:r>
    </w:p>
    <w:p>
      <w:pPr>
        <w:spacing w:after="100" w:line="271" w:lineRule="auto"/>
      </w:pPr>
      <w:r>
        <w:rPr>
          <w:rFonts w:ascii="맑은 고딕" w:hAnsi="맑은 고딕" w:eastAsia="맑은 고딕"/>
          <w:b w:val="0"/>
          <w:color w:val="1F2428"/>
          <w:sz w:val="19"/>
        </w:rPr>
        <w:t>프롬프트 인젝션, 과잉 권한, 잘못된 도구 선택, 민감정보 노출, 승인 없는 변경은 모두 에이전트 운영에서 발생할 수 있는 실행 리스크입니다.</w:t>
      </w:r>
    </w:p>
    <w:p>
      <w:pPr>
        <w:spacing w:after="100" w:line="271" w:lineRule="auto"/>
      </w:pPr>
      <w:r>
        <w:rPr>
          <w:rFonts w:ascii="맑은 고딕" w:hAnsi="맑은 고딕" w:eastAsia="맑은 고딕"/>
          <w:b w:val="0"/>
          <w:color w:val="1F2428"/>
          <w:sz w:val="19"/>
        </w:rPr>
        <w:t>로그만으로는 충분하지 않습니다. 사고가 발생한 뒤 “무엇이 실행되었는가”를 보는 것보다, 실행되기 전에 “이 행동을 지금 허용해도 되는가”를 판단해야 합니다.</w:t>
      </w:r>
    </w:p>
    <w:p>
      <w:pPr>
        <w:spacing w:after="100" w:line="271" w:lineRule="auto"/>
      </w:pPr>
      <w:r>
        <w:rPr>
          <w:rFonts w:ascii="맑은 고딕" w:hAnsi="맑은 고딕" w:eastAsia="맑은 고딕"/>
          <w:b w:val="0"/>
          <w:color w:val="1F2428"/>
          <w:sz w:val="19"/>
        </w:rPr>
        <w:t>기업이 필요한 것은 모델 보안만이 아닙니다. 모델이 생성한 행동이 실제 시스템에서 실행되는 순간을 통제하는 실행 보안입니다.</w:t>
      </w:r>
    </w:p>
    <w:p>
      <w:pPr>
        <w:pStyle w:val="Heading1"/>
        <w:spacing w:before="200" w:after="100"/>
      </w:pPr>
      <w:r>
        <w:rPr>
          <w:rFonts w:ascii="맑은 고딕" w:hAnsi="맑은 고딕" w:eastAsia="맑은 고딕"/>
          <w:b/>
          <w:color w:val="1F2428"/>
          <w:sz w:val="34"/>
        </w:rPr>
        <w:t>5. 솔루션: Zero Trust Gateway for AI Agents</w:t>
      </w:r>
    </w:p>
    <w:p>
      <w:pPr>
        <w:spacing w:after="100" w:line="271" w:lineRule="auto"/>
      </w:pPr>
      <w:r>
        <w:rPr>
          <w:rFonts w:ascii="맑은 고딕" w:hAnsi="맑은 고딕" w:eastAsia="맑은 고딕"/>
          <w:b w:val="0"/>
          <w:color w:val="1F2428"/>
          <w:sz w:val="19"/>
        </w:rPr>
        <w:t>Cogito Zero는 에이전트와 도구/MCP/API 사이의 단일 통제 지점입니다. 에이전트가 호출하는 모든 고위험 Tool Call은 실행 전 정책 평가를 거칩니다.</w:t>
      </w:r>
    </w:p>
    <w:p>
      <w:pPr>
        <w:spacing w:after="100" w:line="271" w:lineRule="auto"/>
      </w:pPr>
      <w:r>
        <w:rPr>
          <w:rFonts w:ascii="맑은 고딕" w:hAnsi="맑은 고딕" w:eastAsia="맑은 고딕"/>
          <w:b w:val="0"/>
          <w:color w:val="1F2428"/>
          <w:sz w:val="19"/>
        </w:rPr>
        <w:t>정책 엔진은 에이전트 신원, 사용자 권한, 도구 위험도, 데이터 민감도, 시간, 업무 목적, 과거 이력 같은 맥락을 함께 판단합니다.</w:t>
      </w:r>
    </w:p>
    <w:p>
      <w:pPr>
        <w:spacing w:after="100" w:line="271" w:lineRule="auto"/>
      </w:pPr>
      <w:r>
        <w:rPr>
          <w:rFonts w:ascii="맑은 고딕" w:hAnsi="맑은 고딕" w:eastAsia="맑은 고딕"/>
          <w:b w:val="0"/>
          <w:color w:val="1F2428"/>
          <w:sz w:val="19"/>
        </w:rPr>
        <w:t>결과는 단순 허용·차단이 아닙니다. 안전한 호출은 Allow, 조건이 필요한 호출은 Conditional Allow, 고위험 호출은 Approval, 영향 확인이 필요한 호출은 Dry-run, 금지된 호출은 Block으로 처리합니다.</w:t>
      </w:r>
    </w:p>
    <w:p>
      <w:pPr>
        <w:spacing w:after="100" w:line="271" w:lineRule="auto"/>
      </w:pPr>
      <w:r>
        <w:rPr>
          <w:rFonts w:ascii="맑은 고딕" w:hAnsi="맑은 고딕" w:eastAsia="맑은 고딕"/>
          <w:b w:val="0"/>
          <w:color w:val="1F2428"/>
          <w:sz w:val="19"/>
        </w:rPr>
        <w:t>Cogito Zero는 자동화를 막는 방화벽이 아니라, 자동화가 기업 통제 안에서 확장되도록 만드는 실행 거버넌스 레이어입니다.</w:t>
      </w:r>
    </w:p>
    <w:p>
      <w:pPr>
        <w:pStyle w:val="Heading1"/>
        <w:spacing w:before="200" w:after="100"/>
      </w:pPr>
      <w:r>
        <w:rPr>
          <w:rFonts w:ascii="맑은 고딕" w:hAnsi="맑은 고딕" w:eastAsia="맑은 고딕"/>
          <w:b/>
          <w:color w:val="1F2428"/>
          <w:sz w:val="34"/>
        </w:rPr>
        <w:t>6. 제품 구성과 작동 방식</w:t>
      </w:r>
    </w:p>
    <w:p>
      <w:pPr>
        <w:spacing w:after="100" w:line="271" w:lineRule="auto"/>
      </w:pPr>
      <w:r>
        <w:rPr>
          <w:rFonts w:ascii="맑은 고딕" w:hAnsi="맑은 고딕" w:eastAsia="맑은 고딕"/>
          <w:b w:val="0"/>
          <w:color w:val="1F2428"/>
          <w:sz w:val="19"/>
        </w:rPr>
        <w:t>Tool Call Firewall은 에이전트의 호출을 실행 직전에 가로채고 정책 평가 대상으로 전환합니다. 이는 모든 실행 요청이 지나가는 공통 관문입니다.</w:t>
      </w:r>
    </w:p>
    <w:p>
      <w:pPr>
        <w:spacing w:after="100" w:line="271" w:lineRule="auto"/>
      </w:pPr>
      <w:r>
        <w:rPr>
          <w:rFonts w:ascii="맑은 고딕" w:hAnsi="맑은 고딕" w:eastAsia="맑은 고딕"/>
          <w:b w:val="0"/>
          <w:color w:val="1F2428"/>
          <w:sz w:val="19"/>
        </w:rPr>
        <w:t>Agent/Tool Registry는 어떤 에이전트가 어떤 도구를 사용할 수 있는지 등록하고 신뢰 수준을 관리합니다. 조직은 흩어진 에이전트와 MCP 도구를 한 계층에서 볼 수 있습니다.</w:t>
      </w:r>
    </w:p>
    <w:p>
      <w:pPr>
        <w:spacing w:after="100" w:line="271" w:lineRule="auto"/>
      </w:pPr>
      <w:r>
        <w:rPr>
          <w:rFonts w:ascii="맑은 고딕" w:hAnsi="맑은 고딕" w:eastAsia="맑은 고딕"/>
          <w:b w:val="0"/>
          <w:color w:val="1F2428"/>
          <w:sz w:val="19"/>
        </w:rPr>
        <w:t>Execution Ontology는 호출을 읽기, 쓰기, 전송, 삭제, 배포, 계정 변경, 외부 공유 같은 실행 의미로 분류합니다. 정책 엔진은 이 공통 언어 위에서 판단합니다.</w:t>
      </w:r>
    </w:p>
    <w:p>
      <w:pPr>
        <w:spacing w:after="100" w:line="271" w:lineRule="auto"/>
      </w:pPr>
      <w:r>
        <w:rPr>
          <w:rFonts w:ascii="맑은 고딕" w:hAnsi="맑은 고딕" w:eastAsia="맑은 고딕"/>
          <w:b w:val="0"/>
          <w:color w:val="1F2428"/>
          <w:sz w:val="19"/>
        </w:rPr>
        <w:t>Approval Workflow는 위험한 요청을 사람 승인으로 전환합니다. Audit Timeline은 호출, 판단, 승인, 결과를 시간순으로 기록해 감사 가능한 증적을 남깁니다.</w:t>
      </w:r>
    </w:p>
    <w:p>
      <w:pPr>
        <w:spacing w:after="100" w:line="271" w:lineRule="auto"/>
      </w:pPr>
      <w:r>
        <w:rPr>
          <w:rFonts w:ascii="맑은 고딕" w:hAnsi="맑은 고딕" w:eastAsia="맑은 고딕"/>
          <w:b w:val="0"/>
          <w:color w:val="1F2428"/>
          <w:sz w:val="19"/>
        </w:rPr>
        <w:t>Data Sensitivity Guard는 PII, 영업비밀, 규제 대상 데이터를 탐지하고 마스킹이나 전송 제한을 적용합니다. Dashboard는 보안팀과 컴플라이언스팀이 실행 리스크를 확인하는 관제 화면입니다.</w:t>
      </w:r>
    </w:p>
    <w:p>
      <w:pPr>
        <w:pStyle w:val="Heading1"/>
        <w:spacing w:before="200" w:after="100"/>
      </w:pPr>
      <w:r>
        <w:rPr>
          <w:rFonts w:ascii="맑은 고딕" w:hAnsi="맑은 고딕" w:eastAsia="맑은 고딕"/>
          <w:b/>
          <w:color w:val="1F2428"/>
          <w:sz w:val="34"/>
        </w:rPr>
        <w:t>7. 정책 결정 체계</w:t>
      </w:r>
    </w:p>
    <w:p>
      <w:pPr>
        <w:spacing w:after="100" w:line="271" w:lineRule="auto"/>
      </w:pPr>
      <w:r>
        <w:rPr>
          <w:rFonts w:ascii="맑은 고딕" w:hAnsi="맑은 고딕" w:eastAsia="맑은 고딕"/>
          <w:b w:val="0"/>
          <w:color w:val="1F2428"/>
          <w:sz w:val="19"/>
        </w:rPr>
        <w:t>정책 결정은 다섯 가지로 단순화합니다. 이 구조는 보안팀, 현업, 감사 담당자가 같은 언어로 에이전트 실행을 이해하게 만듭니다.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9"/>
        <w:gridCol w:w="3369"/>
        <w:gridCol w:w="3369"/>
      </w:tblGrid>
      <w:tr>
        <w:tc>
          <w:tcPr>
            <w:tcW w:type="dxa" w:w="1728"/>
            <w:shd w:fill="1F2428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결정</w:t>
            </w:r>
          </w:p>
        </w:tc>
        <w:tc>
          <w:tcPr>
            <w:tcW w:type="dxa" w:w="3312"/>
            <w:shd w:fill="1F2428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의미</w:t>
            </w:r>
          </w:p>
        </w:tc>
        <w:tc>
          <w:tcPr>
            <w:tcW w:type="dxa" w:w="4320"/>
            <w:shd w:fill="1F2428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대표 상황</w:t>
            </w:r>
          </w:p>
        </w:tc>
      </w:tr>
      <w:tr>
        <w:tc>
          <w:tcPr>
            <w:tcW w:type="dxa" w:w="1728"/>
            <w:shd w:fill="FFFFFF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1F2428"/>
                <w:sz w:val="16"/>
              </w:rPr>
              <w:t>Allow</w:t>
            </w:r>
          </w:p>
        </w:tc>
        <w:tc>
          <w:tcPr>
            <w:tcW w:type="dxa" w:w="3312"/>
            <w:shd w:fill="FFFFFF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1F2428"/>
                <w:sz w:val="16"/>
              </w:rPr>
              <w:t>정책상 안전한 실행을 즉시 통과</w:t>
            </w:r>
          </w:p>
        </w:tc>
        <w:tc>
          <w:tcPr>
            <w:tcW w:type="dxa" w:w="4320"/>
            <w:shd w:fill="FFFFFF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1F2428"/>
                <w:sz w:val="16"/>
              </w:rPr>
              <w:t>읽기 전용 조회, 낮은 위험의 내부 검색</w:t>
            </w:r>
          </w:p>
        </w:tc>
      </w:tr>
      <w:tr>
        <w:tc>
          <w:tcPr>
            <w:tcW w:type="dxa" w:w="1728"/>
            <w:shd w:fill="EFECE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1F2428"/>
                <w:sz w:val="16"/>
              </w:rPr>
              <w:t>Conditional Allow</w:t>
            </w:r>
          </w:p>
        </w:tc>
        <w:tc>
          <w:tcPr>
            <w:tcW w:type="dxa" w:w="3312"/>
            <w:shd w:fill="EFECE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1F2428"/>
                <w:sz w:val="16"/>
              </w:rPr>
              <w:t>조건을 걸어 제한 실행</w:t>
            </w:r>
          </w:p>
        </w:tc>
        <w:tc>
          <w:tcPr>
            <w:tcW w:type="dxa" w:w="4320"/>
            <w:shd w:fill="EFECE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1F2428"/>
                <w:sz w:val="16"/>
              </w:rPr>
              <w:t>PII 마스킹 후 조회, 범위 제한 적용</w:t>
            </w:r>
          </w:p>
        </w:tc>
      </w:tr>
      <w:tr>
        <w:tc>
          <w:tcPr>
            <w:tcW w:type="dxa" w:w="1728"/>
            <w:shd w:fill="FFFFFF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1F2428"/>
                <w:sz w:val="16"/>
              </w:rPr>
              <w:t>Approval</w:t>
            </w:r>
          </w:p>
        </w:tc>
        <w:tc>
          <w:tcPr>
            <w:tcW w:type="dxa" w:w="3312"/>
            <w:shd w:fill="FFFFFF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1F2428"/>
                <w:sz w:val="16"/>
              </w:rPr>
              <w:t>사람 승인 후 실행</w:t>
            </w:r>
          </w:p>
        </w:tc>
        <w:tc>
          <w:tcPr>
            <w:tcW w:type="dxa" w:w="4320"/>
            <w:shd w:fill="FFFFFF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1F2428"/>
                <w:sz w:val="16"/>
              </w:rPr>
              <w:t>계정 비활성화, 대량 삭제, 외부 전송</w:t>
            </w:r>
          </w:p>
        </w:tc>
      </w:tr>
      <w:tr>
        <w:tc>
          <w:tcPr>
            <w:tcW w:type="dxa" w:w="1728"/>
            <w:shd w:fill="EFECE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1F2428"/>
                <w:sz w:val="16"/>
              </w:rPr>
              <w:t>Dry-run</w:t>
            </w:r>
          </w:p>
        </w:tc>
        <w:tc>
          <w:tcPr>
            <w:tcW w:type="dxa" w:w="3312"/>
            <w:shd w:fill="EFECE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1F2428"/>
                <w:sz w:val="16"/>
              </w:rPr>
              <w:t>실행 전 영향 확인</w:t>
            </w:r>
          </w:p>
        </w:tc>
        <w:tc>
          <w:tcPr>
            <w:tcW w:type="dxa" w:w="4320"/>
            <w:shd w:fill="EFECE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1F2428"/>
                <w:sz w:val="16"/>
              </w:rPr>
              <w:t>배포, 방화벽 규칙, 권한 변경 사전 검증</w:t>
            </w:r>
          </w:p>
        </w:tc>
      </w:tr>
      <w:tr>
        <w:tc>
          <w:tcPr>
            <w:tcW w:type="dxa" w:w="1728"/>
            <w:shd w:fill="FFFFFF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1F2428"/>
                <w:sz w:val="16"/>
              </w:rPr>
              <w:t>Block</w:t>
            </w:r>
          </w:p>
        </w:tc>
        <w:tc>
          <w:tcPr>
            <w:tcW w:type="dxa" w:w="3312"/>
            <w:shd w:fill="FFFFFF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1F2428"/>
                <w:sz w:val="16"/>
              </w:rPr>
              <w:t>정책상 금지된 실행 차단</w:t>
            </w:r>
          </w:p>
        </w:tc>
        <w:tc>
          <w:tcPr>
            <w:tcW w:type="dxa" w:w="4320"/>
            <w:shd w:fill="FFFFFF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1F2428"/>
                <w:sz w:val="16"/>
              </w:rPr>
              <w:t>미승인 외부 공유, 스키마 불일치 도구 호출</w:t>
            </w:r>
          </w:p>
        </w:tc>
      </w:tr>
    </w:tbl>
    <w:p/>
    <w:p>
      <w:pPr>
        <w:pStyle w:val="Heading1"/>
        <w:spacing w:before="200" w:after="100"/>
      </w:pPr>
      <w:r>
        <w:rPr>
          <w:rFonts w:ascii="맑은 고딕" w:hAnsi="맑은 고딕" w:eastAsia="맑은 고딕"/>
          <w:b/>
          <w:color w:val="1F2428"/>
          <w:sz w:val="34"/>
        </w:rPr>
        <w:t>8. 대표 시나리오 3가지</w:t>
      </w:r>
    </w:p>
    <w:p>
      <w:pPr>
        <w:spacing w:after="100" w:line="271" w:lineRule="auto"/>
      </w:pPr>
      <w:r>
        <w:rPr>
          <w:rFonts w:ascii="맑은 고딕" w:hAnsi="맑은 고딕" w:eastAsia="맑은 고딕"/>
          <w:b w:val="0"/>
          <w:color w:val="1F2428"/>
          <w:sz w:val="19"/>
        </w:rPr>
        <w:t>첫 번째는 AI-SOC 안전 게이트입니다. 보안 에이전트가 야간에 관리자 계정 비활성화를 시도할 때, Cogito Zero는 고위험 대상과 업무 시간 맥락을 감지해 즉시 실행 대신 승인으로 전환합니다.</w:t>
      </w:r>
    </w:p>
    <w:p>
      <w:pPr>
        <w:spacing w:after="100" w:line="271" w:lineRule="auto"/>
      </w:pPr>
      <w:r>
        <w:rPr>
          <w:rFonts w:ascii="맑은 고딕" w:hAnsi="맑은 고딕" w:eastAsia="맑은 고딕"/>
          <w:b w:val="0"/>
          <w:color w:val="1F2428"/>
          <w:sz w:val="19"/>
        </w:rPr>
        <w:t>두 번째는 고객정보 외부 전송 통제입니다. 고객지원 에이전트가 PII가 포함된 답변을 외부 채널로 보내려 할 때, 민감정보를 탐지해 마스킹하거나 담당자 승인을 요구합니다.</w:t>
      </w:r>
    </w:p>
    <w:p>
      <w:pPr>
        <w:spacing w:after="100" w:line="271" w:lineRule="auto"/>
      </w:pPr>
      <w:r>
        <w:rPr>
          <w:rFonts w:ascii="맑은 고딕" w:hAnsi="맑은 고딕" w:eastAsia="맑은 고딕"/>
          <w:b w:val="0"/>
          <w:color w:val="1F2428"/>
          <w:sz w:val="19"/>
        </w:rPr>
        <w:t>세 번째는 MCP 도구 오염 차단입니다. 연결된 도구가 선언된 스키마와 다른 위험 동작을 요청하면, Cogito Zero는 스키마 불일치와 실행 의미를 비교해 호출을 차단합니다.</w:t>
      </w:r>
    </w:p>
    <w:p>
      <w:pPr>
        <w:spacing w:after="100" w:line="271" w:lineRule="auto"/>
      </w:pPr>
      <w:r>
        <w:rPr>
          <w:rFonts w:ascii="맑은 고딕" w:hAnsi="맑은 고딕" w:eastAsia="맑은 고딕"/>
          <w:b w:val="0"/>
          <w:color w:val="1F2428"/>
          <w:sz w:val="19"/>
        </w:rPr>
        <w:t>이 시나리오의 공통 효과는 자동화 속도를 유지하면서도 되돌리기 어려운 실행을 사람과 정책의 통제 안에 둔다는 점입니다.</w:t>
      </w:r>
    </w:p>
    <w:p>
      <w:pPr>
        <w:pStyle w:val="Heading1"/>
        <w:spacing w:before="200" w:after="100"/>
      </w:pPr>
      <w:r>
        <w:rPr>
          <w:rFonts w:ascii="맑은 고딕" w:hAnsi="맑은 고딕" w:eastAsia="맑은 고딕"/>
          <w:b/>
          <w:color w:val="1F2428"/>
          <w:sz w:val="34"/>
        </w:rPr>
        <w:t>9. 거버넌스와 컴플라이언스</w:t>
      </w:r>
    </w:p>
    <w:p>
      <w:pPr>
        <w:spacing w:after="100" w:line="271" w:lineRule="auto"/>
      </w:pPr>
      <w:r>
        <w:rPr>
          <w:rFonts w:ascii="맑은 고딕" w:hAnsi="맑은 고딕" w:eastAsia="맑은 고딕"/>
          <w:b w:val="0"/>
          <w:color w:val="1F2428"/>
          <w:sz w:val="19"/>
        </w:rPr>
        <w:t>AI 에이전트가 기업 시스템을 실행하는 순간, 감사 가능성은 선택이 아니라 운영 요구가 됩니다. 누가, 언제, 어떤 에이전트를 통해, 어떤 근거로 실행했는지 설명할 수 있어야 합니다.</w:t>
      </w:r>
    </w:p>
    <w:p>
      <w:pPr>
        <w:spacing w:after="100" w:line="271" w:lineRule="auto"/>
      </w:pPr>
      <w:r>
        <w:rPr>
          <w:rFonts w:ascii="맑은 고딕" w:hAnsi="맑은 고딕" w:eastAsia="맑은 고딕"/>
          <w:b w:val="0"/>
          <w:color w:val="1F2428"/>
          <w:sz w:val="19"/>
        </w:rPr>
        <w:t>Cogito Zero의 정책, 승인, 감사 기능은 ISO/IEC 42001, IT 거버넌스, 개인정보 영향평가 같은 통제 요구에 대응할 수 있는 운영 증적을 제공합니다.</w:t>
      </w:r>
    </w:p>
    <w:p>
      <w:pPr>
        <w:spacing w:after="100" w:line="271" w:lineRule="auto"/>
      </w:pPr>
      <w:r>
        <w:rPr>
          <w:rFonts w:ascii="맑은 고딕" w:hAnsi="맑은 고딕" w:eastAsia="맑은 고딕"/>
          <w:b w:val="0"/>
          <w:color w:val="1F2428"/>
          <w:sz w:val="19"/>
        </w:rPr>
        <w:t>정책은 보안팀만의 문서가 아니라 실행 시스템 안에서 작동해야 합니다. Approval Workflow와 Audit Timeline은 정책이 실제 행동에 적용되었음을 보여줍니다.</w:t>
      </w:r>
    </w:p>
    <w:p>
      <w:pPr>
        <w:spacing w:after="100" w:line="271" w:lineRule="auto"/>
      </w:pPr>
      <w:r>
        <w:rPr>
          <w:rFonts w:ascii="맑은 고딕" w:hAnsi="맑은 고딕" w:eastAsia="맑은 고딕"/>
          <w:b w:val="0"/>
          <w:color w:val="1F2428"/>
          <w:sz w:val="19"/>
        </w:rPr>
        <w:t>Dry-run은 고위험 변경 전에 영향도를 확인하는 안전장치입니다. 이는 차단만으로는 해결하기 어려운 운영 연속성 문제를 줄입니다.</w:t>
      </w:r>
    </w:p>
    <w:p>
      <w:pPr>
        <w:pStyle w:val="Heading1"/>
        <w:spacing w:before="200" w:after="100"/>
      </w:pPr>
      <w:r>
        <w:rPr>
          <w:rFonts w:ascii="맑은 고딕" w:hAnsi="맑은 고딕" w:eastAsia="맑은 고딕"/>
          <w:b/>
          <w:color w:val="1F2428"/>
          <w:sz w:val="34"/>
        </w:rPr>
        <w:t>10. 경쟁 환경과 포지셔닝</w:t>
      </w:r>
    </w:p>
    <w:p>
      <w:pPr>
        <w:spacing w:after="100" w:line="271" w:lineRule="auto"/>
      </w:pPr>
      <w:r>
        <w:rPr>
          <w:rFonts w:ascii="맑은 고딕" w:hAnsi="맑은 고딕" w:eastAsia="맑은 고딕"/>
          <w:b w:val="0"/>
          <w:color w:val="1F2428"/>
          <w:sz w:val="19"/>
        </w:rPr>
        <w:t>Cogito Zero는 IAM, PAM, API Gateway, DLP, LLM Security, Observability와 다른 계층을 담당합니다. 기존 제품은 각각 접근, 트래픽, 데이터, 모델 입출력, 사후 관찰에 강점이 있습니다.</w:t>
      </w:r>
    </w:p>
    <w:p>
      <w:pPr>
        <w:spacing w:after="100" w:line="271" w:lineRule="auto"/>
      </w:pPr>
      <w:r>
        <w:rPr>
          <w:rFonts w:ascii="맑은 고딕" w:hAnsi="맑은 고딕" w:eastAsia="맑은 고딕"/>
          <w:b w:val="0"/>
          <w:color w:val="1F2428"/>
          <w:sz w:val="19"/>
        </w:rPr>
        <w:t>그러나 에이전트의 실행 행위를 정책 단위로 통제하고, 호출 전 판단·조건부 실행·승인·감사를 하나로 연결하는 계층은 아직 초기 시장입니다.</w:t>
      </w:r>
    </w:p>
    <w:p>
      <w:pPr>
        <w:spacing w:after="100" w:line="271" w:lineRule="auto"/>
      </w:pPr>
      <w:r>
        <w:rPr>
          <w:rFonts w:ascii="맑은 고딕" w:hAnsi="맑은 고딕" w:eastAsia="맑은 고딕"/>
          <w:b w:val="0"/>
          <w:color w:val="1F2428"/>
          <w:sz w:val="19"/>
        </w:rPr>
        <w:t>따라서 Cogito Zero의 포지션은 “AI 에이전트 실행 권한을 관리하는 제로트러스트 게이트웨이”입니다. 기존 보안 체계와 연동하되 에이전트 시대의 빈 공간을 메우는 역할입니다.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9"/>
        <w:gridCol w:w="3369"/>
        <w:gridCol w:w="3369"/>
      </w:tblGrid>
      <w:tr>
        <w:tc>
          <w:tcPr>
            <w:tcW w:type="dxa" w:w="2160"/>
            <w:shd w:fill="1F2428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카테고리</w:t>
            </w:r>
          </w:p>
        </w:tc>
        <w:tc>
          <w:tcPr>
            <w:tcW w:type="dxa" w:w="2592"/>
            <w:shd w:fill="1F2428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주요 초점</w:t>
            </w:r>
          </w:p>
        </w:tc>
        <w:tc>
          <w:tcPr>
            <w:tcW w:type="dxa" w:w="4608"/>
            <w:shd w:fill="1F2428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Cogito Zero와의 차이</w:t>
            </w:r>
          </w:p>
        </w:tc>
      </w:tr>
      <w:tr>
        <w:tc>
          <w:tcPr>
            <w:tcW w:type="dxa" w:w="2160"/>
            <w:shd w:fill="FFFFFF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1F2428"/>
                <w:sz w:val="16"/>
              </w:rPr>
              <w:t>IAM/PAM</w:t>
            </w:r>
          </w:p>
        </w:tc>
        <w:tc>
          <w:tcPr>
            <w:tcW w:type="dxa" w:w="2592"/>
            <w:shd w:fill="FFFFFF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1F2428"/>
                <w:sz w:val="16"/>
              </w:rPr>
              <w:t>사람과 계정 권한</w:t>
            </w:r>
          </w:p>
        </w:tc>
        <w:tc>
          <w:tcPr>
            <w:tcW w:type="dxa" w:w="4608"/>
            <w:shd w:fill="FFFFFF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1F2428"/>
                <w:sz w:val="16"/>
              </w:rPr>
              <w:t>권한 안에서 발생하는 에이전트 실행 판단을 보완</w:t>
            </w:r>
          </w:p>
        </w:tc>
      </w:tr>
      <w:tr>
        <w:tc>
          <w:tcPr>
            <w:tcW w:type="dxa" w:w="2160"/>
            <w:shd w:fill="EFECE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1F2428"/>
                <w:sz w:val="16"/>
              </w:rPr>
              <w:t>API Gateway</w:t>
            </w:r>
          </w:p>
        </w:tc>
        <w:tc>
          <w:tcPr>
            <w:tcW w:type="dxa" w:w="2592"/>
            <w:shd w:fill="EFECE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1F2428"/>
                <w:sz w:val="16"/>
              </w:rPr>
              <w:t>인증, 라우팅, 트래픽</w:t>
            </w:r>
          </w:p>
        </w:tc>
        <w:tc>
          <w:tcPr>
            <w:tcW w:type="dxa" w:w="4608"/>
            <w:shd w:fill="EFECE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1F2428"/>
                <w:sz w:val="16"/>
              </w:rPr>
              <w:t>에이전트 맥락과 데이터 민감도 기반 정책 판단 추가</w:t>
            </w:r>
          </w:p>
        </w:tc>
      </w:tr>
      <w:tr>
        <w:tc>
          <w:tcPr>
            <w:tcW w:type="dxa" w:w="2160"/>
            <w:shd w:fill="FFFFFF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1F2428"/>
                <w:sz w:val="16"/>
              </w:rPr>
              <w:t>DLP/CASB</w:t>
            </w:r>
          </w:p>
        </w:tc>
        <w:tc>
          <w:tcPr>
            <w:tcW w:type="dxa" w:w="2592"/>
            <w:shd w:fill="FFFFFF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1F2428"/>
                <w:sz w:val="16"/>
              </w:rPr>
              <w:t>데이터 이동과 SaaS 사용</w:t>
            </w:r>
          </w:p>
        </w:tc>
        <w:tc>
          <w:tcPr>
            <w:tcW w:type="dxa" w:w="4608"/>
            <w:shd w:fill="FFFFFF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1F2428"/>
                <w:sz w:val="16"/>
              </w:rPr>
              <w:t>Tool Call 단위의 실행 의도와 승인 흐름을 다룸</w:t>
            </w:r>
          </w:p>
        </w:tc>
      </w:tr>
      <w:tr>
        <w:tc>
          <w:tcPr>
            <w:tcW w:type="dxa" w:w="2160"/>
            <w:shd w:fill="EFECE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1F2428"/>
                <w:sz w:val="16"/>
              </w:rPr>
              <w:t>LLM Security</w:t>
            </w:r>
          </w:p>
        </w:tc>
        <w:tc>
          <w:tcPr>
            <w:tcW w:type="dxa" w:w="2592"/>
            <w:shd w:fill="EFECE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1F2428"/>
                <w:sz w:val="16"/>
              </w:rPr>
              <w:t>프롬프트/입출력 보안</w:t>
            </w:r>
          </w:p>
        </w:tc>
        <w:tc>
          <w:tcPr>
            <w:tcW w:type="dxa" w:w="4608"/>
            <w:shd w:fill="EFECE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1F2428"/>
                <w:sz w:val="16"/>
              </w:rPr>
              <w:t>모델 답변 이후 실제 실행 계층을 통제</w:t>
            </w:r>
          </w:p>
        </w:tc>
      </w:tr>
      <w:tr>
        <w:tc>
          <w:tcPr>
            <w:tcW w:type="dxa" w:w="2160"/>
            <w:shd w:fill="FFFFFF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1F2428"/>
                <w:sz w:val="16"/>
              </w:rPr>
              <w:t>Observability</w:t>
            </w:r>
          </w:p>
        </w:tc>
        <w:tc>
          <w:tcPr>
            <w:tcW w:type="dxa" w:w="2592"/>
            <w:shd w:fill="FFFFFF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1F2428"/>
                <w:sz w:val="16"/>
              </w:rPr>
              <w:t>사후 관찰</w:t>
            </w:r>
          </w:p>
        </w:tc>
        <w:tc>
          <w:tcPr>
            <w:tcW w:type="dxa" w:w="4608"/>
            <w:shd w:fill="FFFFFF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1F2428"/>
                <w:sz w:val="16"/>
              </w:rPr>
              <w:t>실행 전 판단과 승인·차단을 수행</w:t>
            </w:r>
          </w:p>
        </w:tc>
      </w:tr>
    </w:tbl>
    <w:p/>
    <w:p>
      <w:pPr>
        <w:pStyle w:val="Heading1"/>
        <w:spacing w:before="200" w:after="100"/>
      </w:pPr>
      <w:r>
        <w:rPr>
          <w:rFonts w:ascii="맑은 고딕" w:hAnsi="맑은 고딕" w:eastAsia="맑은 고딕"/>
          <w:b/>
          <w:color w:val="1F2428"/>
          <w:sz w:val="34"/>
        </w:rPr>
        <w:t>11. 비즈니스 모델</w:t>
      </w:r>
    </w:p>
    <w:p>
      <w:pPr>
        <w:spacing w:after="100" w:line="271" w:lineRule="auto"/>
      </w:pPr>
      <w:r>
        <w:rPr>
          <w:rFonts w:ascii="맑은 고딕" w:hAnsi="맑은 고딕" w:eastAsia="맑은 고딕"/>
          <w:b w:val="0"/>
          <w:color w:val="1F2428"/>
          <w:sz w:val="19"/>
        </w:rPr>
        <w:t>기본 수익 모델은 엔터프라이즈 구독입니다. 과금 기준은 보호 대상 에이전트 수, 연결 도구 수, Tool Call 규모, 감사 보존 기간, 고급 정책 기능 범위가 될 수 있습니다.</w:t>
      </w:r>
    </w:p>
    <w:p>
      <w:pPr>
        <w:spacing w:after="100" w:line="271" w:lineRule="auto"/>
      </w:pPr>
      <w:r>
        <w:rPr>
          <w:rFonts w:ascii="맑은 고딕" w:hAnsi="맑은 고딕" w:eastAsia="맑은 고딕"/>
          <w:b w:val="0"/>
          <w:color w:val="1F2428"/>
          <w:sz w:val="19"/>
        </w:rPr>
        <w:t>초기 도입 단계에서는 PoC, 정책 설계, 기존 보안 도구 연동, 운영 교육을 전문서비스로 제공합니다. 이는 고객의 첫 적용 장벽을 낮추고 실제 사용 사례를 빠르게 확보하기 위한 구조입니다.</w:t>
      </w:r>
    </w:p>
    <w:p>
      <w:pPr>
        <w:spacing w:after="100" w:line="271" w:lineRule="auto"/>
      </w:pPr>
      <w:r>
        <w:rPr>
          <w:rFonts w:ascii="맑은 고딕" w:hAnsi="맑은 고딕" w:eastAsia="맑은 고딕"/>
          <w:b w:val="0"/>
          <w:color w:val="1F2428"/>
          <w:sz w:val="19"/>
        </w:rPr>
        <w:t>상위 플랜은 고급 컴플라이언스 리포트, 전사 대시보드, 다중 승인, 장기 감사 보존, 전용 배포 옵션을 포함할 수 있습니다.</w:t>
      </w:r>
    </w:p>
    <w:p>
      <w:pPr>
        <w:pStyle w:val="Heading1"/>
        <w:spacing w:before="200" w:after="100"/>
      </w:pPr>
      <w:r>
        <w:rPr>
          <w:rFonts w:ascii="맑은 고딕" w:hAnsi="맑은 고딕" w:eastAsia="맑은 고딕"/>
          <w:b/>
          <w:color w:val="1F2428"/>
          <w:sz w:val="34"/>
        </w:rPr>
        <w:t>12. GTM 및 초기 도입 전략</w:t>
      </w:r>
    </w:p>
    <w:p>
      <w:pPr>
        <w:spacing w:after="100" w:line="271" w:lineRule="auto"/>
      </w:pPr>
      <w:r>
        <w:rPr>
          <w:rFonts w:ascii="맑은 고딕" w:hAnsi="맑은 고딕" w:eastAsia="맑은 고딕"/>
          <w:b w:val="0"/>
          <w:color w:val="1F2428"/>
          <w:sz w:val="19"/>
        </w:rPr>
        <w:t>시장 진입은 고위험 워크플로우에서 시작합니다. 금융, SOC/MSSP, 공공, 대기업 DX 조직은 에이전트 자동화의 효익과 통제 요구를 동시에 갖고 있습니다.</w:t>
      </w:r>
    </w:p>
    <w:p>
      <w:pPr>
        <w:spacing w:after="100" w:line="271" w:lineRule="auto"/>
      </w:pPr>
      <w:r>
        <w:rPr>
          <w:rFonts w:ascii="맑은 고딕" w:hAnsi="맑은 고딕" w:eastAsia="맑은 고딕"/>
          <w:b w:val="0"/>
          <w:color w:val="1F2428"/>
          <w:sz w:val="19"/>
        </w:rPr>
        <w:t>진입 방식은 Land and Expand입니다. 처음에는 CRM 변경, 고객정보 전송, 배포 자동화, 계정 변경 같은 제한된 워크플로우에 적용하고, 성공 사례를 바탕으로 팀·전사 단위로 확장합니다.</w:t>
      </w:r>
    </w:p>
    <w:p>
      <w:pPr>
        <w:spacing w:after="100" w:line="271" w:lineRule="auto"/>
      </w:pPr>
      <w:r>
        <w:rPr>
          <w:rFonts w:ascii="맑은 고딕" w:hAnsi="맑은 고딕" w:eastAsia="맑은 고딕"/>
          <w:b w:val="0"/>
          <w:color w:val="1F2428"/>
          <w:sz w:val="19"/>
        </w:rPr>
        <w:t>개발자에게는 MCP/API Gateway로 쉽게 붙는 도구가 되어야 하고, 보안팀에게는 승인·감사·정책 리포트를 제공해야 합니다. 두 이해관계자를 동시에 설득하는 것이 핵심입니다.</w:t>
      </w:r>
    </w:p>
    <w:p>
      <w:pPr>
        <w:pStyle w:val="Heading1"/>
        <w:spacing w:before="200" w:after="100"/>
      </w:pPr>
      <w:r>
        <w:rPr>
          <w:rFonts w:ascii="맑은 고딕" w:hAnsi="맑은 고딕" w:eastAsia="맑은 고딕"/>
          <w:b/>
          <w:color w:val="1F2428"/>
          <w:sz w:val="34"/>
        </w:rPr>
        <w:t>13. 로드맵과 팀</w:t>
      </w:r>
    </w:p>
    <w:p>
      <w:pPr>
        <w:spacing w:after="100" w:line="271" w:lineRule="auto"/>
      </w:pPr>
      <w:r>
        <w:rPr>
          <w:rFonts w:ascii="맑은 고딕" w:hAnsi="맑은 고딕" w:eastAsia="맑은 고딕"/>
          <w:b w:val="0"/>
          <w:color w:val="1F2428"/>
          <w:sz w:val="19"/>
        </w:rPr>
        <w:t>Phase 1은 핵심 게이트웨이입니다. Tool Call Firewall, Registry, 기본 Policy Engine, Audit Timeline으로 제한된 PoC를 검증합니다.</w:t>
      </w:r>
    </w:p>
    <w:p>
      <w:pPr>
        <w:spacing w:after="100" w:line="271" w:lineRule="auto"/>
      </w:pPr>
      <w:r>
        <w:rPr>
          <w:rFonts w:ascii="맑은 고딕" w:hAnsi="맑은 고딕" w:eastAsia="맑은 고딕"/>
          <w:b w:val="0"/>
          <w:color w:val="1F2428"/>
          <w:sz w:val="19"/>
        </w:rPr>
        <w:t>Phase 2는 운영 확장입니다. Approval Workflow, Data Sensitivity Guard, Dashboard, 정책 템플릿, 주요 MCP/API 연동을 강화합니다.</w:t>
      </w:r>
    </w:p>
    <w:p>
      <w:pPr>
        <w:spacing w:after="100" w:line="271" w:lineRule="auto"/>
      </w:pPr>
      <w:r>
        <w:rPr>
          <w:rFonts w:ascii="맑은 고딕" w:hAnsi="맑은 고딕" w:eastAsia="맑은 고딕"/>
          <w:b w:val="0"/>
          <w:color w:val="1F2428"/>
          <w:sz w:val="19"/>
        </w:rPr>
        <w:t>Phase 3은 플랫폼화입니다. 엔터프라이즈 권한 체계, 컴플라이언스 모듈, 파트너 생태계, 실행 리스크 분석을 통해 전사 표준 계층으로 확장합니다.</w:t>
      </w:r>
    </w:p>
    <w:p>
      <w:pPr>
        <w:spacing w:after="100" w:line="271" w:lineRule="auto"/>
      </w:pPr>
      <w:r>
        <w:rPr>
          <w:rFonts w:ascii="맑은 고딕" w:hAnsi="맑은 고딕" w:eastAsia="맑은 고딕"/>
          <w:b w:val="0"/>
          <w:color w:val="1F2428"/>
          <w:sz w:val="19"/>
        </w:rPr>
        <w:t>팀 역량은 AI 에이전트 인프라, 보안 아키텍처, 엔터프라이즈 SaaS, 컴플라이언스 운영 경험을 중심으로 구성하는 것이 적합합니다.</w:t>
      </w:r>
    </w:p>
    <w:p>
      <w:pPr>
        <w:pStyle w:val="Heading1"/>
        <w:spacing w:before="200" w:after="100"/>
      </w:pPr>
      <w:r>
        <w:rPr>
          <w:rFonts w:ascii="맑은 고딕" w:hAnsi="맑은 고딕" w:eastAsia="맑은 고딕"/>
          <w:b/>
          <w:color w:val="1F2428"/>
          <w:sz w:val="34"/>
        </w:rPr>
        <w:t>14. 재무 관점과 리스크</w:t>
      </w:r>
    </w:p>
    <w:p>
      <w:pPr>
        <w:spacing w:after="100" w:line="271" w:lineRule="auto"/>
      </w:pPr>
      <w:r>
        <w:rPr>
          <w:rFonts w:ascii="맑은 고딕" w:hAnsi="맑은 고딕" w:eastAsia="맑은 고딕"/>
          <w:b w:val="0"/>
          <w:color w:val="1F2428"/>
          <w:sz w:val="19"/>
        </w:rPr>
        <w:t>초기 재무 관점은 매출 과장보다 검증 가능한 지표에 집중해야 합니다. 핵심 지표는 protected tool calls, active agents, approval events, blocked risky actions, audit retention customers입니다.</w:t>
      </w:r>
    </w:p>
    <w:p>
      <w:pPr>
        <w:spacing w:after="100" w:line="271" w:lineRule="auto"/>
      </w:pPr>
      <w:r>
        <w:rPr>
          <w:rFonts w:ascii="맑은 고딕" w:hAnsi="맑은 고딕" w:eastAsia="맑은 고딕"/>
          <w:b w:val="0"/>
          <w:color w:val="1F2428"/>
          <w:sz w:val="19"/>
        </w:rPr>
        <w:t>엔터프라이즈 보안 SaaS 특성상 매출은 파일럿에서 시작해 확장 계약으로 이어질 가능성이 큽니다. 따라서 1년차에는 PoC 성공률과 유료 전환율, 2년차 이후에는 계정 확장과 유지율이 중요합니다.</w:t>
      </w:r>
    </w:p>
    <w:p>
      <w:pPr>
        <w:spacing w:after="100" w:line="271" w:lineRule="auto"/>
      </w:pPr>
      <w:r>
        <w:rPr>
          <w:rFonts w:ascii="맑은 고딕" w:hAnsi="맑은 고딕" w:eastAsia="맑은 고딕"/>
          <w:b w:val="0"/>
          <w:color w:val="1F2428"/>
          <w:sz w:val="19"/>
        </w:rPr>
        <w:t>주요 리스크는 에이전트 도입 속도 지연, 기존 보안 벤더의 기능 확장, 정책 설정 복잡성, 과도한 차단으로 인한 사용자 경험 저하입니다.</w:t>
      </w:r>
    </w:p>
    <w:p>
      <w:pPr>
        <w:spacing w:after="100" w:line="271" w:lineRule="auto"/>
      </w:pPr>
      <w:r>
        <w:rPr>
          <w:rFonts w:ascii="맑은 고딕" w:hAnsi="맑은 고딕" w:eastAsia="맑은 고딕"/>
          <w:b w:val="0"/>
          <w:color w:val="1F2428"/>
          <w:sz w:val="19"/>
        </w:rPr>
        <w:t>대응책은 정책 템플릿, 드라이런 모드, 개발자 친화적 SDK/MCP 연동, 보안팀과 현업팀 모두가 이해할 수 있는 대시보드입니다.</w:t>
      </w:r>
    </w:p>
    <w:p>
      <w:pPr>
        <w:pStyle w:val="Heading1"/>
        <w:spacing w:before="200" w:after="100"/>
      </w:pPr>
      <w:r>
        <w:rPr>
          <w:rFonts w:ascii="맑은 고딕" w:hAnsi="맑은 고딕" w:eastAsia="맑은 고딕"/>
          <w:b/>
          <w:color w:val="1F2428"/>
          <w:sz w:val="34"/>
        </w:rPr>
        <w:t>15. 맺음말</w:t>
      </w:r>
    </w:p>
    <w:p>
      <w:pPr>
        <w:spacing w:after="100" w:line="271" w:lineRule="auto"/>
      </w:pPr>
      <w:r>
        <w:rPr>
          <w:rFonts w:ascii="맑은 고딕" w:hAnsi="맑은 고딕" w:eastAsia="맑은 고딕"/>
          <w:b w:val="0"/>
          <w:color w:val="1F2428"/>
          <w:sz w:val="19"/>
        </w:rPr>
        <w:t>AI 에이전트가 기업 시스템을 실제로 실행하는 시대에는 새로운 신뢰 계층이 필요합니다. Cogito Zero는 그 계층을 제로트러스트 방식으로 제공합니다.</w:t>
      </w:r>
    </w:p>
    <w:p>
      <w:pPr>
        <w:spacing w:after="100" w:line="271" w:lineRule="auto"/>
      </w:pPr>
      <w:r>
        <w:rPr>
          <w:rFonts w:ascii="맑은 고딕" w:hAnsi="맑은 고딕" w:eastAsia="맑은 고딕"/>
          <w:b w:val="0"/>
          <w:color w:val="1F2428"/>
          <w:sz w:val="19"/>
        </w:rPr>
        <w:t>목표는 에이전트를 막는 것이 아닙니다. 조직이 믿고 확장할 수 있도록, 위험한 실행은 통제하고 안전한 실행은 흐르게 만드는 것입니다.</w:t>
      </w:r>
    </w:p>
    <w:sectPr w:rsidR="00FC693F" w:rsidRPr="0006063C" w:rsidSect="00034616">
      <w:pgSz w:w="12240" w:h="15840"/>
      <w:pgMar w:top="979" w:right="1066" w:bottom="979" w:left="106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