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>20. 기술스택 및 상세설계 보강</w:t>
      </w:r>
    </w:p>
    <w:p>
      <w:pPr>
        <w:pStyle w:val="Heading2"/>
      </w:pPr>
      <w:r>
        <w:rPr>
          <w:b/>
        </w:rPr>
        <w:t>목적</w:t>
      </w:r>
    </w:p>
    <w:p>
      <w:r>
        <w:t>본 문서는 기존 `20_기술스택_및_상세설계.docx`에 병합할 DatasetRegistry, PublicDatasetAdapter, ReplayRunner v1 구조 보강안이다.</w:t>
      </w:r>
    </w:p>
    <w:p>
      <w:pPr>
        <w:pStyle w:val="Heading2"/>
      </w:pPr>
      <w:r>
        <w:rPr>
          <w:b/>
        </w:rPr>
        <w:t>컴포넌트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200" w:type="dxa"/>
          </w:tcPr>
          <w:p>
            <w:r>
              <w:rPr>
                <w:b/>
              </w:rPr>
              <w:t>component</w:t>
            </w:r>
          </w:p>
        </w:tc>
        <w:tc>
          <w:tcPr>
            <w:tcW w:w="2200" w:type="dxa"/>
          </w:tcPr>
          <w:p>
            <w:r>
              <w:rPr>
                <w:b/>
              </w:rPr>
              <w:t>responsibility</w:t>
            </w:r>
          </w:p>
        </w:tc>
        <w:tc>
          <w:tcPr>
            <w:tcW w:w="2200" w:type="dxa"/>
          </w:tcPr>
          <w:p>
            <w:r>
              <w:rPr>
                <w:b/>
              </w:rPr>
              <w:t>input</w:t>
            </w:r>
          </w:p>
        </w:tc>
        <w:tc>
          <w:tcPr>
            <w:tcW w:w="2200" w:type="dxa"/>
          </w:tcPr>
          <w:p>
            <w:r>
              <w:rPr>
                <w:b/>
              </w:rPr>
              <w:t>output</w:t>
            </w:r>
          </w:p>
        </w:tc>
        <w:tc>
          <w:tcPr>
            <w:tcW w:w="2200" w:type="dxa"/>
          </w:tcPr>
          <w:p>
            <w:r>
              <w:rPr>
                <w:b/>
              </w:rPr>
              <w:t>guardrail</w:t>
            </w:r>
          </w:p>
        </w:tc>
      </w:tr>
      <w:tr>
        <w:tc>
          <w:tcPr>
            <w:tcW w:w="2200" w:type="dxa"/>
          </w:tcPr>
          <w:p>
            <w:r>
              <w:t>DatasetRegistry</w:t>
            </w:r>
          </w:p>
        </w:tc>
        <w:tc>
          <w:tcPr>
            <w:tcW w:w="2200" w:type="dxa"/>
          </w:tcPr>
          <w:p>
            <w:r>
              <w:t>dataset_manifest.json을 검증하고 replay/case spec plan을 생성한다.</w:t>
            </w:r>
          </w:p>
        </w:tc>
        <w:tc>
          <w:tcPr>
            <w:tcW w:w="2200" w:type="dxa"/>
          </w:tcPr>
          <w:p>
            <w:r>
              <w:t>dataset_manifest.schema.json, dataset_manifest.json</w:t>
            </w:r>
          </w:p>
        </w:tc>
        <w:tc>
          <w:tcPr>
            <w:tcW w:w="2200" w:type="dxa"/>
          </w:tcPr>
          <w:p>
            <w:r>
              <w:t>dataset_replay_plan_v0.json, dataset_case_spec_plan_v0.json</w:t>
            </w:r>
          </w:p>
        </w:tc>
        <w:tc>
          <w:tcPr>
            <w:tcW w:w="2200" w:type="dxa"/>
          </w:tcPr>
          <w:p>
            <w:r>
              <w:t>download_allowed=false와 production_connection_allowed=false를 유지한다.</w:t>
            </w:r>
          </w:p>
        </w:tc>
      </w:tr>
      <w:tr>
        <w:tc>
          <w:tcPr>
            <w:tcW w:w="2200" w:type="dxa"/>
          </w:tcPr>
          <w:p>
            <w:r>
              <w:t>PublicDatasetAdapter</w:t>
            </w:r>
          </w:p>
        </w:tc>
        <w:tc>
          <w:tcPr>
            <w:tcW w:w="2200" w:type="dxa"/>
          </w:tcPr>
          <w:p>
            <w:r>
              <w:t>public source metadata를 raw ingestion 전 case spec으로 변환한다.</w:t>
            </w:r>
          </w:p>
        </w:tc>
        <w:tc>
          <w:tcPr>
            <w:tcW w:w="2200" w:type="dxa"/>
          </w:tcPr>
          <w:p>
            <w:r>
              <w:t>manifest source.case_templates</w:t>
            </w:r>
          </w:p>
        </w:tc>
        <w:tc>
          <w:tcPr>
            <w:tcW w:w="2200" w:type="dxa"/>
          </w:tcPr>
          <w:p>
            <w:r>
              <w:t>metadata_stub case specs</w:t>
            </w:r>
          </w:p>
        </w:tc>
        <w:tc>
          <w:tcPr>
            <w:tcW w:w="2200" w:type="dxa"/>
          </w:tcPr>
          <w:p>
            <w:r>
              <w:t>requires_manual_ingestion=true, adapter_mode=metadata_stub</w:t>
            </w:r>
          </w:p>
        </w:tc>
      </w:tr>
      <w:tr>
        <w:tc>
          <w:tcPr>
            <w:tcW w:w="2200" w:type="dxa"/>
          </w:tcPr>
          <w:p>
            <w:r>
              <w:t>ReplayRunner v1</w:t>
            </w:r>
          </w:p>
        </w:tc>
        <w:tc>
          <w:tcPr>
            <w:tcW w:w="2200" w:type="dxa"/>
          </w:tcPr>
          <w:p>
            <w:r>
              <w:t>Evidence Package fixture metrics와 dataset plan을 결합해 Go/Hold/No-Go를 산출한다.</w:t>
            </w:r>
          </w:p>
        </w:tc>
        <w:tc>
          <w:tcPr>
            <w:tcW w:w="2200" w:type="dxa"/>
          </w:tcPr>
          <w:p>
            <w:r>
              <w:t>fixtures/*.evidence_package.json, dataset_manifest.json</w:t>
            </w:r>
          </w:p>
        </w:tc>
        <w:tc>
          <w:tcPr>
            <w:tcW w:w="2200" w:type="dxa"/>
          </w:tcPr>
          <w:p>
            <w:r>
              <w:t>replay_metrics_v1.json</w:t>
            </w:r>
          </w:p>
        </w:tc>
        <w:tc>
          <w:tcPr>
            <w:tcW w:w="2200" w:type="dxa"/>
          </w:tcPr>
          <w:p>
            <w:r>
              <w:t>current_decision=go_for_next_seed</w:t>
            </w:r>
          </w:p>
        </w:tc>
      </w:tr>
      <w:tr>
        <w:tc>
          <w:tcPr>
            <w:tcW w:w="2200" w:type="dxa"/>
          </w:tcPr>
          <w:p>
            <w:r>
              <w:t>SyntheticAlertGenerator</w:t>
            </w:r>
          </w:p>
        </w:tc>
        <w:tc>
          <w:tcPr>
            <w:tcW w:w="2200" w:type="dxa"/>
          </w:tcPr>
          <w:p>
            <w:r>
              <w:t>controlled SOC alert/evidence fixture를 생성한다.</w:t>
            </w:r>
          </w:p>
        </w:tc>
        <w:tc>
          <w:tcPr>
            <w:tcW w:w="2200" w:type="dxa"/>
          </w:tcPr>
          <w:p>
            <w:r>
              <w:t>scenario profiles</w:t>
            </w:r>
          </w:p>
        </w:tc>
        <w:tc>
          <w:tcPr>
            <w:tcW w:w="2200" w:type="dxa"/>
          </w:tcPr>
          <w:p>
            <w:r>
              <w:t>normalized alert and evidence package fixtures</w:t>
            </w:r>
          </w:p>
        </w:tc>
        <w:tc>
          <w:tcPr>
            <w:tcW w:w="2200" w:type="dxa"/>
          </w:tcPr>
          <w:p>
            <w:r>
              <w:t>prompt injection, cross-tenant, missing evidence 시나리오를 포함한다.</w:t>
            </w:r>
          </w:p>
        </w:tc>
      </w:tr>
    </w:tbl>
    <w:p>
      <w:pPr>
        <w:pStyle w:val="Heading2"/>
      </w:pPr>
      <w:r>
        <w:rPr>
          <w:b/>
        </w:rPr>
        <w:t>데이터 흐름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200" w:type="dxa"/>
          </w:tcPr>
          <w:p>
            <w:r>
              <w:rPr>
                <w:b/>
              </w:rPr>
              <w:t>from</w:t>
            </w:r>
          </w:p>
        </w:tc>
        <w:tc>
          <w:tcPr>
            <w:tcW w:w="2200" w:type="dxa"/>
          </w:tcPr>
          <w:p>
            <w:r>
              <w:rPr>
                <w:b/>
              </w:rPr>
              <w:t>to</w:t>
            </w:r>
          </w:p>
        </w:tc>
        <w:tc>
          <w:tcPr>
            <w:tcW w:w="2200" w:type="dxa"/>
          </w:tcPr>
          <w:p>
            <w:r>
              <w:rPr>
                <w:b/>
              </w:rPr>
              <w:t>data</w:t>
            </w:r>
          </w:p>
        </w:tc>
        <w:tc>
          <w:tcPr>
            <w:tcW w:w="2200" w:type="dxa"/>
          </w:tcPr>
          <w:p>
            <w:r>
              <w:rPr>
                <w:b/>
              </w:rPr>
              <w:t>control</w:t>
            </w:r>
          </w:p>
        </w:tc>
      </w:tr>
      <w:tr>
        <w:tc>
          <w:tcPr>
            <w:tcW w:w="2200" w:type="dxa"/>
          </w:tcPr>
          <w:p>
            <w:r>
              <w:t>Dataset Manifest</w:t>
            </w:r>
          </w:p>
        </w:tc>
        <w:tc>
          <w:tcPr>
            <w:tcW w:w="2200" w:type="dxa"/>
          </w:tcPr>
          <w:p>
            <w:r>
              <w:t>DatasetRegistry</w:t>
            </w:r>
          </w:p>
        </w:tc>
        <w:tc>
          <w:tcPr>
            <w:tcW w:w="2200" w:type="dxa"/>
          </w:tcPr>
          <w:p>
            <w:r>
              <w:t>source metadata, execution policy, case templates</w:t>
            </w:r>
          </w:p>
        </w:tc>
        <w:tc>
          <w:tcPr>
            <w:tcW w:w="2200" w:type="dxa"/>
          </w:tcPr>
          <w:p>
            <w:r>
              <w:t>schema validation</w:t>
            </w:r>
          </w:p>
        </w:tc>
      </w:tr>
      <w:tr>
        <w:tc>
          <w:tcPr>
            <w:tcW w:w="2200" w:type="dxa"/>
          </w:tcPr>
          <w:p>
            <w:r>
              <w:t>DatasetRegistry</w:t>
            </w:r>
          </w:p>
        </w:tc>
        <w:tc>
          <w:tcPr>
            <w:tcW w:w="2200" w:type="dxa"/>
          </w:tcPr>
          <w:p>
            <w:r>
              <w:t>PublicDatasetAdapter</w:t>
            </w:r>
          </w:p>
        </w:tc>
        <w:tc>
          <w:tcPr>
            <w:tcW w:w="2200" w:type="dxa"/>
          </w:tcPr>
          <w:p>
            <w:r>
              <w:t>4 enabled public sources</w:t>
            </w:r>
          </w:p>
        </w:tc>
        <w:tc>
          <w:tcPr>
            <w:tcW w:w="2200" w:type="dxa"/>
          </w:tcPr>
          <w:p>
            <w:r>
              <w:t>metadata-only conversion</w:t>
            </w:r>
          </w:p>
        </w:tc>
      </w:tr>
      <w:tr>
        <w:tc>
          <w:tcPr>
            <w:tcW w:w="2200" w:type="dxa"/>
          </w:tcPr>
          <w:p>
            <w:r>
              <w:t>PublicDatasetAdapter</w:t>
            </w:r>
          </w:p>
        </w:tc>
        <w:tc>
          <w:tcPr>
            <w:tcW w:w="2200" w:type="dxa"/>
          </w:tcPr>
          <w:p>
            <w:r>
              <w:t>Case Spec Plan</w:t>
            </w:r>
          </w:p>
        </w:tc>
        <w:tc>
          <w:tcPr>
            <w:tcW w:w="2200" w:type="dxa"/>
          </w:tcPr>
          <w:p>
            <w:r>
              <w:t>4 case specs</w:t>
            </w:r>
          </w:p>
        </w:tc>
        <w:tc>
          <w:tcPr>
            <w:tcW w:w="2200" w:type="dxa"/>
          </w:tcPr>
          <w:p>
            <w:r>
              <w:t>download blocked</w:t>
            </w:r>
          </w:p>
        </w:tc>
      </w:tr>
      <w:tr>
        <w:tc>
          <w:tcPr>
            <w:tcW w:w="2200" w:type="dxa"/>
          </w:tcPr>
          <w:p>
            <w:r>
              <w:t>Evidence Fixtures</w:t>
            </w:r>
          </w:p>
        </w:tc>
        <w:tc>
          <w:tcPr>
            <w:tcW w:w="2200" w:type="dxa"/>
          </w:tcPr>
          <w:p>
            <w:r>
              <w:t>ReplayRunner v1</w:t>
            </w:r>
          </w:p>
        </w:tc>
        <w:tc>
          <w:tcPr>
            <w:tcW w:w="2200" w:type="dxa"/>
          </w:tcPr>
          <w:p>
            <w:r>
              <w:t>4 synthetic cases</w:t>
            </w:r>
          </w:p>
        </w:tc>
        <w:tc>
          <w:tcPr>
            <w:tcW w:w="2200" w:type="dxa"/>
          </w:tcPr>
          <w:p>
            <w:r>
              <w:t>schema and assurance metrics</w:t>
            </w:r>
          </w:p>
        </w:tc>
      </w:tr>
      <w:tr>
        <w:tc>
          <w:tcPr>
            <w:tcW w:w="2200" w:type="dxa"/>
          </w:tcPr>
          <w:p>
            <w:r>
              <w:t>ReplayRunner v1</w:t>
            </w:r>
          </w:p>
        </w:tc>
        <w:tc>
          <w:tcPr>
            <w:tcW w:w="2200" w:type="dxa"/>
          </w:tcPr>
          <w:p>
            <w:r>
              <w:t>Go/Hold/No-Go Report</w:t>
            </w:r>
          </w:p>
        </w:tc>
        <w:tc>
          <w:tcPr>
            <w:tcW w:w="2200" w:type="dxa"/>
          </w:tcPr>
          <w:p>
            <w:r>
              <w:t>go_for_next_seed</w:t>
            </w:r>
          </w:p>
        </w:tc>
        <w:tc>
          <w:tcPr>
            <w:tcW w:w="2200" w:type="dxa"/>
          </w:tcPr>
          <w:p>
            <w:r>
              <w:t>tenant leakage and unsupported conclusion gates</w:t>
            </w:r>
          </w:p>
        </w:tc>
      </w:tr>
    </w:tbl>
    <w:p>
      <w:pPr>
        <w:pStyle w:val="Heading2"/>
      </w:pPr>
      <w:r>
        <w:rPr>
          <w:b/>
        </w:rPr>
        <w:t>API/함수 계약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200" w:type="dxa"/>
          </w:tcPr>
          <w:p>
            <w:r>
              <w:rPr>
                <w:b/>
              </w:rPr>
              <w:t>contract</w:t>
            </w:r>
          </w:p>
        </w:tc>
        <w:tc>
          <w:tcPr>
            <w:tcW w:w="2200" w:type="dxa"/>
          </w:tcPr>
          <w:p>
            <w:r>
              <w:rPr>
                <w:b/>
              </w:rPr>
              <w:t>request</w:t>
            </w:r>
          </w:p>
        </w:tc>
        <w:tc>
          <w:tcPr>
            <w:tcW w:w="2200" w:type="dxa"/>
          </w:tcPr>
          <w:p>
            <w:r>
              <w:rPr>
                <w:b/>
              </w:rPr>
              <w:t>response</w:t>
            </w:r>
          </w:p>
        </w:tc>
        <w:tc>
          <w:tcPr>
            <w:tcW w:w="2200" w:type="dxa"/>
          </w:tcPr>
          <w:p>
            <w:r>
              <w:rPr>
                <w:b/>
              </w:rPr>
              <w:t>failure_mode</w:t>
            </w:r>
          </w:p>
        </w:tc>
      </w:tr>
      <w:tr>
        <w:tc>
          <w:tcPr>
            <w:tcW w:w="2200" w:type="dxa"/>
          </w:tcPr>
          <w:p>
            <w:r>
              <w:t>DatasetRegistry.build_case_spec_plan()</w:t>
            </w:r>
          </w:p>
        </w:tc>
        <w:tc>
          <w:tcPr>
            <w:tcW w:w="2200" w:type="dxa"/>
          </w:tcPr>
          <w:p>
            <w:r>
              <w:t>dataset manifest path</w:t>
            </w:r>
          </w:p>
        </w:tc>
        <w:tc>
          <w:tcPr>
            <w:tcW w:w="2200" w:type="dxa"/>
          </w:tcPr>
          <w:p>
            <w:r>
              <w:t>schema_version, summary, case_specs[]</w:t>
            </w:r>
          </w:p>
        </w:tc>
        <w:tc>
          <w:tcPr>
            <w:tcW w:w="2200" w:type="dxa"/>
          </w:tcPr>
          <w:p>
            <w:r>
              <w:t>schema validation error or missing source field</w:t>
            </w:r>
          </w:p>
        </w:tc>
      </w:tr>
      <w:tr>
        <w:tc>
          <w:tcPr>
            <w:tcW w:w="2200" w:type="dxa"/>
          </w:tcPr>
          <w:p>
            <w:r>
              <w:t>PublicDatasetAdapter.to_case_specs()</w:t>
            </w:r>
          </w:p>
        </w:tc>
        <w:tc>
          <w:tcPr>
            <w:tcW w:w="2200" w:type="dxa"/>
          </w:tcPr>
          <w:p>
            <w:r>
              <w:t>public source object</w:t>
            </w:r>
          </w:p>
        </w:tc>
        <w:tc>
          <w:tcPr>
            <w:tcW w:w="2200" w:type="dxa"/>
          </w:tcPr>
          <w:p>
            <w:r>
              <w:t>metadata_stub case spec list</w:t>
            </w:r>
          </w:p>
        </w:tc>
        <w:tc>
          <w:tcPr>
            <w:tcW w:w="2200" w:type="dxa"/>
          </w:tcPr>
          <w:p>
            <w:r>
              <w:t>ValueError when source_type is not public</w:t>
            </w:r>
          </w:p>
        </w:tc>
      </w:tr>
      <w:tr>
        <w:tc>
          <w:tcPr>
            <w:tcW w:w="2200" w:type="dxa"/>
          </w:tcPr>
          <w:p>
            <w:r>
              <w:t>ReplayRunner.run()</w:t>
            </w:r>
          </w:p>
        </w:tc>
        <w:tc>
          <w:tcPr>
            <w:tcW w:w="2200" w:type="dxa"/>
          </w:tcPr>
          <w:p>
            <w:r>
              <w:t>fixture directory and optional dataset_manifest</w:t>
            </w:r>
          </w:p>
        </w:tc>
        <w:tc>
          <w:tcPr>
            <w:tcW w:w="2200" w:type="dxa"/>
          </w:tcPr>
          <w:p>
            <w:r>
              <w:t>metrics, summary, go_decision, optional dataset_plan</w:t>
            </w:r>
          </w:p>
        </w:tc>
        <w:tc>
          <w:tcPr>
            <w:tcW w:w="2200" w:type="dxa"/>
          </w:tcPr>
          <w:p>
            <w:r>
              <w:t>schema validation failure for malformed evidence package</w:t>
            </w:r>
          </w:p>
        </w:tc>
      </w:tr>
    </w:tbl>
    <w:p>
      <w:pPr>
        <w:pStyle w:val="Heading2"/>
      </w:pPr>
      <w:r>
        <w:rPr>
          <w:b/>
        </w:rPr>
        <w:t>보안/운영 경계</w:t>
      </w:r>
    </w:p>
    <w:p>
      <w:r>
        <w:t>- public dataset adapter는 metadata_stub 단계이며 원시 데이터 다운로드를 수행하지 않는다.</w:t>
      </w:r>
    </w:p>
    <w:p>
      <w:r>
        <w:t>- production SOC connector는 이 seed에 포함하지 않는다.</w:t>
      </w:r>
    </w:p>
    <w:p>
      <w:r>
        <w:t>- 고위험 대응 조치는 Human Review 이후에도 별도 승인 workflow가 필요하다.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algun Gothic" w:eastAsia="Malgun Gothic"/>
      <w:sz w:val="18"/>
    </w:rPr>
  </w:style>
  <w:style w:type="paragraph" w:styleId="Heading1">
    <w:name w:val="heading 1"/>
    <w:basedOn w:val="Normal"/>
    <w:rPr>
      <w:b/>
      <w:sz w:val="32"/>
    </w:rPr>
  </w:style>
  <w:style w:type="paragraph" w:styleId="Heading2">
    <w:name w:val="heading 2"/>
    <w:basedOn w:val="Normal"/>
    <w:rPr>
      <w:b/>
      <w:sz w:val="26"/>
    </w:rPr>
  </w:style>
  <w:style w:type="paragraph" w:styleId="Heading3">
    <w:name w:val="heading 3"/>
    <w:basedOn w:val="Normal"/>
    <w:rPr>
      <w:b/>
      <w:sz w:val="22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