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KR" w:hAnsi="Noto Sans CJK KR" w:eastAsia="Noto Sans CJK KR"/>
          <w:b/>
          <w:color w:val="1F4E79"/>
          <w:sz w:val="36"/>
        </w:rPr>
        <w:t>21. PoC 및 로드맵 업데이트</w:t>
      </w:r>
    </w:p>
    <w:p>
      <w:r>
        <w:rPr>
          <w:rFonts w:ascii="Noto Sans CJK KR" w:hAnsi="Noto Sans CJK KR" w:eastAsia="Noto Sans CJK KR"/>
          <w:color w:val="595959"/>
          <w:sz w:val="18"/>
        </w:rPr>
        <w:t>보수적 상향 접근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문서버전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v2.0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기준일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2026-06-02</w:t>
            </w:r>
          </w:p>
        </w:tc>
      </w:tr>
    </w:tbl>
    <w:p>
      <w:pPr>
        <w:pStyle w:val="Heading1"/>
      </w:pPr>
      <w:r>
        <w:t>1. PoC 원칙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PoC는 작고 명확해야 하며, 자동조치가 아니라 Evidence Package와 Human Review 사용성부터 검증한다.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고객 환경이 불명확하면 특정 EDR/SOAR를 전제로 하지 않는다.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최소 3개 후보를 준비하고 데이터·권한·위험도·사업성 기준으로 선택한다.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PoC 결과가 좋지 않으면 장비 독립형 Foundation/Operations Quality Pack으로 피벗한다.</w:t>
      </w:r>
    </w:p>
    <w:p>
      <w:pPr>
        <w:pStyle w:val="Heading1"/>
      </w:pPr>
      <w:r>
        <w:t>2. 90일 PoC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기간</w:t>
            </w:r>
          </w:p>
        </w:tc>
        <w:tc>
          <w:tcPr>
            <w:tcW w:type="dxa" w:w="266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목표</w:t>
            </w:r>
          </w:p>
        </w:tc>
        <w:tc>
          <w:tcPr>
            <w:tcW w:type="dxa" w:w="266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주요 활동</w:t>
            </w:r>
          </w:p>
        </w:tc>
        <w:tc>
          <w:tcPr>
            <w:tcW w:type="dxa" w:w="266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산출물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Day 1~30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진단/설정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Capability Inventory, Data Readiness, CSOP 최소항목, 평가셋 구성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Readiness Report, CSOP v0.9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Day 31~60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Shadow 운영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SIEM-only Evidence Package, Entity Context, Timeline, Ticket Draft 생성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Shadow Result, Feedback Log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Day 61~90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평가/전환판단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품질·사용성·감사 재현성·유료전환 가능성 평가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PoC Result, Roadmap, Go/Hold/No-Go</w:t>
            </w:r>
          </w:p>
        </w:tc>
      </w:tr>
    </w:tbl>
    <w:p>
      <w:pPr>
        <w:pStyle w:val="Heading1"/>
      </w:pPr>
      <w:r>
        <w:t>3. PoC 후보 포트폴리오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후보</w:t>
            </w:r>
          </w:p>
        </w:tc>
        <w:tc>
          <w:tcPr>
            <w:tcW w:type="dxa" w:w="213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필요 데이터</w:t>
            </w:r>
          </w:p>
        </w:tc>
        <w:tc>
          <w:tcPr>
            <w:tcW w:type="dxa" w:w="213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벤더 종속성</w:t>
            </w:r>
          </w:p>
        </w:tc>
        <w:tc>
          <w:tcPr>
            <w:tcW w:type="dxa" w:w="213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위험도</w:t>
            </w:r>
          </w:p>
        </w:tc>
        <w:tc>
          <w:tcPr>
            <w:tcW w:type="dxa" w:w="213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판단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SIEM-only Evidence Package + Ticket Draft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SIEM Alert/로그, CSOP 최소항목, ITSM 선택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낮음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낮음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1순위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Entity Context + Timeline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SIEM, CMDB/IAM/과거 Case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낮음~중간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낮음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MVP+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Log/Detection Health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로그 수집 상태, 탐지룰/알림 이력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낮음~중간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낮음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2순위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Approval Package + SOAR Dry-run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SOAR, Action Catalog, 승인 매트릭스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중간~높음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중간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조건부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EDR/XDR Triage 조회형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EDR/XDR API, 라이선스, 권한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높음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중간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고객 조건 충족 시</w:t>
            </w:r>
          </w:p>
        </w:tc>
      </w:tr>
    </w:tbl>
    <w:p>
      <w:pPr>
        <w:pStyle w:val="Heading1"/>
      </w:pPr>
      <w:r>
        <w:t>4. 성공 기준과 중단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32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기준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성공 기준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Evidence 충족률, Missing Evidence 식별률, 티켓 초안 품질, 분석가 사용성, 감사 재현성, 보안 테스트 통과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중단 기준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데이터 접근 실패, 테넌트 격리 실패, Prompt Injection 방어 실패, Agent Trace 부재, 분석가 사용률 미달, 유지보수 비용 과다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확장 조건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고객 승인 체계 확립, Shadow/Replay 통과, Tool Allowlist 검증, 수동 전환 가능, Kill Switch 확보</w:t>
            </w:r>
          </w:p>
        </w:tc>
      </w:tr>
    </w:tbl>
    <w:p>
      <w:pPr>
        <w:pStyle w:val="Heading1"/>
      </w:pPr>
      <w:r>
        <w:t>5. 12개월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분기</w:t>
            </w:r>
          </w:p>
        </w:tc>
        <w:tc>
          <w:tcPr>
            <w:tcW w:type="dxa" w:w="355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목표</w:t>
            </w:r>
          </w:p>
        </w:tc>
        <w:tc>
          <w:tcPr>
            <w:tcW w:type="dxa" w:w="355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주요 범위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Q1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MVP 검증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SIEM-only Investigation Pack, AgentOps, Evidence Quality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Q2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운영 품질 확장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Log/Detection Health, Knowledge Debt, CSOP Drift, Reporting QA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Q3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승인형 워크플로우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Approval Package, SOAR Dry-run, Response Impact, 고객 포털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Q4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플랫폼화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Agent Package, Assurance Pack, Connector 확대, Limited Low-risk Automation 검토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