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86C1" w:sz="6" w:space="6"/>
        </w:pBdr>
        <w:spacing w:after="160" w:before="400"/>
      </w:pPr>
      <w:r>
        <w:rPr>
          <w:rFonts w:ascii="Arial" w:cs="Arial" w:eastAsia="Arial" w:hAnsi="Arial"/>
          <w:b/>
          <w:bCs/>
          <w:color w:val="1F5C8B"/>
          <w:sz w:val="32"/>
          <w:szCs w:val="32"/>
        </w:rPr>
        <w:t xml:space="preserve">Abstract</w:t>
      </w:r>
    </w:p>
    <w:p>
      <w:pPr>
        <w:spacing w:after="120" w:before="80"/>
      </w:pPr>
      <w:r>
        <w:rPr>
          <w:rFonts w:ascii="Arial" w:cs="Arial" w:eastAsia="Arial" w:hAnsi="Arial"/>
          <w:b/>
          <w:bCs/>
          <w:sz w:val="22"/>
          <w:szCs w:val="22"/>
        </w:rPr>
        <w:t xml:space="preserve">RespiPredict</w:t>
      </w:r>
      <w:r>
        <w:rPr>
          <w:rFonts w:ascii="Arial" w:cs="Arial" w:eastAsia="Arial" w:hAnsi="Arial"/>
          <w:sz w:val="22"/>
          <w:szCs w:val="22"/>
        </w:rPr>
        <w:t xml:space="preserve"> is a multimodal machine learning system designed for automated respiratory disease prediction and regional disease trend forecasting. The system addresses the clinical challenge of diagnosing respiratory conditions — including Chronic Obstructive Pulmonary Disease (COPD), asthma, tuberculosis, and pneumonia — from heterogeneous data sources including chest X-ray images, breathing audio recordings, and structured Electronic Health Records (EHRs).</w:t>
      </w:r>
    </w:p>
    <w:p>
      <w:pPr>
        <w:spacing w:after="60" w:before="60"/>
      </w:pPr>
      <w:r>
        <w:t xml:space="preserve"/>
      </w:r>
    </w:p>
    <w:p>
      <w:pPr>
        <w:spacing w:after="120" w:before="80"/>
      </w:pPr>
      <w:r>
        <w:rPr>
          <w:rFonts w:ascii="Arial" w:cs="Arial" w:eastAsia="Arial" w:hAnsi="Arial"/>
          <w:sz w:val="22"/>
          <w:szCs w:val="22"/>
        </w:rPr>
        <w:t xml:space="preserve">The system adopts a Late Fusion (Decision-Level Fusion) ensemble architecture, integrating four specialised expert models: a Convolutional Neural Network (CNN) for chest X-ray image analysis, a CNN for audio classification via Mel spectrogram transformation, an XGBoost gradient boosting classifier for structured tabular EHR data, and a Facebook Prophet model for time-series forecasting of regional disease trends.</w:t>
      </w:r>
    </w:p>
    <w:p>
      <w:pPr>
        <w:spacing w:after="60" w:before="60"/>
      </w:pPr>
      <w:r>
        <w:t xml:space="preserve"/>
      </w:r>
    </w:p>
    <w:p>
      <w:pPr>
        <w:spacing w:after="120" w:before="80"/>
      </w:pPr>
      <w:r>
        <w:rPr>
          <w:rFonts w:ascii="Arial" w:cs="Arial" w:eastAsia="Arial" w:hAnsi="Arial"/>
          <w:sz w:val="22"/>
          <w:szCs w:val="22"/>
        </w:rPr>
        <w:t xml:space="preserve">A key architectural contribution is the forecast feature injection pipeline, in which Prophet's seasonal trend predictions — encoding regional disease incidence patterns including winter spikes and monsoon surges — are appended as enrichment features to the XGBoost clinical classification pipeline. A second-stage XGBoost meta-learner then performs decision-level fusion of all expert probability outputs to produce a single, calibrated diagnostic prediction.</w:t>
      </w:r>
    </w:p>
    <w:p>
      <w:pPr>
        <w:spacing w:after="60" w:before="60"/>
      </w:pPr>
      <w:r>
        <w:t xml:space="preserve"/>
      </w:r>
    </w:p>
    <w:p>
      <w:pPr>
        <w:spacing w:after="120" w:before="80"/>
      </w:pPr>
      <w:r>
        <w:rPr>
          <w:rFonts w:ascii="Arial" w:cs="Arial" w:eastAsia="Arial" w:hAnsi="Arial"/>
          <w:sz w:val="22"/>
          <w:szCs w:val="22"/>
        </w:rPr>
        <w:t xml:space="preserve">The system is evaluated using MAPE for forecasting accuracy and Recall (Sensitivity) as the primary diagnostic metric, acknowledging that false negatives carry greater clinical cost than false positives. Experimental evaluation demonstrates that the multimodal ensemble approach outperforms any individual modality, and that Prophet-enriched features improve tabular classification recall by an estimated 2–5%.</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FE0" w:sz="1"/>
              <w:left w:val="single" w:color="BBCFE0" w:sz="1"/>
              <w:bottom w:val="single" w:color="BBCFE0" w:sz="1"/>
              <w:right w:val="single" w:color="BBCFE0" w:sz="1"/>
            </w:tcBorders>
            <w:shd w:fill="D0E8F5" w:val="clear"/>
            <w:tcMar>
              <w:top w:type="dxa" w:w="80"/>
              <w:left w:type="dxa" w:w="160"/>
              <w:bottom w:type="dxa" w:w="80"/>
              <w:right w:type="dxa" w:w="160"/>
            </w:tcMar>
          </w:tcPr>
          <w:p>
            <w:r>
              <w:rPr>
                <w:rFonts w:ascii="Arial" w:cs="Arial" w:eastAsia="Arial" w:hAnsi="Arial"/>
                <w:b/>
                <w:bCs/>
                <w:color w:val="1F5C8B"/>
                <w:sz w:val="22"/>
                <w:szCs w:val="22"/>
              </w:rPr>
              <w:t xml:space="preserve">Keywords</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Multimodal Machine Learning  |  Respiratory Disease Prediction  |  CNN  |  XGBoost</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Prophet  |  Mel Spectrogram  |  Late Fusion  |  Time-Series Forecasting  |  EHR  |  Transfer Learning</w:t>
            </w:r>
          </w:p>
        </w:tc>
      </w:tr>
    </w:tbl>
    <w:p>
      <w:r>
        <w:br w:type="page"/>
      </w:r>
    </w:p>
    <w:p>
      <w:pPr>
        <w:pStyle w:val="Heading1"/>
        <w:pBdr>
          <w:bottom w:val="single" w:color="2E86C1" w:sz="6" w:space="6"/>
        </w:pBdr>
        <w:spacing w:after="160" w:before="400"/>
      </w:pPr>
      <w:r>
        <w:rPr>
          <w:rFonts w:ascii="Arial" w:cs="Arial" w:eastAsia="Arial" w:hAnsi="Arial"/>
          <w:b/>
          <w:bCs/>
          <w:color w:val="1F5C8B"/>
          <w:sz w:val="32"/>
          <w:szCs w:val="32"/>
        </w:rPr>
        <w:t xml:space="preserve">Hardware and Software Specifications</w:t>
      </w:r>
    </w:p>
    <w:p>
      <w:pPr>
        <w:pStyle w:val="Heading2"/>
        <w:spacing w:after="120" w:before="280"/>
      </w:pPr>
      <w:r>
        <w:rPr>
          <w:rFonts w:ascii="Arial" w:cs="Arial" w:eastAsia="Arial" w:hAnsi="Arial"/>
          <w:b/>
          <w:bCs/>
          <w:color w:val="2E86C1"/>
          <w:sz w:val="26"/>
          <w:szCs w:val="26"/>
        </w:rPr>
        <w:t xml:space="preserve">Hardware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Component</w:t>
            </w:r>
          </w:p>
        </w:tc>
        <w:tc>
          <w:tcPr>
            <w:tcW w:type="dxa" w:w="30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Minimum Requirement</w:t>
            </w:r>
          </w:p>
        </w:tc>
        <w:tc>
          <w:tcPr>
            <w:tcW w:type="dxa" w:w="38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Recommended / Used in Project</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Processor (CPU)</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Intel Core i5 / AMD Ryzen 5 (4 cores)</w:t>
            </w:r>
          </w:p>
        </w:tc>
        <w:tc>
          <w:tcPr>
            <w:tcW w:type="dxa" w:w="3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Google Colab: Intel Xeon (2 vCPUs); Kaggle: similar</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GPU (Model Training)</w:t>
            </w:r>
          </w:p>
        </w:tc>
        <w:tc>
          <w:tcPr>
            <w:tcW w:type="dxa" w:w="3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NVIDIA GTX 1060 (6 GB VRAM)</w:t>
            </w:r>
          </w:p>
        </w:tc>
        <w:tc>
          <w:tcPr>
            <w:tcW w:type="dxa" w:w="3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Google Colab T4 (16 GB VRAM) / Kaggle P100</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RAM</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8 GB</w:t>
            </w:r>
          </w:p>
        </w:tc>
        <w:tc>
          <w:tcPr>
            <w:tcW w:type="dxa" w:w="3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Google Colab: ~12 GB; Kaggle: 13 GB</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Storage</w:t>
            </w:r>
          </w:p>
        </w:tc>
        <w:tc>
          <w:tcPr>
            <w:tcW w:type="dxa" w:w="3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10 GB free disk space</w:t>
            </w:r>
          </w:p>
        </w:tc>
        <w:tc>
          <w:tcPr>
            <w:tcW w:type="dxa" w:w="3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20 GB+ (datasets, model checkpoints, outputs)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Internet Connection</w:t>
            </w:r>
          </w:p>
        </w:tc>
        <w:tc>
          <w:tcPr>
            <w:tcW w:type="dxa" w:w="3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Stable broadband</w:t>
            </w:r>
          </w:p>
        </w:tc>
        <w:tc>
          <w:tcPr>
            <w:tcW w:type="dxa" w:w="3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Required for Colab, Kaggle, GitHub, API calls</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Local Machine (Dev)</w:t>
            </w:r>
          </w:p>
        </w:tc>
        <w:tc>
          <w:tcPr>
            <w:tcW w:type="dxa" w:w="3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Any modern laptop/desktop</w:t>
            </w:r>
          </w:p>
        </w:tc>
        <w:tc>
          <w:tcPr>
            <w:tcW w:type="dxa" w:w="3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Used for code editing, Figma prototyping, GitHub push</w:t>
            </w:r>
          </w:p>
        </w:tc>
      </w:tr>
    </w:tbl>
    <w:p>
      <w:pPr>
        <w:spacing w:after="60" w:before="60"/>
      </w:pPr>
      <w:r>
        <w:t xml:space="preserve"/>
      </w:r>
    </w:p>
    <w:p>
      <w:pPr>
        <w:pStyle w:val="Heading2"/>
        <w:spacing w:after="120" w:before="280"/>
      </w:pPr>
      <w:r>
        <w:rPr>
          <w:rFonts w:ascii="Arial" w:cs="Arial" w:eastAsia="Arial" w:hAnsi="Arial"/>
          <w:b/>
          <w:bCs/>
          <w:color w:val="2E86C1"/>
          <w:sz w:val="26"/>
          <w:szCs w:val="26"/>
        </w:rPr>
        <w:t xml:space="preserve">Software Requirements</w:t>
      </w:r>
    </w:p>
    <w:p>
      <w:pPr>
        <w:pStyle w:val="Heading3"/>
        <w:spacing w:after="80" w:before="200"/>
      </w:pPr>
      <w:r>
        <w:rPr>
          <w:rFonts w:ascii="Arial" w:cs="Arial" w:eastAsia="Arial" w:hAnsi="Arial"/>
          <w:b/>
          <w:bCs/>
          <w:color w:val="34495E"/>
          <w:sz w:val="22"/>
          <w:szCs w:val="22"/>
        </w:rPr>
        <w:t xml:space="preserve">Core Development Environment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c>
          <w:tcPr>
            <w:tcW w:type="dxa" w:w="26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Software</w:t>
            </w:r>
          </w:p>
        </w:tc>
        <w:tc>
          <w:tcPr>
            <w:tcW w:type="dxa" w:w="1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Version</w:t>
            </w:r>
          </w:p>
        </w:tc>
        <w:tc>
          <w:tcPr>
            <w:tcW w:type="dxa" w:w="52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Purpose</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Python</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3.9 – 3.11</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Primary programming language for all ML and data pipelines</w:t>
            </w:r>
          </w:p>
        </w:tc>
      </w:tr>
      <w:tr>
        <w:tc>
          <w:tcPr>
            <w:tcW w:type="dxa" w:w="2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Jupyter Notebook</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6.x / 7.x</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Interactive development and experiment documentation</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Google Colab</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Cloud-based</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GPU-accelerated training environment (free tier)</w:t>
            </w:r>
          </w:p>
        </w:tc>
      </w:tr>
      <w:tr>
        <w:tc>
          <w:tcPr>
            <w:tcW w:type="dxa" w:w="2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Kaggle Notebooks</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Cloud-based</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Alternative GPU compute; dataset hosting</w:t>
            </w:r>
          </w:p>
        </w:tc>
      </w:tr>
      <w:tr>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GitHub</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Latest</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Version control, code collaboration, experiment tracking</w:t>
            </w:r>
          </w:p>
        </w:tc>
      </w:tr>
    </w:tbl>
    <w:p>
      <w:pPr>
        <w:spacing w:after="60" w:before="60"/>
      </w:pPr>
      <w:r>
        <w:t xml:space="preserve"/>
      </w:r>
    </w:p>
    <w:p>
      <w:pPr>
        <w:pStyle w:val="Heading3"/>
        <w:spacing w:after="80" w:before="200"/>
      </w:pPr>
      <w:r>
        <w:rPr>
          <w:rFonts w:ascii="Arial" w:cs="Arial" w:eastAsia="Arial" w:hAnsi="Arial"/>
          <w:b/>
          <w:bCs/>
          <w:color w:val="34495E"/>
          <w:sz w:val="22"/>
          <w:szCs w:val="22"/>
        </w:rPr>
        <w:t xml:space="preserve">Machine Learning Libraries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600"/>
      </w:tblGrid>
      <w:tr>
        <w:tc>
          <w:tcPr>
            <w:tcW w:type="dxa" w:w="2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Library / Framework</w:t>
            </w:r>
          </w:p>
        </w:tc>
        <w:tc>
          <w:tcPr>
            <w:tcW w:type="dxa" w:w="12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Version</w:t>
            </w:r>
          </w:p>
        </w:tc>
        <w:tc>
          <w:tcPr>
            <w:tcW w:type="dxa" w:w="56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Role in RespiPredict</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TensorFlow / Keras</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2.12+</w:t>
            </w:r>
          </w:p>
        </w:tc>
        <w:tc>
          <w:tcPr>
            <w:tcW w:type="dxa" w:w="5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CNN model definition, training, and inference for image and audio experts</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PyTorch</w:t>
            </w:r>
          </w:p>
        </w:tc>
        <w:tc>
          <w:tcPr>
            <w:tcW w:type="dxa" w:w="1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2.0+ (alternate)</w:t>
            </w:r>
          </w:p>
        </w:tc>
        <w:tc>
          <w:tcPr>
            <w:tcW w:type="dxa" w:w="5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Optional CNN backbone; used if ResNet-50 fine-tuning requires custom layers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XGBoost</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1.7+</w:t>
            </w:r>
          </w:p>
        </w:tc>
        <w:tc>
          <w:tcPr>
            <w:tcW w:type="dxa" w:w="5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Tabular EHR classification and second-stage meta-learner (late fusion)</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Facebook Prophet</w:t>
            </w:r>
          </w:p>
        </w:tc>
        <w:tc>
          <w:tcPr>
            <w:tcW w:type="dxa" w:w="1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1.1+</w:t>
            </w:r>
          </w:p>
        </w:tc>
        <w:tc>
          <w:tcPr>
            <w:tcW w:type="dxa" w:w="5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Time-series forecasting of regional respiratory disease trends</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scikit-learn</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1.2+</w:t>
            </w:r>
          </w:p>
        </w:tc>
        <w:tc>
          <w:tcPr>
            <w:tcW w:type="dxa" w:w="5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Preprocessing pipelines, train-test split, evaluation metrics (Recall, F1, AUC)</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librosa</w:t>
            </w:r>
          </w:p>
        </w:tc>
        <w:tc>
          <w:tcPr>
            <w:tcW w:type="dxa" w:w="1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0.10+</w:t>
            </w:r>
          </w:p>
        </w:tc>
        <w:tc>
          <w:tcPr>
            <w:tcW w:type="dxa" w:w="5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WAV audio loading and Mel spectrogram conversion</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OpenCV / Pillow</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4.x / 9.x</w:t>
            </w:r>
          </w:p>
        </w:tc>
        <w:tc>
          <w:tcPr>
            <w:tcW w:type="dxa" w:w="5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X-ray image loading, resizing, normalisation</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pandas</w:t>
            </w:r>
          </w:p>
        </w:tc>
        <w:tc>
          <w:tcPr>
            <w:tcW w:type="dxa" w:w="1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1.5+</w:t>
            </w:r>
          </w:p>
        </w:tc>
        <w:tc>
          <w:tcPr>
            <w:tcW w:type="dxa" w:w="5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Tabular data manipulation; Prophet [ds, y] DataFrame preparation</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NumPy</w:t>
            </w:r>
          </w:p>
        </w:tc>
        <w:tc>
          <w:tcPr>
            <w:tcW w:type="dxa" w:w="1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1.23+</w:t>
            </w:r>
          </w:p>
        </w:tc>
        <w:tc>
          <w:tcPr>
            <w:tcW w:type="dxa" w:w="5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Numerical operations, array transformations</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matplotlib / seaborn</w:t>
            </w:r>
          </w:p>
        </w:tc>
        <w:tc>
          <w:tcPr>
            <w:tcW w:type="dxa" w:w="1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3.6+</w:t>
            </w:r>
          </w:p>
        </w:tc>
        <w:tc>
          <w:tcPr>
            <w:tcW w:type="dxa" w:w="5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Training curves, confusion matrices, forecast visualisations</w:t>
            </w:r>
          </w:p>
        </w:tc>
      </w:tr>
    </w:tbl>
    <w:p>
      <w:pPr>
        <w:spacing w:after="60" w:before="60"/>
      </w:pPr>
      <w:r>
        <w:t xml:space="preserve"/>
      </w:r>
    </w:p>
    <w:p>
      <w:pPr>
        <w:pStyle w:val="Heading3"/>
        <w:spacing w:after="80" w:before="200"/>
      </w:pPr>
      <w:r>
        <w:rPr>
          <w:rFonts w:ascii="Arial" w:cs="Arial" w:eastAsia="Arial" w:hAnsi="Arial"/>
          <w:b/>
          <w:bCs/>
          <w:color w:val="34495E"/>
          <w:sz w:val="22"/>
          <w:szCs w:val="22"/>
        </w:rPr>
        <w:t xml:space="preserve">Development Tools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Tool</w:t>
            </w:r>
          </w:p>
        </w:tc>
        <w:tc>
          <w:tcPr>
            <w:tcW w:type="dxa" w:w="6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Purpose</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Figma</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UI/UX prototyping for the doctor/patient diagnostic dashboard</w:t>
            </w:r>
          </w:p>
        </w:tc>
      </w:tr>
      <w:tr>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GitHub</w:t>
            </w:r>
          </w:p>
        </w:tc>
        <w:tc>
          <w:tcPr>
            <w:tcW w:type="dxa" w:w="6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Version control, branching, experiment documentation</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Wispr Flow</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Voice-to-text documentation and meeting notes</w:t>
            </w:r>
          </w:p>
        </w:tc>
      </w:tr>
      <w:tr>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Brave / Chrome Browser</w:t>
            </w:r>
          </w:p>
        </w:tc>
        <w:tc>
          <w:tcPr>
            <w:tcW w:type="dxa" w:w="6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Web access, Colab/Kaggle interface, research</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Notepad / VS Code</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Local code editing and configuration management</w:t>
            </w:r>
          </w:p>
        </w:tc>
      </w:tr>
      <w:tr>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joblib / pickle</w:t>
            </w:r>
          </w:p>
        </w:tc>
        <w:tc>
          <w:tcPr>
            <w:tcW w:type="dxa" w:w="6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Serialisation of trained Prophet and XGBoost models to disk</w:t>
            </w:r>
          </w:p>
        </w:tc>
      </w:tr>
    </w:tbl>
    <w:p>
      <w:pPr>
        <w:spacing w:after="60" w:before="60"/>
      </w:pPr>
      <w:r>
        <w:t xml:space="preserve"/>
      </w:r>
    </w:p>
    <w:p>
      <w:pPr>
        <w:pStyle w:val="Heading3"/>
        <w:spacing w:after="80" w:before="200"/>
      </w:pPr>
      <w:r>
        <w:rPr>
          <w:rFonts w:ascii="Arial" w:cs="Arial" w:eastAsia="Arial" w:hAnsi="Arial"/>
          <w:b/>
          <w:bCs/>
          <w:color w:val="34495E"/>
          <w:sz w:val="22"/>
          <w:szCs w:val="22"/>
        </w:rPr>
        <w:t xml:space="preserve">AI Assistants Used (Development Support)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Tool</w:t>
            </w:r>
          </w:p>
        </w:tc>
        <w:tc>
          <w:tcPr>
            <w:tcW w:type="dxa" w:w="68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Usage in Project</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Claude (Anthropic)</w:t>
            </w:r>
          </w:p>
        </w:tc>
        <w:tc>
          <w:tcPr>
            <w:tcW w:type="dxa" w:w="6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Architecture validation, code refactoring, documentation generation</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ChatGPT (OpenAI)</w:t>
            </w:r>
          </w:p>
        </w:tc>
        <w:tc>
          <w:tcPr>
            <w:tcW w:type="dxa" w:w="6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Code debugging, literature review assistance</w:t>
            </w:r>
          </w:p>
        </w:tc>
      </w:tr>
      <w:tr>
        <w:tc>
          <w:tcPr>
            <w:tcW w:type="dxa" w:w="2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Gemini (Google)</w:t>
            </w:r>
          </w:p>
        </w:tc>
        <w:tc>
          <w:tcPr>
            <w:tcW w:type="dxa" w:w="6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Data preprocessing suggestions, API integration guidance</w:t>
            </w:r>
          </w:p>
        </w:tc>
      </w:tr>
      <w:tr>
        <w:tc>
          <w:tcPr>
            <w:tcW w:type="dxa" w:w="2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GitHub Copilot / Codex</w:t>
            </w:r>
          </w:p>
        </w:tc>
        <w:tc>
          <w:tcPr>
            <w:tcW w:type="dxa" w:w="6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In-editor code completion for boilerplate ML pipelines</w:t>
            </w:r>
          </w:p>
        </w:tc>
      </w:tr>
    </w:tbl>
    <w:p>
      <w:r>
        <w:br w:type="page"/>
      </w:r>
    </w:p>
    <w:p>
      <w:pPr>
        <w:pStyle w:val="Heading1"/>
        <w:pBdr>
          <w:bottom w:val="single" w:color="2E86C1" w:sz="6" w:space="6"/>
        </w:pBdr>
        <w:spacing w:after="160" w:before="400"/>
      </w:pPr>
      <w:r>
        <w:rPr>
          <w:rFonts w:ascii="Arial" w:cs="Arial" w:eastAsia="Arial" w:hAnsi="Arial"/>
          <w:b/>
          <w:bCs/>
          <w:color w:val="1F5C8B"/>
          <w:sz w:val="32"/>
          <w:szCs w:val="32"/>
        </w:rPr>
        <w:t xml:space="preserve">Data Flow Diagram (DFD) and Entity Relationship Diagram</w:t>
      </w:r>
    </w:p>
    <w:p>
      <w:pPr>
        <w:pStyle w:val="Heading2"/>
        <w:spacing w:after="120" w:before="280"/>
      </w:pPr>
      <w:r>
        <w:rPr>
          <w:rFonts w:ascii="Arial" w:cs="Arial" w:eastAsia="Arial" w:hAnsi="Arial"/>
          <w:b/>
          <w:bCs/>
          <w:color w:val="2E86C1"/>
          <w:sz w:val="26"/>
          <w:szCs w:val="26"/>
        </w:rPr>
        <w:t xml:space="preserve">Data Flow Diagram — Level 1</w:t>
      </w:r>
    </w:p>
    <w:p>
      <w:pPr>
        <w:spacing w:after="120" w:before="80"/>
      </w:pPr>
      <w:r>
        <w:rPr>
          <w:rFonts w:ascii="Arial" w:cs="Arial" w:eastAsia="Arial" w:hAnsi="Arial"/>
          <w:sz w:val="22"/>
          <w:szCs w:val="22"/>
        </w:rPr>
        <w:t xml:space="preserve">The DFD Level 1 below shows all data flows across RespiPredict's six processes, four data stores, and three external entities. Read from top-left (Patient) clockwise to Doctor (top-right).</w:t>
      </w:r>
    </w:p>
    <w:p>
      <w:pPr>
        <w:spacing w:after="60" w:before="60"/>
      </w:pPr>
      <w:r>
        <w:t xml:space="preserve"/>
      </w:r>
    </w:p>
    <w:p>
      <w:pPr>
        <w:jc w:val="center"/>
      </w:pPr>
      <w:r>
        <w:drawing>
          <wp:inline distT="0" distB="0" distL="0" distR="0">
            <wp:extent cx="59055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81575"/>
                    </a:xfrm>
                    <a:prstGeom prst="rect">
                      <a:avLst/>
                    </a:prstGeom>
                  </pic:spPr>
                </pic:pic>
              </a:graphicData>
            </a:graphic>
          </wp:inline>
        </w:drawing>
      </w:r>
    </w:p>
    <w:p>
      <w:pPr>
        <w:spacing w:after="60" w:before="60"/>
      </w:pPr>
      <w:r>
        <w:t xml:space="preserve"/>
      </w:r>
    </w:p>
    <w:p>
      <w:pPr>
        <w:pStyle w:val="Heading3"/>
        <w:spacing w:after="80" w:before="200"/>
      </w:pPr>
      <w:r>
        <w:rPr>
          <w:rFonts w:ascii="Arial" w:cs="Arial" w:eastAsia="Arial" w:hAnsi="Arial"/>
          <w:b/>
          <w:bCs/>
          <w:color w:val="34495E"/>
          <w:sz w:val="22"/>
          <w:szCs w:val="22"/>
        </w:rPr>
        <w:t xml:space="preserve">DFD Element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5200"/>
      </w:tblGrid>
      <w:tr>
        <w:tc>
          <w:tcPr>
            <w:tcW w:type="dxa" w:w="6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ID</w:t>
            </w:r>
          </w:p>
        </w:tc>
        <w:tc>
          <w:tcPr>
            <w:tcW w:type="dxa" w:w="1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Type</w:t>
            </w:r>
          </w:p>
        </w:tc>
        <w:tc>
          <w:tcPr>
            <w:tcW w:type="dxa" w:w="20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Name</w:t>
            </w:r>
          </w:p>
        </w:tc>
        <w:tc>
          <w:tcPr>
            <w:tcW w:type="dxa" w:w="52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Description</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External Entity</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Patient</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Submits X-ray images, WAV audio, and EHR data to the system</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External Entity</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Doctor</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Receives the final diagnosis report and forecast from the system</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External Entity</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Disease Registry</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Provides historical disease incidence data (ICMR, government health sources)</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D1</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Data Store</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Image Store</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Preprocessed, normalised X-ray image tensors (PNG format)</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D2</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Data Store</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Audio Store</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Mel spectrogram images converted from WAV audio recordings</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D3</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Data Store</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EHR Database</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Structured clinical records: demographics, vitals, lab values, history</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D4</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Data Store</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Time-Series DB</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Longitudinal disease incidence by region and date</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P1</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Preprocess</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Normalises X-ray images → D1; converts WAV → Mel spectrogram → D2</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P2</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CNN Image Inference</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Reads D1; outputs P(disease | X-ray) probability vector</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P3</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CNN Audio Inference</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Reads D2; outputs P(disease | audio) probability vector</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P4</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XGBoost Classify</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Reads D3 + forecast features from P5; outputs P(disease | EHR+trend)</w:t>
            </w:r>
          </w:p>
        </w:tc>
      </w:tr>
      <w:tr>
        <w:tc>
          <w:tcPr>
            <w:tcW w:type="dxa" w:w="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P5</w:t>
            </w:r>
          </w:p>
        </w:tc>
        <w:tc>
          <w:tcPr>
            <w:tcW w:type="dxa" w:w="1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Prophet Forecast</w:t>
            </w:r>
          </w:p>
        </w:tc>
        <w:tc>
          <w:tcPr>
            <w:tcW w:type="dxa" w:w="52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Reads D4; outputs yhat, trend, bounds → enriches P4 feature vector</w:t>
            </w:r>
          </w:p>
        </w:tc>
      </w:tr>
      <w:tr>
        <w:tc>
          <w:tcPr>
            <w:tcW w:type="dxa" w:w="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P6</w:t>
            </w:r>
          </w:p>
        </w:tc>
        <w:tc>
          <w:tcPr>
            <w:tcW w:type="dxa" w:w="1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Process</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Late Fusion</w:t>
            </w:r>
          </w:p>
        </w:tc>
        <w:tc>
          <w:tcPr>
            <w:tcW w:type="dxa" w:w="52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Combines three probability vectors → final diagnosis report → Doctor</w:t>
            </w:r>
          </w:p>
        </w:tc>
      </w:tr>
    </w:tbl>
    <w:p>
      <w:r>
        <w:br w:type="page"/>
      </w:r>
    </w:p>
    <w:p>
      <w:pPr>
        <w:pStyle w:val="Heading2"/>
        <w:spacing w:after="120" w:before="280"/>
      </w:pPr>
      <w:r>
        <w:rPr>
          <w:rFonts w:ascii="Arial" w:cs="Arial" w:eastAsia="Arial" w:hAnsi="Arial"/>
          <w:b/>
          <w:bCs/>
          <w:color w:val="2E86C1"/>
          <w:sz w:val="26"/>
          <w:szCs w:val="26"/>
        </w:rPr>
        <w:t xml:space="preserve">Entity Relationship Diagram</w:t>
      </w:r>
    </w:p>
    <w:p>
      <w:pPr>
        <w:spacing w:after="120" w:before="80"/>
      </w:pPr>
      <w:r>
        <w:rPr>
          <w:rFonts w:ascii="Arial" w:cs="Arial" w:eastAsia="Arial" w:hAnsi="Arial"/>
          <w:sz w:val="22"/>
          <w:szCs w:val="22"/>
        </w:rPr>
        <w:t xml:space="preserve">The ER diagram below models the persistent data entities in RespiPredict, their attributes, and the relationships between them. Primary keys are shown in navy (PK) and foreign keys in purple (FK).</w:t>
      </w:r>
    </w:p>
    <w:p>
      <w:pPr>
        <w:spacing w:after="60" w:before="60"/>
      </w:pPr>
      <w:r>
        <w:t xml:space="preserve"/>
      </w:r>
    </w:p>
    <w:p>
      <w:pPr>
        <w:jc w:val="center"/>
      </w:pPr>
      <w:r>
        <w:drawing>
          <wp:inline distT="0" distB="0" distL="0" distR="0">
            <wp:extent cx="5905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24350"/>
                    </a:xfrm>
                    <a:prstGeom prst="rect">
                      <a:avLst/>
                    </a:prstGeom>
                  </pic:spPr>
                </pic:pic>
              </a:graphicData>
            </a:graphic>
          </wp:inline>
        </w:drawing>
      </w:r>
    </w:p>
    <w:p>
      <w:pPr>
        <w:spacing w:after="60" w:before="60"/>
      </w:pPr>
      <w:r>
        <w:t xml:space="preserve"/>
      </w:r>
    </w:p>
    <w:p>
      <w:pPr>
        <w:pStyle w:val="Heading3"/>
        <w:spacing w:after="80" w:before="200"/>
      </w:pPr>
      <w:r>
        <w:rPr>
          <w:rFonts w:ascii="Arial" w:cs="Arial" w:eastAsia="Arial" w:hAnsi="Arial"/>
          <w:b/>
          <w:bCs/>
          <w:color w:val="34495E"/>
          <w:sz w:val="22"/>
          <w:szCs w:val="22"/>
        </w:rPr>
        <w:t xml:space="preserve">Entity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800"/>
      </w:tblGrid>
      <w:tr>
        <w:tc>
          <w:tcPr>
            <w:tcW w:type="dxa" w:w="16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Entity</w:t>
            </w:r>
          </w:p>
        </w:tc>
        <w:tc>
          <w:tcPr>
            <w:tcW w:type="dxa" w:w="20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Primary Key</w:t>
            </w:r>
          </w:p>
        </w:tc>
        <w:tc>
          <w:tcPr>
            <w:tcW w:type="dxa" w:w="26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Key Relationships</w:t>
            </w:r>
          </w:p>
        </w:tc>
        <w:tc>
          <w:tcPr>
            <w:tcW w:type="dxa" w:w="28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Description</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PATIENT</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patient_id (UUID)</w:t>
            </w:r>
          </w:p>
        </w:tc>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1-to-many with CLINICAL_RECORD</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Stores demographic and clinical baseline data for each patient</w:t>
            </w:r>
          </w:p>
        </w:tc>
      </w:tr>
      <w:tr>
        <w:tc>
          <w:tcPr>
            <w:tcW w:type="dxa" w:w="1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CLINICAL_RECORD</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record_id (UUID)</w:t>
            </w:r>
          </w:p>
        </w:tc>
        <w:tc>
          <w:tcPr>
            <w:tcW w:type="dxa" w:w="2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Many-to-1 with PATIENT; 1-to-1 with MODEL_OUTPUT; enriched by FORECAST_CACHE</w:t>
            </w:r>
          </w:p>
        </w:tc>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One record per clinical encounter; holds file paths to X-ray and spectrogram, and the Prophet forecast payload</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MODEL_OUTPUT</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output_id (UUID)</w:t>
            </w:r>
          </w:p>
        </w:tc>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1-to-1 with CLINICAL_RECORD; reviewed by DOCTOR</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Stores the probability outputs of all three expert models and the final fused prediction</w:t>
            </w:r>
          </w:p>
        </w:tc>
      </w:tr>
      <w:tr>
        <w:tc>
          <w:tcPr>
            <w:tcW w:type="dxa" w:w="1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DISEASE_TIMESERIES</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id (UUID)</w:t>
            </w:r>
          </w:p>
        </w:tc>
        <w:tc>
          <w:tcPr>
            <w:tcW w:type="dxa" w:w="2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1-to-many with FORECAST_CACHE</w:t>
            </w:r>
          </w:p>
        </w:tc>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Regional historical disease incidence, used as Prophet training input</w:t>
            </w:r>
          </w:p>
        </w:tc>
      </w:tr>
      <w:tr>
        <w:tc>
          <w:tcPr>
            <w:tcW w:type="dxa" w:w="1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FORECAST_CACHE</w:t>
            </w:r>
          </w:p>
        </w:tc>
        <w:tc>
          <w:tcPr>
            <w:tcW w:type="dxa" w:w="20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cache_id (UUID)</w:t>
            </w:r>
          </w:p>
        </w:tc>
        <w:tc>
          <w:tcPr>
            <w:tcW w:type="dxa" w:w="26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Many-to-1 with DISEASE_TIMESERIES; enriches CLINICAL_RECORD</w:t>
            </w:r>
          </w:p>
        </w:tc>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Stores pre-computed Prophet predictions; injected as features into XGBoost at inference time</w:t>
            </w:r>
          </w:p>
        </w:tc>
      </w:tr>
      <w:tr>
        <w:tc>
          <w:tcPr>
            <w:tcW w:type="dxa" w:w="1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DOCTOR</w:t>
            </w:r>
          </w:p>
        </w:tc>
        <w:tc>
          <w:tcPr>
            <w:tcW w:type="dxa" w:w="20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doctor_id (UUID)</w:t>
            </w:r>
          </w:p>
        </w:tc>
        <w:tc>
          <w:tcPr>
            <w:tcW w:type="dxa" w:w="26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Reviews MODEL_OUTPUT</w:t>
            </w:r>
          </w:p>
        </w:tc>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Medical professional who receives and acts on the system's diagnostic output</w:t>
            </w:r>
          </w:p>
        </w:tc>
      </w:tr>
    </w:tbl>
    <w:p>
      <w:r>
        <w:br w:type="page"/>
      </w:r>
    </w:p>
    <w:p>
      <w:pPr>
        <w:pStyle w:val="Heading1"/>
        <w:pBdr>
          <w:bottom w:val="single" w:color="2E86C1" w:sz="6" w:space="6"/>
        </w:pBdr>
        <w:spacing w:after="160" w:before="400"/>
      </w:pPr>
      <w:r>
        <w:rPr>
          <w:rFonts w:ascii="Arial" w:cs="Arial" w:eastAsia="Arial" w:hAnsi="Arial"/>
          <w:b/>
          <w:bCs/>
          <w:color w:val="1F5C8B"/>
          <w:sz w:val="32"/>
          <w:szCs w:val="32"/>
        </w:rPr>
        <w:t xml:space="preserve">Conclusion</w:t>
      </w:r>
    </w:p>
    <w:p>
      <w:pPr>
        <w:spacing w:after="120" w:before="80"/>
      </w:pPr>
      <w:r>
        <w:rPr>
          <w:rFonts w:ascii="Arial" w:cs="Arial" w:eastAsia="Arial" w:hAnsi="Arial"/>
          <w:b/>
          <w:bCs/>
          <w:sz w:val="22"/>
          <w:szCs w:val="22"/>
        </w:rPr>
        <w:t xml:space="preserve">RespiPredict</w:t>
      </w:r>
      <w:r>
        <w:rPr>
          <w:rFonts w:ascii="Arial" w:cs="Arial" w:eastAsia="Arial" w:hAnsi="Arial"/>
          <w:sz w:val="22"/>
          <w:szCs w:val="22"/>
        </w:rPr>
        <w:t xml:space="preserve"> demonstrates that a well-architected multimodal ensemble system can meaningfully advance the state of automated respiratory disease prediction by combining complementary diagnostic signals that no single model can exploit alone.</w:t>
      </w:r>
    </w:p>
    <w:p>
      <w:pPr>
        <w:spacing w:after="60" w:before="60"/>
      </w:pPr>
      <w:r>
        <w:t xml:space="preserve"/>
      </w:r>
    </w:p>
    <w:p>
      <w:pPr>
        <w:pStyle w:val="Heading2"/>
        <w:spacing w:after="120" w:before="280"/>
      </w:pPr>
      <w:r>
        <w:rPr>
          <w:rFonts w:ascii="Arial" w:cs="Arial" w:eastAsia="Arial" w:hAnsi="Arial"/>
          <w:b/>
          <w:bCs/>
          <w:color w:val="2E86C1"/>
          <w:sz w:val="26"/>
          <w:szCs w:val="26"/>
        </w:rPr>
        <w:t xml:space="preserve">Summary of Contributions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Contribution</w:t>
            </w:r>
          </w:p>
        </w:tc>
        <w:tc>
          <w:tcPr>
            <w:tcW w:type="dxa" w:w="6400"/>
            <w:tcBorders>
              <w:top w:val="single" w:color="BBCFE0" w:sz="1"/>
              <w:left w:val="single" w:color="BBCFE0" w:sz="1"/>
              <w:bottom w:val="single" w:color="BBCFE0" w:sz="1"/>
              <w:right w:val="single" w:color="BBCFE0" w:sz="1"/>
            </w:tcBorders>
            <w:shd w:fill="D0E8F5" w:val="clear"/>
            <w:tcMar>
              <w:top w:type="dxa" w:w="80"/>
              <w:left w:type="dxa" w:w="120"/>
              <w:bottom w:type="dxa" w:w="80"/>
              <w:right w:type="dxa" w:w="120"/>
            </w:tcMar>
          </w:tcPr>
          <w:p>
            <w:r>
              <w:rPr>
                <w:rFonts w:ascii="Arial" w:cs="Arial" w:eastAsia="Arial" w:hAnsi="Arial"/>
                <w:b/>
                <w:bCs/>
                <w:color w:val="1F5C8B"/>
                <w:sz w:val="21"/>
                <w:szCs w:val="21"/>
              </w:rPr>
              <w:t xml:space="preserve">Technical Significance</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Unified CNN architecture for image and audio</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Converting respiratory audio to Mel spectrograms enables the same ResNet-50 CNN backbone to classify both chest X-ray images and breathing patterns, reducing model complexity without sacrificing modality coverage.</w:t>
            </w:r>
          </w:p>
        </w:tc>
      </w:tr>
      <w:tr>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Prophet-to-XGBoost feature injection</w:t>
            </w:r>
          </w:p>
        </w:tc>
        <w:tc>
          <w:tcPr>
            <w:tcW w:type="dxa" w:w="6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Enriching the clinical feature vector with regional seasonal forecast data (yhat, trend, bounds) gives the XGBoost classifier epidemiological context at inference time — a novel integration not common in standard clinical ML pipelines.</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Decision-level late fusion</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Training a second-stage XGBoost meta-learner on expert probability vectors allows the system to dynamically reweight expert trust based on input patterns, producing a more robust unified diagnosis than any individual expert.</w:t>
            </w:r>
          </w:p>
        </w:tc>
      </w:tr>
      <w:tr>
        <w:tc>
          <w:tcPr>
            <w:tcW w:type="dxa" w:w="28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Clinical metric prioritisation</w:t>
            </w:r>
          </w:p>
        </w:tc>
        <w:tc>
          <w:tcPr>
            <w:tcW w:type="dxa" w:w="6400"/>
            <w:tcBorders>
              <w:top w:val="single" w:color="BBCFE0" w:sz="1"/>
              <w:left w:val="single" w:color="BBCFE0" w:sz="1"/>
              <w:bottom w:val="single" w:color="BBCFE0" w:sz="1"/>
              <w:right w:val="single" w:color="BBCFE0" w:sz="1"/>
            </w:tcBorders>
            <w:shd w:fill="F2F4F5" w:val="clear"/>
            <w:tcMar>
              <w:top w:type="dxa" w:w="70"/>
              <w:left w:type="dxa" w:w="120"/>
              <w:bottom w:type="dxa" w:w="70"/>
              <w:right w:type="dxa" w:w="120"/>
            </w:tcMar>
          </w:tcPr>
          <w:p>
            <w:r>
              <w:rPr>
                <w:rFonts w:ascii="Arial" w:cs="Arial" w:eastAsia="Arial" w:hAnsi="Arial"/>
                <w:sz w:val="20"/>
                <w:szCs w:val="20"/>
              </w:rPr>
              <w:t xml:space="preserve">Choosing Recall over Accuracy as the primary evaluation metric reflects the real-world cost asymmetry of diagnostic errors — a design principle that should be standard in medical AI but is often overlooked.</w:t>
            </w:r>
          </w:p>
        </w:tc>
      </w:tr>
      <w:tr>
        <w:tc>
          <w:tcPr>
            <w:tcW w:type="dxa" w:w="28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Modality robustness</w:t>
            </w:r>
          </w:p>
        </w:tc>
        <w:tc>
          <w:tcPr>
            <w:tcW w:type="dxa" w:w="6400"/>
            <w:tcBorders>
              <w:top w:val="single" w:color="BBCFE0" w:sz="1"/>
              <w:left w:val="single" w:color="BBCFE0" w:sz="1"/>
              <w:bottom w:val="single" w:color="BBCFE0" w:sz="1"/>
              <w:right w:val="single" w:color="BBCFE0" w:sz="1"/>
            </w:tcBorders>
            <w:shd w:fill="FFFFFF" w:val="clear"/>
            <w:tcMar>
              <w:top w:type="dxa" w:w="70"/>
              <w:left w:type="dxa" w:w="120"/>
              <w:bottom w:type="dxa" w:w="70"/>
              <w:right w:type="dxa" w:w="120"/>
            </w:tcMar>
          </w:tcPr>
          <w:p>
            <w:r>
              <w:rPr>
                <w:rFonts w:ascii="Arial" w:cs="Arial" w:eastAsia="Arial" w:hAnsi="Arial"/>
                <w:sz w:val="20"/>
                <w:szCs w:val="20"/>
              </w:rPr>
              <w:t xml:space="preserve">Late fusion architectures are inherently tolerant of missing modalities. If audio data is unavailable, the system continues to produce a valid diagnosis from the remaining experts, making it deployable in resource-constrained clinical settings.</w:t>
            </w:r>
          </w:p>
        </w:tc>
      </w:tr>
    </w:tbl>
    <w:p>
      <w:pPr>
        <w:spacing w:after="60" w:before="60"/>
      </w:pPr>
      <w:r>
        <w:t xml:space="preserve"/>
      </w:r>
    </w:p>
    <w:p>
      <w:pPr>
        <w:pStyle w:val="Heading2"/>
        <w:spacing w:after="120" w:before="280"/>
      </w:pPr>
      <w:r>
        <w:rPr>
          <w:rFonts w:ascii="Arial" w:cs="Arial" w:eastAsia="Arial" w:hAnsi="Arial"/>
          <w:b/>
          <w:bCs/>
          <w:color w:val="2E86C1"/>
          <w:sz w:val="26"/>
          <w:szCs w:val="26"/>
        </w:rPr>
        <w:t xml:space="preserve">Limitations and Future Work</w:t>
      </w:r>
    </w:p>
    <w:p>
      <w:pPr>
        <w:pStyle w:val="ListParagraph"/>
        <w:numPr>
          <w:ilvl w:val="0"/>
          <w:numId w:val="2"/>
        </w:numPr>
        <w:spacing w:after="40" w:before="40"/>
      </w:pPr>
      <w:r>
        <w:rPr>
          <w:rFonts w:ascii="Arial" w:cs="Arial" w:eastAsia="Arial" w:hAnsi="Arial"/>
          <w:sz w:val="22"/>
          <w:szCs w:val="22"/>
        </w:rPr>
        <w:t xml:space="preserve">Dataset scale: The system was developed and evaluated on available Kaggle and open EHR datasets. Performance on truly diverse, multi-hospital, multi-region datasets at production scale remains to be validated.</w:t>
      </w:r>
    </w:p>
    <w:p>
      <w:pPr>
        <w:pStyle w:val="ListParagraph"/>
        <w:numPr>
          <w:ilvl w:val="0"/>
          <w:numId w:val="2"/>
        </w:numPr>
        <w:spacing w:after="40" w:before="40"/>
      </w:pPr>
      <w:r>
        <w:rPr>
          <w:rFonts w:ascii="Arial" w:cs="Arial" w:eastAsia="Arial" w:hAnsi="Arial"/>
          <w:sz w:val="22"/>
          <w:szCs w:val="22"/>
        </w:rPr>
        <w:t xml:space="preserve">Real-time inference latency: Loading multiple Prophet models and performing CNN inference sequentially introduces latency. A production deployment would require model caching (Singleton pattern) and parallelised expert inference.</w:t>
      </w:r>
    </w:p>
    <w:p>
      <w:pPr>
        <w:pStyle w:val="ListParagraph"/>
        <w:numPr>
          <w:ilvl w:val="0"/>
          <w:numId w:val="2"/>
        </w:numPr>
        <w:spacing w:after="40" w:before="40"/>
      </w:pPr>
      <w:r>
        <w:rPr>
          <w:rFonts w:ascii="Arial" w:cs="Arial" w:eastAsia="Arial" w:hAnsi="Arial"/>
          <w:sz w:val="22"/>
          <w:szCs w:val="22"/>
        </w:rPr>
        <w:t xml:space="preserve">Explainability: While XGBoost provides feature importance scores, the CNN experts remain black boxes. Integrating Grad-CAM visualisations for X-ray predictions and spectrogram attention maps would improve clinical trustworthiness.</w:t>
      </w:r>
    </w:p>
    <w:p>
      <w:pPr>
        <w:pStyle w:val="ListParagraph"/>
        <w:numPr>
          <w:ilvl w:val="0"/>
          <w:numId w:val="2"/>
        </w:numPr>
        <w:spacing w:after="40" w:before="40"/>
      </w:pPr>
      <w:r>
        <w:rPr>
          <w:rFonts w:ascii="Arial" w:cs="Arial" w:eastAsia="Arial" w:hAnsi="Arial"/>
          <w:sz w:val="22"/>
          <w:szCs w:val="22"/>
        </w:rPr>
        <w:t xml:space="preserve">Regulatory compliance: Any clinical deployment would require validation against regulatory frameworks (FDA SaMD guidelines, CE marking in Europe, CDSCO in India) and clinical trials, which are beyond the scope of this project.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FE0" w:sz="1"/>
              <w:left w:val="single" w:color="BBCFE0" w:sz="1"/>
              <w:bottom w:val="single" w:color="BBCFE0" w:sz="1"/>
              <w:right w:val="single" w:color="BBCFE0" w:sz="1"/>
            </w:tcBorders>
            <w:shd w:fill="D0E8F5" w:val="clear"/>
            <w:tcMar>
              <w:top w:type="dxa" w:w="80"/>
              <w:left w:type="dxa" w:w="160"/>
              <w:bottom w:type="dxa" w:w="80"/>
              <w:right w:type="dxa" w:w="160"/>
            </w:tcMar>
          </w:tcPr>
          <w:p>
            <w:r>
              <w:rPr>
                <w:rFonts w:ascii="Arial" w:cs="Arial" w:eastAsia="Arial" w:hAnsi="Arial"/>
                <w:b/>
                <w:bCs/>
                <w:color w:val="1F5C8B"/>
                <w:sz w:val="22"/>
                <w:szCs w:val="22"/>
              </w:rPr>
              <w:t xml:space="preserve">Future Directions</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Vision Transformers (ViT): Replace ResNet-50 backbone with a ViT for potentially higher X-ray classification accuracy on larger datasets.</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Federated Learning: Train across multiple hospitals without centralising patient data, addressing privacy constraints in EHR sharing.</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Explainable AI (XAI): Integrate SHAP values for XGBoost and Grad-CAM for CNNs to generate clinician-interpretable prediction rationales.</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Mobile Deployment: Quantise and prune models for on-device inference on portable diagnostic tools for rural/remote clinical settings.</w:t>
            </w:r>
          </w:p>
        </w:tc>
      </w:tr>
      <w:tr>
        <w:tc>
          <w:tcPr>
            <w:tcW w:type="dxa" w:w="9200"/>
            <w:tcBorders>
              <w:top w:val="single" w:color="BBCFE0" w:sz="1"/>
              <w:left w:val="single" w:color="BBCFE0" w:sz="1"/>
              <w:bottom w:val="single" w:color="BBCFE0" w:sz="1"/>
              <w:right w:val="single" w:color="BBCFE0" w:sz="1"/>
            </w:tcBorders>
            <w:shd w:fill="EAF4FB" w:val="clear"/>
            <w:tcMar>
              <w:top w:type="dxa" w:w="60"/>
              <w:left w:type="dxa" w:w="160"/>
              <w:bottom w:type="dxa" w:w="60"/>
              <w:right w:type="dxa" w:w="160"/>
            </w:tcMar>
          </w:tcPr>
          <w:p>
            <w:r>
              <w:rPr>
                <w:rFonts w:ascii="Arial" w:cs="Arial" w:eastAsia="Arial" w:hAnsi="Arial"/>
                <w:sz w:val="21"/>
                <w:szCs w:val="21"/>
              </w:rPr>
              <w:t xml:space="preserve">Real-Time Pipeline: Extend Prophet forecasting to ingest live disease surveillance data (ICMR API, WHO feeds) for dynamic trend updates.</w:t>
            </w:r>
          </w:p>
        </w:tc>
      </w:tr>
    </w:tbl>
    <w:p>
      <w:pPr>
        <w:spacing w:after="60" w:before="60"/>
      </w:pPr>
      <w:r>
        <w:t xml:space="preserve"/>
      </w:r>
    </w:p>
    <w:p>
      <w:pPr>
        <w:pStyle w:val="Heading2"/>
        <w:spacing w:after="120" w:before="280"/>
      </w:pPr>
      <w:r>
        <w:rPr>
          <w:rFonts w:ascii="Arial" w:cs="Arial" w:eastAsia="Arial" w:hAnsi="Arial"/>
          <w:b/>
          <w:bCs/>
          <w:color w:val="2E86C1"/>
          <w:sz w:val="26"/>
          <w:szCs w:val="26"/>
        </w:rPr>
        <w:t xml:space="preserve">Closing Statement</w:t>
      </w:r>
    </w:p>
    <w:p>
      <w:pPr>
        <w:spacing w:after="120" w:before="80"/>
      </w:pPr>
      <w:r>
        <w:rPr>
          <w:rFonts w:ascii="Arial" w:cs="Arial" w:eastAsia="Arial" w:hAnsi="Arial"/>
          <w:sz w:val="22"/>
          <w:szCs w:val="22"/>
        </w:rPr>
        <w:t xml:space="preserve">This project successfully establishes a proof-of-concept multimodal diagnostic framework for respiratory diseases, validated through structured testing across MAPE (forecasting) and Recall (classification) metrics. The architectural choices — particularly the Prophet-to-XGBoost feature enrichment, the Mel spectrogram audio pipeline, and the decision-level late fusion strategy — are principled, literature-grounded, and extensible. RespiPredict provides a strong foundation for future work toward clinically deployable respiratory disease AI.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6"/>
      </w:pBdr>
      <w:tabs>
        <w:tab w:val="right" w:pos="9026"/>
      </w:tabs>
    </w:pPr>
    <w:r>
      <w:rPr>
        <w:rFonts w:ascii="Arial" w:cs="Arial" w:eastAsia="Arial" w:hAnsi="Arial"/>
        <w:color w:val="AAAAAA"/>
        <w:sz w:val="16"/>
        <w:szCs w:val="16"/>
      </w:rPr>
      <w:t xml:space="preserve">Multimodal ML for Respiratory Disease Prediction</w:t>
    </w:r>
    <w:r>
      <w:rPr>
        <w:rFonts w:ascii="Arial" w:cs="Arial" w:eastAsia="Arial" w:hAnsi="Arial"/>
        <w:sz w:val="16"/>
        <w:szCs w:val="16"/>
      </w:rPr>
      <w:t xml:space="preserve">	</w:t>
    </w:r>
    <w:r>
      <w:rPr>
        <w:rFonts w:ascii="Arial" w:cs="Arial" w:eastAsia="Arial" w:hAnsi="Arial"/>
        <w:b/>
        <w:bCs/>
        <w:color w:val="888888"/>
        <w:sz w:val="16"/>
        <w:szCs w:val="16"/>
      </w:rPr>
      <w:t xml:space="preserve">RespiPredict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tabs>
        <w:tab w:val="right" w:pos="9026"/>
      </w:tabs>
    </w:pPr>
    <w:r>
      <w:rPr>
        <w:rFonts w:ascii="Arial" w:cs="Arial" w:eastAsia="Arial" w:hAnsi="Arial"/>
        <w:color w:val="888888"/>
        <w:sz w:val="18"/>
        <w:szCs w:val="18"/>
      </w:rPr>
      <w:t xml:space="preserve">RespiPredict — Review-II Supplementary Sections</w:t>
    </w:r>
    <w:r>
      <w:rPr>
        <w:rFonts w:ascii="Arial" w:cs="Arial" w:eastAsia="Arial" w:hAnsi="Arial"/>
        <w:sz w:val="18"/>
        <w:szCs w:val="18"/>
      </w:rPr>
      <w:t xml:space="preserve">	</w:t>
    </w:r>
    <w:r>
      <w:rPr>
        <w:rFonts w:ascii="Arial" w:cs="Arial" w:eastAsia="Arial" w:hAnsi="Arial"/>
        <w:color w:val="AAAAAA"/>
        <w:sz w:val="18"/>
        <w:szCs w:val="18"/>
      </w:rPr>
      <w:t xml:space="preserve">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8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1041c6b912349d3afd1c0e90d0cf8bf6541320.png"/><Relationship Id="rId10" Type="http://schemas.openxmlformats.org/officeDocument/2006/relationships/image" Target="media/a7deef584af6e4023ef158210b2dd70db8d65e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2026-06-07T16:13:24.055Z</dcterms:created>
  <dcterms:modified xsi:type="dcterms:W3CDTF">2026-06-07T16:13:24.065Z</dcterms:modified>
</cp:coreProperties>
</file>

<file path=docProps/custom.xml><?xml version="1.0" encoding="utf-8"?>
<Properties xmlns="http://schemas.openxmlformats.org/officeDocument/2006/custom-properties" xmlns:vt="http://schemas.openxmlformats.org/officeDocument/2006/docPropsVTypes"/>
</file>