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2761"/>
          <w:sz w:val="40"/>
          <w:szCs w:val="40"/>
        </w:rPr>
        <w:t xml:space="preserve">SMIA — Weekly Intelligence Digest</w:t>
      </w:r>
    </w:p>
    <w:p>
      <w:pPr>
        <w:spacing w:after="160"/>
      </w:pPr>
      <w:r>
        <w:rPr>
          <w:rFonts w:ascii="Calibri" w:cs="Calibri" w:eastAsia="Calibri" w:hAnsi="Calibri"/>
          <w:color w:val="5B6178"/>
          <w:sz w:val="19"/>
          <w:szCs w:val="19"/>
        </w:rPr>
        <w:t xml:space="preserve">Tenant: fintech_ng  ·  Week ending Sunday 12 July 2026  ·  Delivered to #marketing-intel, Monday 9:02 AM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MOCK-UP — ILLUSTRATIVE DATA. </w:t>
            </w:r>
            <w:r>
              <w:rPr>
                <w:rFonts w:ascii="Calibri" w:cs="Calibri" w:eastAsia="Calibri" w:hAnsi="Calibri"/>
                <w:color w:val="5B6178"/>
                <w:sz w:val="19"/>
                <w:szCs w:val="19"/>
              </w:rPr>
              <w:t xml:space="preserve">Competitors and numbers below are fictional, shown to demonstrate the exact shape of the weekly deliverable. Real digests are generated from observed posts, and every figure traces to source data.</w:t>
            </w:r>
          </w:p>
        </w:tc>
      </w:tr>
    </w:tbl>
    <w:p>
      <w:pPr>
        <w:spacing w:after="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44"/>
                <w:szCs w:val="44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178"/>
                <w:sz w:val="17"/>
                <w:szCs w:val="17"/>
              </w:rPr>
              <w:t xml:space="preserve">posts observed this week</w:t>
            </w:r>
          </w:p>
        </w:tc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44"/>
                <w:szCs w:val="44"/>
              </w:rPr>
              <w:t xml:space="preserve">58%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178"/>
                <w:sz w:val="17"/>
                <w:szCs w:val="17"/>
              </w:rPr>
              <w:t xml:space="preserve">of the set's posts were short video</w:t>
            </w:r>
          </w:p>
        </w:tc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44"/>
                <w:szCs w:val="44"/>
              </w:rPr>
              <w:t xml:space="preserve">4.1×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178"/>
                <w:sz w:val="17"/>
                <w:szCs w:val="17"/>
              </w:rPr>
              <w:t xml:space="preserve">best post vs. its account's normal</w:t>
            </w:r>
          </w:p>
        </w:tc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44"/>
                <w:szCs w:val="4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178"/>
                <w:sz w:val="17"/>
                <w:szCs w:val="17"/>
              </w:rPr>
              <w:t xml:space="preserve">open alerts</w:t>
            </w:r>
          </w:p>
        </w:tc>
      </w:tr>
    </w:tbl>
    <w:p>
      <w:pPr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This week in three lines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22263B"/>
          <w:sz w:val="21"/>
          <w:szCs w:val="21"/>
        </w:rPr>
        <w:t xml:space="preserve">Short video keeps winning: </w:t>
      </w:r>
      <w:r>
        <w:rPr>
          <w:rFonts w:ascii="Calibri" w:cs="Calibri" w:eastAsia="Calibri" w:hAnsi="Calibri"/>
          <w:color w:val="22263B"/>
          <w:sz w:val="21"/>
          <w:szCs w:val="21"/>
        </w:rPr>
        <w:t xml:space="preserve">58% of the set's posts and all three of the week's top performers. Educational tone beat promotional roughly 3-to-1 on engagement.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22263B"/>
          <w:sz w:val="21"/>
          <w:szCs w:val="21"/>
        </w:rPr>
        <w:t xml:space="preserve">PayNova had the post of the week: </w:t>
      </w:r>
      <w:r>
        <w:rPr>
          <w:rFonts w:ascii="Calibri" w:cs="Calibri" w:eastAsia="Calibri" w:hAnsi="Calibri"/>
          <w:color w:val="22263B"/>
          <w:sz w:val="21"/>
          <w:szCs w:val="21"/>
        </w:rPr>
        <w:t xml:space="preserve">a 21-second explainer on transfer fees at 4.1× the account's normal engagement — plain-language cost breakdowns keep over-performing in this vertical.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22263B"/>
          <w:sz w:val="21"/>
          <w:szCs w:val="21"/>
        </w:rPr>
        <w:t xml:space="preserve">CashRail has gone quiet: </w:t>
      </w:r>
      <w:r>
        <w:rPr>
          <w:rFonts w:ascii="Calibri" w:cs="Calibri" w:eastAsia="Calibri" w:hAnsi="Calibri"/>
          <w:color w:val="22263B"/>
          <w:sz w:val="21"/>
          <w:szCs w:val="21"/>
        </w:rPr>
        <w:t xml:space="preserve">2 posts vs. a usual 5 — second consecutive down week. Worth watching for a repositioning or a paused calendar.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Cadence — posts this week (vs. 4-week average)</w:t>
      </w:r>
    </w:p>
    <w:p>
      <w:pPr>
        <w:spacing w:after="100"/>
      </w:pPr>
      <w:r>
        <w:rPr>
          <w:rFonts w:ascii="Calibri" w:cs="Calibri" w:eastAsia="Calibri" w:hAnsi="Calibri"/>
          <w:color w:val="22263B"/>
          <w:sz w:val="21"/>
          <w:szCs w:val="21"/>
        </w:rPr>
        <w:t xml:space="preserve">PayNova 6 (5.2)   ·   Zentra 4 (3.8)   ·   CashRail 2 (5.0, </w:t>
      </w: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down 60%</w:t>
      </w:r>
      <w:r>
        <w:rPr>
          <w:rFonts w:ascii="Calibri" w:cs="Calibri" w:eastAsia="Calibri" w:hAnsi="Calibri"/>
          <w:color w:val="22263B"/>
          <w:sz w:val="21"/>
          <w:szCs w:val="21"/>
        </w:rPr>
        <w:t xml:space="preserve">)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Format mix across the set</w:t>
      </w:r>
    </w:p>
    <w:p>
      <w:pPr>
        <w:spacing w:after="100"/>
      </w:pPr>
      <w:r>
        <w:rPr>
          <w:rFonts w:ascii="Calibri" w:cs="Calibri" w:eastAsia="Calibri" w:hAnsi="Calibri"/>
          <w:color w:val="22263B"/>
          <w:sz w:val="21"/>
          <w:szCs w:val="21"/>
        </w:rPr>
        <w:t xml:space="preserve">Short video 58%  ·  carousel 24%  ·  static image 18%.  Short video is up 12 points on last month — the set is visibly rotating toward it.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Alerts (2)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22263B"/>
          <w:sz w:val="21"/>
          <w:szCs w:val="21"/>
        </w:rPr>
        <w:t xml:space="preserve">Cadence shift — Zentra: </w:t>
      </w:r>
      <w:r>
        <w:rPr>
          <w:rFonts w:ascii="Calibri" w:cs="Calibri" w:eastAsia="Calibri" w:hAnsi="Calibri"/>
          <w:color w:val="22263B"/>
          <w:sz w:val="21"/>
          <w:szCs w:val="21"/>
        </w:rPr>
        <w:t xml:space="preserve">moved to daily carousels on Tuesday, first cadence change in 9 weeks. Pattern resembles a product-launch ramp.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22263B"/>
          <w:sz w:val="21"/>
          <w:szCs w:val="21"/>
        </w:rPr>
        <w:t xml:space="preserve">Engagement spike — PayNova: </w:t>
      </w:r>
      <w:r>
        <w:rPr>
          <w:rFonts w:ascii="Calibri" w:cs="Calibri" w:eastAsia="Calibri" w:hAnsi="Calibri"/>
          <w:color w:val="22263B"/>
          <w:sz w:val="21"/>
          <w:szCs w:val="21"/>
        </w:rPr>
        <w:t xml:space="preserve">the fee-explainer video cleared the account's 28-day baseline by more than 3 standard deviations on day one.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Whitespace watch</w:t>
      </w:r>
    </w:p>
    <w:p>
      <w:pPr>
        <w:spacing w:after="100"/>
      </w:pPr>
      <w:r>
        <w:rPr>
          <w:rFonts w:ascii="Calibri" w:cs="Calibri" w:eastAsia="Calibri" w:hAnsi="Calibri"/>
          <w:color w:val="22263B"/>
          <w:sz w:val="21"/>
          <w:szCs w:val="21"/>
        </w:rPr>
        <w:t xml:space="preserve">Nobody in this set is doing short video on </w:t>
      </w:r>
      <w:r>
        <w:rPr>
          <w:rFonts w:ascii="Calibri" w:cs="Calibri" w:eastAsia="Calibri" w:hAnsi="Calibri"/>
          <w:b/>
          <w:bCs/>
          <w:color w:val="22263B"/>
          <w:sz w:val="21"/>
          <w:szCs w:val="21"/>
        </w:rPr>
        <w:t xml:space="preserve">savings culture</w:t>
      </w:r>
      <w:r>
        <w:rPr>
          <w:rFonts w:ascii="Calibri" w:cs="Calibri" w:eastAsia="Calibri" w:hAnsi="Calibri"/>
          <w:color w:val="22263B"/>
          <w:sz w:val="21"/>
          <w:szCs w:val="21"/>
        </w:rPr>
        <w:t xml:space="preserve"> — the theme appears only as static graphics. In adjacent verticals this theme-format cell runs at ~2.3× normal engagement. Lowest-cost experiment available this month.</w:t>
      </w:r>
    </w:p>
    <w:p>
      <w:pPr>
        <w:pBdr>
          <w:top w:val="single" w:color="D8DEF0" w:sz="4"/>
        </w:pBdr>
        <w:spacing w:after="0" w:before="2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B6178"/>
          <w:sz w:val="18"/>
          <w:szCs w:val="18"/>
        </w:rPr>
        <w:t xml:space="preserve">How to read the numbers: </w:t>
      </w:r>
      <w:r>
        <w:rPr>
          <w:rFonts w:ascii="Calibri" w:cs="Calibri" w:eastAsia="Calibri" w:hAnsi="Calibri"/>
          <w:color w:val="5B6178"/>
          <w:sz w:val="18"/>
          <w:szCs w:val="18"/>
        </w:rPr>
        <w:t xml:space="preserve">engagement is measured relative to each account's own trailing 90-day normal, so big and small accounts compare fairly. Every figure in a live digest traces to observed posts; drafts pass automated fact-checks and human review before delivery.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2026-07-14T17:16:40.672Z</dcterms:created>
  <dcterms:modified xsi:type="dcterms:W3CDTF">2026-07-14T17:16:40.672Z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