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Uma das formas que o professor poderia saber que houve uma troca é por meio de uma nova pesquisa e usando uma comparação de dados. Isso pois há uma diferença na quantidade de alunos que preferem ambas as matérias entre as ilustrações 2 e 3. Enquanto na ilustração 2 há 18 alunos que preferem matemática e 18 que preferem português (ou seja, 50-50, valores fáceis de serem associados), na ilustração 3, 19 preferem português e 17 preferem matemática.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padrão observado é que existem, em cada linha, 2 alunos que preferem uma disciplina e 4 preferem outra. Isso se repete para cada coluna. Dessa forma, basta encontrar o ponto de intersecção que quebra esse padrão: na 5ª linha, 3 pessoas gostam de portugûes, assim como na 5ª coluna. Logo, esse é o ponto onde houve a troca pela quebra de padrões.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caso, o aluno que realizou a troca está localizado na imagem a seguir: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39999" cy="343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999" cy="343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