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c27010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5"/>
          <w:szCs w:val="25"/>
          <w:highlight w:val="white"/>
          <w:rtl w:val="0"/>
        </w:rPr>
        <w:t xml:space="preserve">ATIVIDADE DE DESENVOLVIMENTO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Elabore um algoritmo que solicite o nome e a nota do vestibular aos alunos. Depois, informe quantos deles foram aprovados, de que turma são, qual a maior nota em cada turma e qual aluno teve a maior nota de todas.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Para que o aluno seja aprovado no vestibular, ele deverá obter nota maior ou igual a 7.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1"/>
          <w:szCs w:val="21"/>
          <w:rtl w:val="0"/>
        </w:rPr>
        <w:t xml:space="preserve">ATENÇÃO: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 As notas por turma não podem se repetir.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real nota[], mediaA, mediaB, mediaC, mediaD, maiorMedia, maiorA, maiorB, maiorC, maiorD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caractere aluno[], turma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inteiro 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maiorA &lt;- 0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maiorB &lt;- 0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maiorC &lt;- 0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maiorD &lt;- 0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i de 1 a 100 faca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escreva (“Digite o seu nome: “)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leia (aluno)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escreva (“Digite a sua turma: “)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leia (turma)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escreva (“Digite a sua nota: “)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leia (nota)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escreva (“Digite a sua nota: “)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 (turma[i] = A) então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 (nota[i] &gt; maiorA) então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maiorA &lt;- nota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senão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se (turma[i] = B) então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se (nota[i] &gt; maiorB) então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maiorB &lt;- nota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senão 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se (turma[i] = C) então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se (nota[i] &gt; maiorC) então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maiorC &lt;- nota</w:t>
      </w:r>
    </w:p>
    <w:p w:rsidR="00000000" w:rsidDel="00000000" w:rsidP="00000000" w:rsidRDefault="00000000" w:rsidRPr="00000000" w14:paraId="0000002E">
      <w:pPr>
        <w:ind w:left="1440" w:firstLine="720"/>
        <w:rPr/>
      </w:pPr>
      <w:r w:rsidDel="00000000" w:rsidR="00000000" w:rsidRPr="00000000">
        <w:rPr>
          <w:rtl w:val="0"/>
        </w:rPr>
        <w:t xml:space="preserve">fimse</w:t>
        <w:tab/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 xml:space="preserve">se (nota[i] &gt; maiorD) então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maiorC &lt;- nota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fimpara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(mediaA &gt; mediaB)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mediaA &lt;- maiorMedia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senão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media B &lt;- maiorMedia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senão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se (mediaA &gt; mediaC)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mediaA &lt;- maiorMedia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mediaC &lt;- maiorMedia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senão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se (mediaA &gt; mediaD)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mediaA &lt;- maiorMedia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senão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mediaC &lt;- maiorMedia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escreva (“A maior média é: “, maiorMedia,”do aluno: “, aluno[i], “da turma: “ turma)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