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5254B2" w:rsidP="005254B2">
      <w:pPr>
        <w:jc w:val="center"/>
      </w:pPr>
      <w:r>
        <w:t>An Extra Example</w:t>
      </w:r>
    </w:p>
    <w:p w:rsidR="005254B2" w:rsidRDefault="005254B2" w:rsidP="005254B2">
      <w:r>
        <w:t>Let's say we want to write a proof sequence for the following assertion (this is number 15 in the book)</w:t>
      </w:r>
    </w:p>
    <w:p w:rsidR="005254B2" w:rsidRPr="005254B2" w:rsidRDefault="005254B2" w:rsidP="005254B2">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p→¬q</m:t>
                  </m:r>
                </m:e>
                <m:e>
                  <m:r>
                    <w:rPr>
                      <w:rFonts w:ascii="Cambria Math" w:hAnsi="Cambria Math"/>
                    </w:rPr>
                    <m:t>r→(p∧q)</m:t>
                  </m:r>
                </m:e>
              </m:eqArr>
            </m:e>
          </m:d>
          <m:r>
            <w:rPr>
              <w:rFonts w:ascii="Cambria Math" w:hAnsi="Cambria Math"/>
            </w:rPr>
            <m:t>⇒¬r</m:t>
          </m:r>
        </m:oMath>
      </m:oMathPara>
    </w:p>
    <w:p w:rsidR="005254B2" w:rsidRDefault="005254B2" w:rsidP="005254B2">
      <w:pPr>
        <w:rPr>
          <w:rFonts w:eastAsiaTheme="minorEastAsia"/>
        </w:rPr>
      </w:pPr>
      <w:r>
        <w:rPr>
          <w:rFonts w:eastAsiaTheme="minorEastAsia"/>
        </w:rPr>
        <w:t>I'll build this step-by-step and explain as we go along.  First, we need to write our given statements, which are the ones on the left.</w:t>
      </w:r>
    </w:p>
    <w:tbl>
      <w:tblPr>
        <w:tblStyle w:val="TableGrid"/>
        <w:tblW w:w="0" w:type="auto"/>
        <w:tblLook w:val="04A0" w:firstRow="1" w:lastRow="0" w:firstColumn="1" w:lastColumn="0" w:noHBand="0" w:noVBand="1"/>
      </w:tblPr>
      <w:tblGrid>
        <w:gridCol w:w="4788"/>
        <w:gridCol w:w="4788"/>
      </w:tblGrid>
      <w:tr w:rsidR="005A27DD" w:rsidTr="005A27DD">
        <w:tc>
          <w:tcPr>
            <w:tcW w:w="4788" w:type="dxa"/>
          </w:tcPr>
          <w:p w:rsidR="005A27DD" w:rsidRDefault="005A27DD" w:rsidP="005A27DD">
            <w:pPr>
              <w:jc w:val="center"/>
            </w:pPr>
            <w:r>
              <w:t>Statements</w:t>
            </w:r>
          </w:p>
        </w:tc>
        <w:tc>
          <w:tcPr>
            <w:tcW w:w="4788" w:type="dxa"/>
          </w:tcPr>
          <w:p w:rsidR="005A27DD" w:rsidRDefault="005A27DD" w:rsidP="005A27DD">
            <w:pPr>
              <w:jc w:val="center"/>
            </w:pPr>
            <w:r>
              <w:t>Reasons</w:t>
            </w:r>
          </w:p>
        </w:tc>
      </w:tr>
      <w:tr w:rsidR="005A27DD" w:rsidTr="005A27DD">
        <w:tc>
          <w:tcPr>
            <w:tcW w:w="4788" w:type="dxa"/>
          </w:tcPr>
          <w:p w:rsidR="005A27DD" w:rsidRDefault="005A27DD" w:rsidP="005A27DD">
            <w:pPr>
              <w:pStyle w:val="ListParagraph"/>
              <w:numPr>
                <w:ilvl w:val="0"/>
                <w:numId w:val="1"/>
              </w:numPr>
              <w:jc w:val="center"/>
            </w:pPr>
            <m:oMath>
              <m:r>
                <w:rPr>
                  <w:rFonts w:ascii="Cambria Math" w:hAnsi="Cambria Math"/>
                </w:rPr>
                <m:t>p→¬q</m:t>
              </m:r>
            </m:oMath>
          </w:p>
        </w:tc>
        <w:tc>
          <w:tcPr>
            <w:tcW w:w="4788" w:type="dxa"/>
          </w:tcPr>
          <w:p w:rsidR="005A27DD" w:rsidRDefault="005A27DD" w:rsidP="005A27DD">
            <w:pPr>
              <w:jc w:val="center"/>
            </w:pPr>
            <w:r>
              <w:t>Given</w:t>
            </w:r>
          </w:p>
        </w:tc>
      </w:tr>
      <w:tr w:rsidR="005A27DD" w:rsidTr="005A27DD">
        <w:tc>
          <w:tcPr>
            <w:tcW w:w="4788" w:type="dxa"/>
          </w:tcPr>
          <w:p w:rsidR="005A27DD" w:rsidRDefault="005A27DD" w:rsidP="005A27DD">
            <w:pPr>
              <w:pStyle w:val="ListParagraph"/>
              <w:numPr>
                <w:ilvl w:val="0"/>
                <w:numId w:val="1"/>
              </w:numPr>
              <w:jc w:val="center"/>
            </w:pPr>
            <m:oMath>
              <m:r>
                <w:rPr>
                  <w:rFonts w:ascii="Cambria Math" w:hAnsi="Cambria Math"/>
                </w:rPr>
                <m:t>r→(p∧q)</m:t>
              </m:r>
            </m:oMath>
          </w:p>
        </w:tc>
        <w:tc>
          <w:tcPr>
            <w:tcW w:w="4788" w:type="dxa"/>
          </w:tcPr>
          <w:p w:rsidR="005A27DD" w:rsidRDefault="005A27DD" w:rsidP="005A27DD">
            <w:pPr>
              <w:jc w:val="center"/>
            </w:pPr>
            <w:r>
              <w:t xml:space="preserve">Given </w:t>
            </w:r>
          </w:p>
        </w:tc>
      </w:tr>
    </w:tbl>
    <w:p w:rsidR="005254B2" w:rsidRDefault="005254B2" w:rsidP="005254B2"/>
    <w:p w:rsidR="005A27DD" w:rsidRDefault="005A27DD" w:rsidP="005254B2">
      <w:pPr>
        <w:rPr>
          <w:rFonts w:eastAsiaTheme="minorEastAsia"/>
        </w:rPr>
      </w:pPr>
      <w:r>
        <w:t xml:space="preserve">Now our job is to figure out how we can use the ten rules from this section with this two statements to end up </w:t>
      </w:r>
      <w:proofErr w:type="gramStart"/>
      <w:r>
        <w:t xml:space="preserve">with </w:t>
      </w:r>
      <w:proofErr w:type="gramEnd"/>
      <m:oMath>
        <m:r>
          <w:rPr>
            <w:rFonts w:ascii="Cambria Math" w:hAnsi="Cambria Math"/>
          </w:rPr>
          <m:t>¬r</m:t>
        </m:r>
      </m:oMath>
      <w:r>
        <w:rPr>
          <w:rFonts w:eastAsiaTheme="minorEastAsia"/>
        </w:rPr>
        <w:t xml:space="preserve">.  The best approach is to look through the list of rules and see if any of them look similar to either of our two statements.  </w:t>
      </w:r>
      <w:proofErr w:type="gramStart"/>
      <w:r>
        <w:rPr>
          <w:rFonts w:eastAsiaTheme="minorEastAsia"/>
        </w:rPr>
        <w:t>Especially the first statement.</w:t>
      </w:r>
      <w:proofErr w:type="gramEnd"/>
      <w:r>
        <w:rPr>
          <w:rFonts w:eastAsiaTheme="minorEastAsia"/>
        </w:rPr>
        <w:t xml:space="preserve">  Since it doesn't include "r" and our final answer does include "r", this means statement 1 is probably a stepping stone to the final answer, but not the last step.  </w:t>
      </w:r>
    </w:p>
    <w:p w:rsidR="005A27DD" w:rsidRDefault="005A27DD" w:rsidP="005254B2">
      <w:pPr>
        <w:rPr>
          <w:rFonts w:eastAsiaTheme="minorEastAsia"/>
        </w:rPr>
      </w:pPr>
      <w:r>
        <w:rPr>
          <w:rFonts w:eastAsiaTheme="minorEastAsia"/>
        </w:rPr>
        <w:t xml:space="preserve">Looking at the rules, implication jumps out at me as a good candidate.  (It has </w:t>
      </w:r>
      <w:r w:rsidR="000E1470">
        <w:rPr>
          <w:rFonts w:eastAsiaTheme="minorEastAsia"/>
        </w:rPr>
        <w:t xml:space="preserve">an arrow).  Sometimes students get mixed up on how to apply a rule, so I find </w:t>
      </w:r>
      <w:proofErr w:type="gramStart"/>
      <w:r w:rsidR="000E1470">
        <w:rPr>
          <w:rFonts w:eastAsiaTheme="minorEastAsia"/>
        </w:rPr>
        <w:t>its</w:t>
      </w:r>
      <w:proofErr w:type="gramEnd"/>
      <w:r w:rsidR="000E1470">
        <w:rPr>
          <w:rFonts w:eastAsiaTheme="minorEastAsia"/>
        </w:rPr>
        <w:t xml:space="preserve"> helpful to write the rule side-by-side with our statement and makes the changes accordingly.  </w:t>
      </w:r>
    </w:p>
    <w:p w:rsidR="000E1470" w:rsidRDefault="000E1470" w:rsidP="005254B2">
      <w:pPr>
        <w:rPr>
          <w:rFonts w:eastAsiaTheme="minorEastAsia"/>
        </w:rPr>
      </w:pPr>
      <w:r>
        <w:rPr>
          <w:rFonts w:eastAsiaTheme="minorEastAsia"/>
        </w:rPr>
        <w:t xml:space="preserve">Implication says if you have </w:t>
      </w:r>
      <m:oMath>
        <m:r>
          <w:rPr>
            <w:rFonts w:ascii="Cambria Math" w:eastAsiaTheme="minorEastAsia" w:hAnsi="Cambria Math"/>
          </w:rPr>
          <m:t>p→q</m:t>
        </m:r>
      </m:oMath>
      <w:r>
        <w:rPr>
          <w:rFonts w:eastAsiaTheme="minorEastAsia"/>
        </w:rPr>
        <w:t xml:space="preserve">  that is </w:t>
      </w:r>
      <w:proofErr w:type="gramStart"/>
      <w:r>
        <w:rPr>
          <w:rFonts w:eastAsiaTheme="minorEastAsia"/>
        </w:rPr>
        <w:t xml:space="preserve">becomes </w:t>
      </w:r>
      <w:proofErr w:type="gramEnd"/>
      <m:oMath>
        <m:r>
          <w:rPr>
            <w:rFonts w:ascii="Cambria Math" w:eastAsiaTheme="minorEastAsia" w:hAnsi="Cambria Math"/>
          </w:rPr>
          <m:t>¬p∨q</m:t>
        </m:r>
      </m:oMath>
      <w:r>
        <w:rPr>
          <w:rFonts w:eastAsiaTheme="minorEastAsia"/>
        </w:rPr>
        <w:t xml:space="preserve">.  So the change is that the first statement adds </w:t>
      </w:r>
      <w:proofErr w:type="gramStart"/>
      <w:r>
        <w:rPr>
          <w:rFonts w:eastAsiaTheme="minorEastAsia"/>
        </w:rPr>
        <w:t xml:space="preserve">a </w:t>
      </w:r>
      <m:oMath>
        <m:r>
          <w:rPr>
            <w:rFonts w:ascii="Cambria Math" w:eastAsiaTheme="minorEastAsia" w:hAnsi="Cambria Math"/>
          </w:rPr>
          <m:t>¬</m:t>
        </m:r>
      </m:oMath>
      <w:r>
        <w:rPr>
          <w:rFonts w:eastAsiaTheme="minorEastAsia"/>
        </w:rPr>
        <w:t xml:space="preserve"> to</w:t>
      </w:r>
      <w:proofErr w:type="gramEnd"/>
      <w:r>
        <w:rPr>
          <w:rFonts w:eastAsiaTheme="minorEastAsia"/>
        </w:rPr>
        <w:t xml:space="preserve"> it, the arrow becomes a </w:t>
      </w:r>
      <m:oMath>
        <m:r>
          <w:rPr>
            <w:rFonts w:ascii="Cambria Math" w:eastAsiaTheme="minorEastAsia" w:hAnsi="Cambria Math"/>
          </w:rPr>
          <m:t>∨</m:t>
        </m:r>
      </m:oMath>
      <w:r>
        <w:rPr>
          <w:rFonts w:eastAsiaTheme="minorEastAsia"/>
        </w:rPr>
        <w:t xml:space="preserve"> and nothing happens to the last letter.  </w:t>
      </w:r>
    </w:p>
    <w:p w:rsidR="000E1470" w:rsidRDefault="000E1470" w:rsidP="005254B2">
      <w:pPr>
        <w:rPr>
          <w:rFonts w:eastAsiaTheme="minorEastAsia"/>
        </w:rPr>
      </w:pPr>
      <w:r>
        <w:rPr>
          <w:rFonts w:eastAsiaTheme="minorEastAsia"/>
        </w:rPr>
        <w:t xml:space="preserve">Our statement is </w:t>
      </w:r>
      <m:oMath>
        <m:r>
          <w:rPr>
            <w:rFonts w:ascii="Cambria Math" w:eastAsiaTheme="minorEastAsia" w:hAnsi="Cambria Math"/>
          </w:rPr>
          <m:t>p→¬q</m:t>
        </m:r>
      </m:oMath>
      <w:r>
        <w:rPr>
          <w:rFonts w:eastAsiaTheme="minorEastAsia"/>
        </w:rPr>
        <w:t xml:space="preserve"> so it should </w:t>
      </w:r>
      <w:proofErr w:type="gramStart"/>
      <w:r>
        <w:rPr>
          <w:rFonts w:eastAsiaTheme="minorEastAsia"/>
        </w:rPr>
        <w:t xml:space="preserve">become </w:t>
      </w:r>
      <w:proofErr w:type="gramEnd"/>
      <m:oMath>
        <m:r>
          <w:rPr>
            <w:rFonts w:ascii="Cambria Math" w:eastAsiaTheme="minorEastAsia" w:hAnsi="Cambria Math"/>
          </w:rPr>
          <m:t>¬p∨¬q</m:t>
        </m:r>
      </m:oMath>
      <w:r>
        <w:rPr>
          <w:rFonts w:eastAsiaTheme="minorEastAsia"/>
        </w:rPr>
        <w:t xml:space="preserve">.  </w:t>
      </w:r>
      <w:r w:rsidR="00516665">
        <w:rPr>
          <w:rFonts w:eastAsiaTheme="minorEastAsia"/>
        </w:rPr>
        <w:t xml:space="preserve">  So we'll add that to our table, citing the implication rule and line 1 since that's the line we applied the rule to.</w:t>
      </w:r>
    </w:p>
    <w:tbl>
      <w:tblPr>
        <w:tblStyle w:val="TableGrid"/>
        <w:tblW w:w="0" w:type="auto"/>
        <w:tblLook w:val="04A0" w:firstRow="1" w:lastRow="0" w:firstColumn="1" w:lastColumn="0" w:noHBand="0" w:noVBand="1"/>
      </w:tblPr>
      <w:tblGrid>
        <w:gridCol w:w="4788"/>
        <w:gridCol w:w="4788"/>
      </w:tblGrid>
      <w:tr w:rsidR="000E1470" w:rsidTr="00E346C8">
        <w:tc>
          <w:tcPr>
            <w:tcW w:w="4788" w:type="dxa"/>
          </w:tcPr>
          <w:p w:rsidR="000E1470" w:rsidRDefault="000E1470" w:rsidP="00E346C8">
            <w:pPr>
              <w:jc w:val="center"/>
            </w:pPr>
            <w:r>
              <w:t>Statements</w:t>
            </w:r>
          </w:p>
        </w:tc>
        <w:tc>
          <w:tcPr>
            <w:tcW w:w="4788" w:type="dxa"/>
          </w:tcPr>
          <w:p w:rsidR="000E1470" w:rsidRDefault="000E1470" w:rsidP="00E346C8">
            <w:pPr>
              <w:jc w:val="center"/>
            </w:pPr>
            <w:r>
              <w:t>Reasons</w:t>
            </w:r>
          </w:p>
        </w:tc>
      </w:tr>
      <w:tr w:rsidR="000E1470" w:rsidTr="00E346C8">
        <w:tc>
          <w:tcPr>
            <w:tcW w:w="4788" w:type="dxa"/>
          </w:tcPr>
          <w:p w:rsidR="000E1470" w:rsidRDefault="000E1470" w:rsidP="000E1470">
            <w:pPr>
              <w:pStyle w:val="ListParagraph"/>
              <w:numPr>
                <w:ilvl w:val="0"/>
                <w:numId w:val="2"/>
              </w:numPr>
              <w:jc w:val="center"/>
            </w:pPr>
            <m:oMath>
              <m:r>
                <w:rPr>
                  <w:rFonts w:ascii="Cambria Math" w:hAnsi="Cambria Math"/>
                </w:rPr>
                <m:t>p→¬q</m:t>
              </m:r>
            </m:oMath>
          </w:p>
        </w:tc>
        <w:tc>
          <w:tcPr>
            <w:tcW w:w="4788" w:type="dxa"/>
          </w:tcPr>
          <w:p w:rsidR="000E1470" w:rsidRDefault="000E1470" w:rsidP="00E346C8">
            <w:pPr>
              <w:jc w:val="center"/>
            </w:pPr>
            <w:r>
              <w:t>Given</w:t>
            </w:r>
          </w:p>
        </w:tc>
      </w:tr>
      <w:tr w:rsidR="000E1470" w:rsidTr="00E346C8">
        <w:tc>
          <w:tcPr>
            <w:tcW w:w="4788" w:type="dxa"/>
          </w:tcPr>
          <w:p w:rsidR="000E1470" w:rsidRDefault="000E1470" w:rsidP="000E1470">
            <w:pPr>
              <w:pStyle w:val="ListParagraph"/>
              <w:numPr>
                <w:ilvl w:val="0"/>
                <w:numId w:val="2"/>
              </w:numPr>
              <w:jc w:val="center"/>
            </w:pPr>
            <m:oMath>
              <m:r>
                <w:rPr>
                  <w:rFonts w:ascii="Cambria Math" w:hAnsi="Cambria Math"/>
                </w:rPr>
                <m:t>r→(p∧q)</m:t>
              </m:r>
            </m:oMath>
          </w:p>
        </w:tc>
        <w:tc>
          <w:tcPr>
            <w:tcW w:w="4788" w:type="dxa"/>
          </w:tcPr>
          <w:p w:rsidR="000E1470" w:rsidRDefault="000E1470" w:rsidP="00E346C8">
            <w:pPr>
              <w:jc w:val="center"/>
            </w:pPr>
            <w:r>
              <w:t xml:space="preserve">Given </w:t>
            </w:r>
          </w:p>
        </w:tc>
      </w:tr>
      <w:tr w:rsidR="000E1470" w:rsidTr="00E346C8">
        <w:tc>
          <w:tcPr>
            <w:tcW w:w="4788" w:type="dxa"/>
          </w:tcPr>
          <w:p w:rsidR="000E1470" w:rsidRDefault="00516665" w:rsidP="00516665">
            <w:pPr>
              <w:pStyle w:val="ListParagraph"/>
              <w:numPr>
                <w:ilvl w:val="0"/>
                <w:numId w:val="2"/>
              </w:numPr>
              <w:jc w:val="center"/>
              <w:rPr>
                <w:rFonts w:ascii="Calibri" w:eastAsia="Calibri" w:hAnsi="Calibri" w:cs="Times New Roman"/>
              </w:rPr>
            </w:pPr>
            <m:oMath>
              <m:r>
                <w:rPr>
                  <w:rFonts w:ascii="Cambria Math" w:eastAsia="Calibri" w:hAnsi="Cambria Math" w:cs="Times New Roman"/>
                </w:rPr>
                <m:t>¬p∨¬q</m:t>
              </m:r>
            </m:oMath>
          </w:p>
        </w:tc>
        <w:tc>
          <w:tcPr>
            <w:tcW w:w="4788" w:type="dxa"/>
          </w:tcPr>
          <w:p w:rsidR="000E1470" w:rsidRDefault="00516665" w:rsidP="00E346C8">
            <w:pPr>
              <w:jc w:val="center"/>
            </w:pPr>
            <w:r>
              <w:t>Implication, 1</w:t>
            </w:r>
          </w:p>
        </w:tc>
      </w:tr>
    </w:tbl>
    <w:p w:rsidR="000E1470" w:rsidRDefault="000E1470" w:rsidP="005254B2"/>
    <w:p w:rsidR="00516665" w:rsidRDefault="00516665" w:rsidP="005254B2">
      <w:pPr>
        <w:rPr>
          <w:rFonts w:eastAsiaTheme="minorEastAsia"/>
        </w:rPr>
      </w:pPr>
      <w:r>
        <w:t xml:space="preserve">Moving forward, let's see if any of the 10 rules can be applied to line 3 (our new guy).  Right away, </w:t>
      </w:r>
      <w:proofErr w:type="spellStart"/>
      <w:r>
        <w:t>demorgan's</w:t>
      </w:r>
      <w:proofErr w:type="spellEnd"/>
      <w:r>
        <w:t xml:space="preserve"> law should jump out at you, as our line shows up identically in the rule.  The rule states we can rewrite </w:t>
      </w:r>
      <m:oMath>
        <m:r>
          <w:rPr>
            <w:rFonts w:ascii="Cambria Math" w:hAnsi="Cambria Math"/>
          </w:rPr>
          <m:t>¬p∨¬q</m:t>
        </m:r>
      </m:oMath>
      <w:r>
        <w:rPr>
          <w:rFonts w:eastAsiaTheme="minorEastAsia"/>
        </w:rPr>
        <w:t xml:space="preserve">  </w:t>
      </w:r>
      <w:proofErr w:type="gramStart"/>
      <w:r>
        <w:rPr>
          <w:rFonts w:eastAsiaTheme="minorEastAsia"/>
        </w:rPr>
        <w:t xml:space="preserve">as </w:t>
      </w:r>
      <w:proofErr w:type="gramEnd"/>
      <m:oMath>
        <m:r>
          <w:rPr>
            <w:rFonts w:ascii="Cambria Math" w:eastAsiaTheme="minorEastAsia" w:hAnsi="Cambria Math"/>
          </w:rPr>
          <m:t>¬(p∧q)</m:t>
        </m:r>
      </m:oMath>
      <w:r>
        <w:rPr>
          <w:rFonts w:eastAsiaTheme="minorEastAsia"/>
        </w:rPr>
        <w:t>.  So we'll do that.</w:t>
      </w:r>
    </w:p>
    <w:tbl>
      <w:tblPr>
        <w:tblStyle w:val="TableGrid"/>
        <w:tblW w:w="0" w:type="auto"/>
        <w:tblLook w:val="04A0" w:firstRow="1" w:lastRow="0" w:firstColumn="1" w:lastColumn="0" w:noHBand="0" w:noVBand="1"/>
      </w:tblPr>
      <w:tblGrid>
        <w:gridCol w:w="4788"/>
        <w:gridCol w:w="4788"/>
      </w:tblGrid>
      <w:tr w:rsidR="00516665" w:rsidTr="00E346C8">
        <w:tc>
          <w:tcPr>
            <w:tcW w:w="4788" w:type="dxa"/>
          </w:tcPr>
          <w:p w:rsidR="00516665" w:rsidRDefault="00516665" w:rsidP="00E346C8">
            <w:pPr>
              <w:jc w:val="center"/>
            </w:pPr>
            <w:r>
              <w:t>Statements</w:t>
            </w:r>
          </w:p>
        </w:tc>
        <w:tc>
          <w:tcPr>
            <w:tcW w:w="4788" w:type="dxa"/>
          </w:tcPr>
          <w:p w:rsidR="00516665" w:rsidRDefault="00516665" w:rsidP="00E346C8">
            <w:pPr>
              <w:jc w:val="center"/>
            </w:pPr>
            <w:r>
              <w:t>Reasons</w:t>
            </w:r>
          </w:p>
        </w:tc>
      </w:tr>
      <w:tr w:rsidR="00516665" w:rsidTr="00E346C8">
        <w:tc>
          <w:tcPr>
            <w:tcW w:w="4788" w:type="dxa"/>
          </w:tcPr>
          <w:p w:rsidR="00516665" w:rsidRDefault="00516665" w:rsidP="00516665">
            <w:pPr>
              <w:pStyle w:val="ListParagraph"/>
              <w:numPr>
                <w:ilvl w:val="0"/>
                <w:numId w:val="3"/>
              </w:numPr>
              <w:jc w:val="center"/>
            </w:pPr>
            <m:oMath>
              <m:r>
                <w:rPr>
                  <w:rFonts w:ascii="Cambria Math" w:hAnsi="Cambria Math"/>
                </w:rPr>
                <m:t>p→¬q</m:t>
              </m:r>
            </m:oMath>
          </w:p>
        </w:tc>
        <w:tc>
          <w:tcPr>
            <w:tcW w:w="4788" w:type="dxa"/>
          </w:tcPr>
          <w:p w:rsidR="00516665" w:rsidRDefault="00516665" w:rsidP="00E346C8">
            <w:pPr>
              <w:jc w:val="center"/>
            </w:pPr>
            <w:r>
              <w:t>Given</w:t>
            </w:r>
          </w:p>
        </w:tc>
      </w:tr>
      <w:tr w:rsidR="00516665" w:rsidTr="00E346C8">
        <w:tc>
          <w:tcPr>
            <w:tcW w:w="4788" w:type="dxa"/>
          </w:tcPr>
          <w:p w:rsidR="00516665" w:rsidRDefault="00516665" w:rsidP="00516665">
            <w:pPr>
              <w:pStyle w:val="ListParagraph"/>
              <w:numPr>
                <w:ilvl w:val="0"/>
                <w:numId w:val="3"/>
              </w:numPr>
              <w:jc w:val="center"/>
            </w:pPr>
            <m:oMath>
              <m:r>
                <w:rPr>
                  <w:rFonts w:ascii="Cambria Math" w:hAnsi="Cambria Math"/>
                </w:rPr>
                <m:t>r→(p∧q)</m:t>
              </m:r>
            </m:oMath>
          </w:p>
        </w:tc>
        <w:tc>
          <w:tcPr>
            <w:tcW w:w="4788" w:type="dxa"/>
          </w:tcPr>
          <w:p w:rsidR="00516665" w:rsidRDefault="00516665" w:rsidP="00E346C8">
            <w:pPr>
              <w:jc w:val="center"/>
            </w:pPr>
            <w:r>
              <w:t xml:space="preserve">Given </w:t>
            </w:r>
          </w:p>
        </w:tc>
      </w:tr>
      <w:tr w:rsidR="00516665" w:rsidTr="00E346C8">
        <w:tc>
          <w:tcPr>
            <w:tcW w:w="4788" w:type="dxa"/>
          </w:tcPr>
          <w:p w:rsidR="00516665" w:rsidRDefault="00516665" w:rsidP="00516665">
            <w:pPr>
              <w:pStyle w:val="ListParagraph"/>
              <w:numPr>
                <w:ilvl w:val="0"/>
                <w:numId w:val="3"/>
              </w:numPr>
              <w:jc w:val="center"/>
              <w:rPr>
                <w:rFonts w:ascii="Calibri" w:eastAsia="Calibri" w:hAnsi="Calibri" w:cs="Times New Roman"/>
              </w:rPr>
            </w:pPr>
            <m:oMath>
              <m:r>
                <w:rPr>
                  <w:rFonts w:ascii="Cambria Math" w:eastAsia="Calibri" w:hAnsi="Cambria Math" w:cs="Times New Roman"/>
                </w:rPr>
                <m:t>¬p∨¬q</m:t>
              </m:r>
            </m:oMath>
          </w:p>
        </w:tc>
        <w:tc>
          <w:tcPr>
            <w:tcW w:w="4788" w:type="dxa"/>
          </w:tcPr>
          <w:p w:rsidR="00516665" w:rsidRDefault="00516665" w:rsidP="00E346C8">
            <w:pPr>
              <w:jc w:val="center"/>
            </w:pPr>
            <w:r>
              <w:t>Implication, 1</w:t>
            </w:r>
          </w:p>
        </w:tc>
      </w:tr>
      <w:tr w:rsidR="00516665" w:rsidTr="00E346C8">
        <w:tc>
          <w:tcPr>
            <w:tcW w:w="4788" w:type="dxa"/>
          </w:tcPr>
          <w:p w:rsidR="00516665" w:rsidRDefault="00516665" w:rsidP="00516665">
            <w:pPr>
              <w:pStyle w:val="ListParagraph"/>
              <w:numPr>
                <w:ilvl w:val="0"/>
                <w:numId w:val="3"/>
              </w:numPr>
              <w:jc w:val="center"/>
              <w:rPr>
                <w:rFonts w:ascii="Calibri" w:eastAsia="Calibri" w:hAnsi="Calibri" w:cs="Times New Roman"/>
              </w:rPr>
            </w:pPr>
            <m:oMath>
              <m:r>
                <w:rPr>
                  <w:rFonts w:ascii="Cambria Math" w:eastAsia="Calibri" w:hAnsi="Cambria Math" w:cs="Times New Roman"/>
                </w:rPr>
                <m:t>¬(p∧q)</m:t>
              </m:r>
            </m:oMath>
          </w:p>
        </w:tc>
        <w:tc>
          <w:tcPr>
            <w:tcW w:w="4788" w:type="dxa"/>
          </w:tcPr>
          <w:p w:rsidR="00516665" w:rsidRDefault="00516665" w:rsidP="00E346C8">
            <w:pPr>
              <w:jc w:val="center"/>
            </w:pPr>
            <w:proofErr w:type="spellStart"/>
            <w:r>
              <w:t>Demorgan's</w:t>
            </w:r>
            <w:proofErr w:type="spellEnd"/>
            <w:r>
              <w:t xml:space="preserve"> Law, 3</w:t>
            </w:r>
          </w:p>
        </w:tc>
      </w:tr>
    </w:tbl>
    <w:p w:rsidR="00516665" w:rsidRDefault="00516665" w:rsidP="005254B2"/>
    <w:p w:rsidR="00516665" w:rsidRDefault="00516665" w:rsidP="005254B2">
      <w:r>
        <w:lastRenderedPageBreak/>
        <w:t>We're almost to the end.  Because now lines 4 and 2 have something in common, which usually means we can combine them in some way.  So start looking through the Inference rules.  What we have looks very similar to modus Tollens.  I'll list the rule and our statements to show how.</w:t>
      </w:r>
    </w:p>
    <w:p w:rsidR="00516665" w:rsidRDefault="00516665" w:rsidP="005254B2">
      <w:pPr>
        <w:rPr>
          <w:rFonts w:eastAsiaTheme="minorEastAsia"/>
        </w:rPr>
      </w:pPr>
      <w:r>
        <w:t xml:space="preserve">Modus Tollens says if you have </w:t>
      </w:r>
      <m:oMath>
        <m:r>
          <w:rPr>
            <w:rFonts w:ascii="Cambria Math" w:hAnsi="Cambria Math"/>
          </w:rPr>
          <m:t>¬q</m:t>
        </m:r>
      </m:oMath>
      <w:r>
        <w:rPr>
          <w:rFonts w:eastAsiaTheme="minorEastAsia"/>
        </w:rPr>
        <w:t xml:space="preserve">  and </w:t>
      </w:r>
      <m:oMath>
        <m:r>
          <w:rPr>
            <w:rFonts w:ascii="Cambria Math" w:eastAsiaTheme="minorEastAsia" w:hAnsi="Cambria Math"/>
          </w:rPr>
          <m:t>p→¬q</m:t>
        </m:r>
      </m:oMath>
      <w:r>
        <w:rPr>
          <w:rFonts w:eastAsiaTheme="minorEastAsia"/>
        </w:rPr>
        <w:t xml:space="preserve">  then you can </w:t>
      </w:r>
      <w:proofErr w:type="gramStart"/>
      <w:r>
        <w:rPr>
          <w:rFonts w:eastAsiaTheme="minorEastAsia"/>
        </w:rPr>
        <w:t xml:space="preserve">say </w:t>
      </w:r>
      <w:proofErr w:type="gramEnd"/>
      <m:oMath>
        <m:r>
          <w:rPr>
            <w:rFonts w:ascii="Cambria Math" w:eastAsiaTheme="minorEastAsia" w:hAnsi="Cambria Math"/>
          </w:rPr>
          <m:t>¬p</m:t>
        </m:r>
      </m:oMath>
      <w:r>
        <w:rPr>
          <w:rFonts w:eastAsiaTheme="minorEastAsia"/>
        </w:rPr>
        <w:t xml:space="preserve">.  </w:t>
      </w:r>
    </w:p>
    <w:p w:rsidR="00516665" w:rsidRDefault="00516665" w:rsidP="005254B2">
      <w:pPr>
        <w:rPr>
          <w:rFonts w:eastAsiaTheme="minorEastAsia"/>
        </w:rPr>
      </w:pPr>
      <w:r>
        <w:rPr>
          <w:rFonts w:eastAsiaTheme="minorEastAsia"/>
        </w:rPr>
        <w:t xml:space="preserve">Compare that to </w:t>
      </w:r>
      <m:oMath>
        <m:r>
          <w:rPr>
            <w:rFonts w:ascii="Cambria Math" w:eastAsiaTheme="minorEastAsia" w:hAnsi="Cambria Math"/>
          </w:rPr>
          <m:t>¬(p∧q)</m:t>
        </m:r>
      </m:oMath>
      <w:r>
        <w:rPr>
          <w:rFonts w:eastAsiaTheme="minorEastAsia"/>
        </w:rPr>
        <w:t xml:space="preserve"> and </w:t>
      </w:r>
      <m:oMath>
        <m:r>
          <w:rPr>
            <w:rFonts w:ascii="Cambria Math" w:eastAsiaTheme="minorEastAsia" w:hAnsi="Cambria Math"/>
          </w:rPr>
          <m:t>r→(p∧q)</m:t>
        </m:r>
      </m:oMath>
      <w:r>
        <w:rPr>
          <w:rFonts w:eastAsiaTheme="minorEastAsia"/>
        </w:rPr>
        <w:t xml:space="preserve">  the structures line up.  So this rule says we should be able to </w:t>
      </w:r>
      <w:proofErr w:type="gramStart"/>
      <w:r>
        <w:rPr>
          <w:rFonts w:eastAsiaTheme="minorEastAsia"/>
        </w:rPr>
        <w:t xml:space="preserve">conclude </w:t>
      </w:r>
      <w:proofErr w:type="gramEnd"/>
      <m:oMath>
        <m:r>
          <w:rPr>
            <w:rFonts w:ascii="Cambria Math" w:eastAsiaTheme="minorEastAsia" w:hAnsi="Cambria Math"/>
          </w:rPr>
          <m:t>¬r</m:t>
        </m:r>
      </m:oMath>
      <w:r>
        <w:rPr>
          <w:rFonts w:eastAsiaTheme="minorEastAsia"/>
        </w:rPr>
        <w:t xml:space="preserve">.  </w:t>
      </w:r>
    </w:p>
    <w:tbl>
      <w:tblPr>
        <w:tblStyle w:val="TableGrid"/>
        <w:tblW w:w="0" w:type="auto"/>
        <w:tblLook w:val="04A0" w:firstRow="1" w:lastRow="0" w:firstColumn="1" w:lastColumn="0" w:noHBand="0" w:noVBand="1"/>
      </w:tblPr>
      <w:tblGrid>
        <w:gridCol w:w="4788"/>
        <w:gridCol w:w="4788"/>
      </w:tblGrid>
      <w:tr w:rsidR="00516665" w:rsidTr="00E346C8">
        <w:tc>
          <w:tcPr>
            <w:tcW w:w="4788" w:type="dxa"/>
          </w:tcPr>
          <w:p w:rsidR="00516665" w:rsidRDefault="00516665" w:rsidP="00E346C8">
            <w:pPr>
              <w:jc w:val="center"/>
            </w:pPr>
            <w:r>
              <w:t>Statements</w:t>
            </w:r>
          </w:p>
        </w:tc>
        <w:tc>
          <w:tcPr>
            <w:tcW w:w="4788" w:type="dxa"/>
          </w:tcPr>
          <w:p w:rsidR="00516665" w:rsidRDefault="00516665" w:rsidP="00E346C8">
            <w:pPr>
              <w:jc w:val="center"/>
            </w:pPr>
            <w:r>
              <w:t>Reasons</w:t>
            </w:r>
          </w:p>
        </w:tc>
      </w:tr>
      <w:tr w:rsidR="00516665" w:rsidTr="00E346C8">
        <w:tc>
          <w:tcPr>
            <w:tcW w:w="4788" w:type="dxa"/>
          </w:tcPr>
          <w:p w:rsidR="00516665" w:rsidRDefault="00516665" w:rsidP="00516665">
            <w:pPr>
              <w:pStyle w:val="ListParagraph"/>
              <w:numPr>
                <w:ilvl w:val="0"/>
                <w:numId w:val="4"/>
              </w:numPr>
              <w:jc w:val="center"/>
            </w:pPr>
            <m:oMath>
              <m:r>
                <w:rPr>
                  <w:rFonts w:ascii="Cambria Math" w:hAnsi="Cambria Math"/>
                </w:rPr>
                <m:t>p→¬q</m:t>
              </m:r>
            </m:oMath>
          </w:p>
        </w:tc>
        <w:tc>
          <w:tcPr>
            <w:tcW w:w="4788" w:type="dxa"/>
          </w:tcPr>
          <w:p w:rsidR="00516665" w:rsidRDefault="00516665" w:rsidP="00E346C8">
            <w:pPr>
              <w:jc w:val="center"/>
            </w:pPr>
            <w:r>
              <w:t>Given</w:t>
            </w:r>
          </w:p>
        </w:tc>
      </w:tr>
      <w:tr w:rsidR="00516665" w:rsidTr="00E346C8">
        <w:tc>
          <w:tcPr>
            <w:tcW w:w="4788" w:type="dxa"/>
          </w:tcPr>
          <w:p w:rsidR="00516665" w:rsidRDefault="00516665" w:rsidP="00516665">
            <w:pPr>
              <w:pStyle w:val="ListParagraph"/>
              <w:numPr>
                <w:ilvl w:val="0"/>
                <w:numId w:val="4"/>
              </w:numPr>
              <w:jc w:val="center"/>
            </w:pPr>
            <m:oMath>
              <m:r>
                <w:rPr>
                  <w:rFonts w:ascii="Cambria Math" w:hAnsi="Cambria Math"/>
                </w:rPr>
                <m:t>r→(p∧q)</m:t>
              </m:r>
            </m:oMath>
          </w:p>
        </w:tc>
        <w:tc>
          <w:tcPr>
            <w:tcW w:w="4788" w:type="dxa"/>
          </w:tcPr>
          <w:p w:rsidR="00516665" w:rsidRDefault="00516665" w:rsidP="00E346C8">
            <w:pPr>
              <w:jc w:val="center"/>
            </w:pPr>
            <w:r>
              <w:t xml:space="preserve">Given </w:t>
            </w:r>
          </w:p>
        </w:tc>
      </w:tr>
      <w:tr w:rsidR="00516665" w:rsidTr="00E346C8">
        <w:tc>
          <w:tcPr>
            <w:tcW w:w="4788" w:type="dxa"/>
          </w:tcPr>
          <w:p w:rsidR="00516665" w:rsidRDefault="00516665" w:rsidP="00516665">
            <w:pPr>
              <w:pStyle w:val="ListParagraph"/>
              <w:numPr>
                <w:ilvl w:val="0"/>
                <w:numId w:val="4"/>
              </w:numPr>
              <w:jc w:val="center"/>
              <w:rPr>
                <w:rFonts w:ascii="Calibri" w:eastAsia="Calibri" w:hAnsi="Calibri" w:cs="Times New Roman"/>
              </w:rPr>
            </w:pPr>
            <m:oMath>
              <m:r>
                <w:rPr>
                  <w:rFonts w:ascii="Cambria Math" w:eastAsia="Calibri" w:hAnsi="Cambria Math" w:cs="Times New Roman"/>
                </w:rPr>
                <m:t>¬p∨¬q</m:t>
              </m:r>
            </m:oMath>
          </w:p>
        </w:tc>
        <w:tc>
          <w:tcPr>
            <w:tcW w:w="4788" w:type="dxa"/>
          </w:tcPr>
          <w:p w:rsidR="00516665" w:rsidRDefault="00516665" w:rsidP="00E346C8">
            <w:pPr>
              <w:jc w:val="center"/>
            </w:pPr>
            <w:r>
              <w:t>Implication, 1</w:t>
            </w:r>
          </w:p>
        </w:tc>
      </w:tr>
      <w:tr w:rsidR="00516665" w:rsidTr="00E346C8">
        <w:tc>
          <w:tcPr>
            <w:tcW w:w="4788" w:type="dxa"/>
          </w:tcPr>
          <w:p w:rsidR="00516665" w:rsidRDefault="00516665" w:rsidP="00516665">
            <w:pPr>
              <w:pStyle w:val="ListParagraph"/>
              <w:numPr>
                <w:ilvl w:val="0"/>
                <w:numId w:val="4"/>
              </w:numPr>
              <w:jc w:val="center"/>
              <w:rPr>
                <w:rFonts w:ascii="Calibri" w:eastAsia="Calibri" w:hAnsi="Calibri" w:cs="Times New Roman"/>
              </w:rPr>
            </w:pPr>
            <m:oMath>
              <m:r>
                <w:rPr>
                  <w:rFonts w:ascii="Cambria Math" w:eastAsia="Calibri" w:hAnsi="Cambria Math" w:cs="Times New Roman"/>
                </w:rPr>
                <m:t>¬(p∧q)</m:t>
              </m:r>
            </m:oMath>
          </w:p>
        </w:tc>
        <w:tc>
          <w:tcPr>
            <w:tcW w:w="4788" w:type="dxa"/>
          </w:tcPr>
          <w:p w:rsidR="00516665" w:rsidRDefault="00516665" w:rsidP="00E346C8">
            <w:pPr>
              <w:jc w:val="center"/>
            </w:pPr>
            <w:proofErr w:type="spellStart"/>
            <w:r>
              <w:t>Demorgan's</w:t>
            </w:r>
            <w:proofErr w:type="spellEnd"/>
            <w:r>
              <w:t xml:space="preserve"> Law, 3</w:t>
            </w:r>
          </w:p>
        </w:tc>
      </w:tr>
      <w:tr w:rsidR="00516665" w:rsidTr="00E346C8">
        <w:tc>
          <w:tcPr>
            <w:tcW w:w="4788" w:type="dxa"/>
          </w:tcPr>
          <w:p w:rsidR="00516665" w:rsidRDefault="00516665" w:rsidP="00516665">
            <w:pPr>
              <w:pStyle w:val="ListParagraph"/>
              <w:numPr>
                <w:ilvl w:val="0"/>
                <w:numId w:val="4"/>
              </w:numPr>
              <w:jc w:val="center"/>
              <w:rPr>
                <w:rFonts w:ascii="Calibri" w:eastAsia="Calibri" w:hAnsi="Calibri" w:cs="Times New Roman"/>
              </w:rPr>
            </w:pPr>
            <m:oMath>
              <m:r>
                <w:rPr>
                  <w:rFonts w:ascii="Cambria Math" w:eastAsia="Calibri" w:hAnsi="Cambria Math" w:cs="Times New Roman"/>
                </w:rPr>
                <m:t>¬r</m:t>
              </m:r>
            </m:oMath>
          </w:p>
        </w:tc>
        <w:tc>
          <w:tcPr>
            <w:tcW w:w="4788" w:type="dxa"/>
          </w:tcPr>
          <w:p w:rsidR="00516665" w:rsidRDefault="00516665" w:rsidP="00E346C8">
            <w:pPr>
              <w:jc w:val="center"/>
            </w:pPr>
            <w:r>
              <w:t>Modus Tollens, 4, 2</w:t>
            </w:r>
          </w:p>
        </w:tc>
      </w:tr>
    </w:tbl>
    <w:p w:rsidR="00516665" w:rsidRDefault="00516665" w:rsidP="005254B2">
      <w:bookmarkStart w:id="0" w:name="_GoBack"/>
      <w:bookmarkEnd w:id="0"/>
    </w:p>
    <w:sectPr w:rsidR="00516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497B8B"/>
    <w:multiLevelType w:val="hybridMultilevel"/>
    <w:tmpl w:val="F37ED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1C2536"/>
    <w:multiLevelType w:val="hybridMultilevel"/>
    <w:tmpl w:val="F37ED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0D4CEC"/>
    <w:multiLevelType w:val="hybridMultilevel"/>
    <w:tmpl w:val="F37ED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E72B5C"/>
    <w:multiLevelType w:val="hybridMultilevel"/>
    <w:tmpl w:val="F37ED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4B2"/>
    <w:rsid w:val="000E1470"/>
    <w:rsid w:val="00451A34"/>
    <w:rsid w:val="00516665"/>
    <w:rsid w:val="005254B2"/>
    <w:rsid w:val="005A27DD"/>
    <w:rsid w:val="00804697"/>
    <w:rsid w:val="00C7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54B2"/>
    <w:rPr>
      <w:color w:val="808080"/>
    </w:rPr>
  </w:style>
  <w:style w:type="paragraph" w:styleId="BalloonText">
    <w:name w:val="Balloon Text"/>
    <w:basedOn w:val="Normal"/>
    <w:link w:val="BalloonTextChar"/>
    <w:uiPriority w:val="99"/>
    <w:semiHidden/>
    <w:unhideWhenUsed/>
    <w:rsid w:val="005254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4B2"/>
    <w:rPr>
      <w:rFonts w:ascii="Tahoma" w:hAnsi="Tahoma" w:cs="Tahoma"/>
      <w:sz w:val="16"/>
      <w:szCs w:val="16"/>
    </w:rPr>
  </w:style>
  <w:style w:type="table" w:styleId="TableGrid">
    <w:name w:val="Table Grid"/>
    <w:basedOn w:val="TableNormal"/>
    <w:uiPriority w:val="59"/>
    <w:rsid w:val="005A2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7D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54B2"/>
    <w:rPr>
      <w:color w:val="808080"/>
    </w:rPr>
  </w:style>
  <w:style w:type="paragraph" w:styleId="BalloonText">
    <w:name w:val="Balloon Text"/>
    <w:basedOn w:val="Normal"/>
    <w:link w:val="BalloonTextChar"/>
    <w:uiPriority w:val="99"/>
    <w:semiHidden/>
    <w:unhideWhenUsed/>
    <w:rsid w:val="005254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4B2"/>
    <w:rPr>
      <w:rFonts w:ascii="Tahoma" w:hAnsi="Tahoma" w:cs="Tahoma"/>
      <w:sz w:val="16"/>
      <w:szCs w:val="16"/>
    </w:rPr>
  </w:style>
  <w:style w:type="table" w:styleId="TableGrid">
    <w:name w:val="Table Grid"/>
    <w:basedOn w:val="TableNormal"/>
    <w:uiPriority w:val="59"/>
    <w:rsid w:val="005A2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7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5</cp:revision>
  <cp:lastPrinted>2020-06-12T12:10:00Z</cp:lastPrinted>
  <dcterms:created xsi:type="dcterms:W3CDTF">2020-06-12T11:50:00Z</dcterms:created>
  <dcterms:modified xsi:type="dcterms:W3CDTF">2020-06-12T12:10:00Z</dcterms:modified>
</cp:coreProperties>
</file>