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164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Homework for week 2, submission deadline 23:59 on Sunday night.</w:t>
      </w:r>
    </w:p>
    <w:p w14:paraId="46AE7378">
      <w:pPr>
        <w:pStyle w:val="30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Choose your own topics from following list or your own.</w:t>
      </w:r>
    </w:p>
    <w:p w14:paraId="5F4F4BE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Gut microbiota and metabolic disease</w:t>
      </w:r>
    </w:p>
    <w:p w14:paraId="5A8270C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Single-cell transcriptomics in cancer immunology</w:t>
      </w:r>
    </w:p>
    <w:p w14:paraId="0E02F05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Antibiotic resistance genomics</w:t>
      </w:r>
    </w:p>
    <w:p w14:paraId="7F7EF0B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Epigenetic regulation in neurological disorders</w:t>
      </w:r>
    </w:p>
    <w:p w14:paraId="58FB737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Muscle regeneration and aging</w:t>
      </w:r>
    </w:p>
    <w:p w14:paraId="5D7D204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Proteomic biomarkers in MAFLD/MASH</w:t>
      </w:r>
    </w:p>
    <w:p w14:paraId="0F603B93">
      <w:p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Finish the following question section we covered in the class</w:t>
      </w:r>
    </w:p>
    <w:p w14:paraId="6EDE3D1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3317875" cy="2087245"/>
            <wp:effectExtent l="0" t="0" r="0" b="0"/>
            <wp:docPr id="113836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895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9786" cy="21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17B8">
      <w:pPr>
        <w:rPr>
          <w:rFonts w:ascii="Times New Roman" w:hAnsi="Times New Roman" w:cs="Times New Roman"/>
          <w:u w:val="single"/>
          <w:lang w:val="en-US"/>
        </w:rPr>
      </w:pPr>
    </w:p>
    <w:p w14:paraId="2D4AC8D2">
      <w:pPr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Topic I choose：Gut microbiota and metabolic disease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"/>
        <w:gridCol w:w="1879"/>
        <w:gridCol w:w="7361"/>
      </w:tblGrid>
      <w:tr w14:paraId="6644F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FC2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FF3E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Student Action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365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Output</w:t>
            </w:r>
          </w:p>
        </w:tc>
      </w:tr>
      <w:tr w14:paraId="78196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FC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3B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Write a broad topic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B3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Gut microbiota dysbiosis in type 2 diabetes mellitus</w:t>
            </w:r>
          </w:p>
        </w:tc>
      </w:tr>
      <w:tr w14:paraId="186DA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19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A7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Narrow to a phenomenon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B6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Patients with type 2 diabetes exhibit reduced abundance of short-chain-fatty-acid–producing bacteria (e.g., 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Faecalibacterium prausnitzii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) and increased opportunistic pathogens in the gut, which correlates with impaired glucose homeostasis.</w:t>
            </w:r>
          </w:p>
        </w:tc>
      </w:tr>
      <w:tr w14:paraId="5F4AE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28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0F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State a testable hypothesis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E0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The relative abundance of butyrate-producing bacteria (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F. prausnitzii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, 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Roseburia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spp.) in the gut is significantly lower in adults with type 2 diabetes than in matched healthy controls, and this reduction is inversely associated with HbA1c levels.</w:t>
            </w:r>
          </w:p>
        </w:tc>
      </w:tr>
      <w:tr w14:paraId="2FF38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F1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E1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Apply PICO/PECO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0E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 (Population):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Adults aged 30–70 with clinically diagnosed type 2 diabetes (HbA1c ≥ 6.5%)</w:t>
            </w: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E (Exposure):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Gut microbiome composition, specifically relative abundance of butyrate-producing taxa</w:t>
            </w: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 (Comparison):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Age- and BMI-matched healthy adults with normal glucose tolerance (HbA1c &lt; 5.7%)</w:t>
            </w: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 (Outcome):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Glycemic control (HbA1c, fasting plasma glucose) and insulin resistance (HOMA-IR)</w:t>
            </w:r>
          </w:p>
        </w:tc>
      </w:tr>
      <w:tr w14:paraId="345C2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52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CD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Identify a dataset or data type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49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NCBI SRA BioProject PRJNA541332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— 16S rRNA gene sequencing of fecal samples from a Mexican cohort including type 2 diabetes patients and healthy controls (raw reads + metadata publicly accessible)</w:t>
            </w:r>
          </w:p>
        </w:tc>
      </w:tr>
      <w:tr w14:paraId="6F379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CC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79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Draft a minimal analysis plan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40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Data: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Download paired-end 16S rRNA FASTQ files and sample metadata from SRA PRJNA541332 (T2D cases + controls)</w:t>
            </w: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Method: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(1) DADA2 via QIIME2 for denoising, ASV inference, and taxonomic assignment against SILVA 138; (2) Alpha diversity (Shannon, Chao1) and beta diversity (Bray–Curtis PCoA + PERMANOVA); (3) LEfSe / DESeq2 to identify differentially abundant taxa; (4) Spearman correlation between key taxa abundance and HbA1c/HOMA-IR</w:t>
            </w: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Output: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Taxonomic composition bar plots, alpha/beta diversity figures, list of differentially abundant taxa (with effect sizes and FDR-corrected p-values), correlation heatmap</w:t>
            </w: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Validation: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(1) Permutation test (n = 999) for PERMANOVA significance; (2) Independent replication in a second cohort (e.g., SRA PRJNA811727); (3) Leave-one-out cross-validation if building a predictive model</w:t>
            </w:r>
          </w:p>
        </w:tc>
      </w:tr>
    </w:tbl>
    <w:p w14:paraId="15737754">
      <w:pPr>
        <w:rPr>
          <w:rFonts w:hint="default" w:ascii="Times New Roman" w:hAnsi="Times New Roman" w:cs="Times New Roman"/>
          <w:lang w:val="en-US" w:eastAsia="zh-CN"/>
        </w:rPr>
      </w:pPr>
    </w:p>
    <w:p w14:paraId="5AC99F15">
      <w:pPr>
        <w:rPr>
          <w:rFonts w:hint="default" w:ascii="Times New Roman" w:hAnsi="Times New Roman" w:cs="Times New Roman"/>
          <w:lang w:val="en-US" w:eastAsia="zh-CN"/>
        </w:rPr>
      </w:pPr>
    </w:p>
    <w:p w14:paraId="06DDFFB7">
      <w:pPr>
        <w:pStyle w:val="30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and read two research papers in the folder and answer following question based on these two papers.</w:t>
      </w:r>
    </w:p>
    <w:p w14:paraId="32A8E7F3">
      <w:pPr>
        <w:pStyle w:val="30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 w14:paraId="0B7E268F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Paper1：采用PECO框架（暴露-对照-结局，适合观察性研究）：</w:t>
      </w:r>
    </w:p>
    <w:p w14:paraId="5ECB0287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P（Population/患者人群）：34对母婴配对（Mother-Infant Pairs, MIPs），均为足月、经阴道分娩、母亲孕前BMI &lt; 28、意愿纯母乳喂养的健康孕妇及其婴儿。最终纳入22例健康对照（control）和12例湿疹患儿（case，6个月内发生湿疹）。</w:t>
      </w:r>
    </w:p>
    <w:p w14:paraId="418FC2C3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E（Exposure/暴露）：婴儿在出生时（meconium）、产后第1、2、3个月粪便样本中的肠道菌群定植特征。比较暴露因素：健康婴儿 vs 湿疹婴儿的微生物网络结构差异；以及母亲孕晚期甘油三酯（TG）水平。</w:t>
      </w:r>
    </w:p>
    <w:p w14:paraId="4ED1B121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C（Comparator/对照）：未发展为湿疹的健康婴儿（control组，n=22）作为对照；同时使用了两个独立队列（瑞典Roswall et al.队列和丹麦Christensen et al.队列）中的健康婴儿作为外部验证对照。</w:t>
      </w:r>
    </w:p>
    <w:p w14:paraId="344AA765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O（Outcome/结局）：肠道菌群alpha多样性（Inverse Simpson指数）、beta多样性（PCoA, Bray-Curtis）、分子生态网络（MENs）的拓扑指数（簇数、边数、顶点数、直径、平均路径长度、中心化等）的动态变化；湿疹发病与否。</w:t>
      </w:r>
    </w:p>
    <w:p w14:paraId="02C7B7DA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</w:p>
    <w:p w14:paraId="6B9A9879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Paper2：采用PECO框架：</w:t>
      </w:r>
    </w:p>
    <w:p w14:paraId="05CAAEDF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P（Population/患者人群）：三个胃肠道疾病队列共208对配对样本（菌群+宿主转录组）：</w:t>
      </w:r>
    </w:p>
    <w:p w14:paraId="4AD5E57C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- CRC队列：44例结直肠癌患者（肿瘤组织+配对正常组织），平均年龄65岁；</w:t>
      </w:r>
    </w:p>
    <w:p w14:paraId="72359A7F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- IBD队列：56例IBD患者（34 Crohn's病 + 22溃疡性结肠炎）+ 22例非IBD对照，来自HMP2项目；</w:t>
      </w:r>
    </w:p>
    <w:p w14:paraId="5B563192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- IBS队列：29例IBS患者（IBS-C/IBS-D）+ 13例健康对照，来自Mayo Clinic。</w:t>
      </w:r>
    </w:p>
    <w:p w14:paraId="09049DB6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</w:p>
    <w:p w14:paraId="282D1BEA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E（Exposure/暴露）：每位患者结肠黏膜活检组织中的宿主基因表达（RNA-seq）和肠道菌群组成（16S rRNA测序）的配对数据。</w:t>
      </w:r>
    </w:p>
    <w:p w14:paraId="78EDFCFA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C（Comparator/对照）：每种疾病的病例组 vs 对照组（non-CRC、non-IBD、non-IBS）分别分析；同时跨三种疾病比较，识别shared vs disease-specific模式。</w:t>
      </w:r>
    </w:p>
    <w:p w14:paraId="48889DDE">
      <w:pPr>
        <w:pStyle w:val="30"/>
        <w:numPr>
          <w:numId w:val="0"/>
        </w:numPr>
        <w:ind w:left="720" w:leftChars="0"/>
        <w:rPr>
          <w:rFonts w:hint="default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O（Outcome/结局）：通过稀疏CCA（sparse CCA）识别宿主基因集-菌群集之间的群体水平相关；通过Lasso回归+稳定性选择识别菌群-taxa与宿主单基因之间的特异性关联；进行KEGG/PID/Reactome通路富集分析，识别共享通路和疾病特异性通路。</w:t>
      </w:r>
    </w:p>
    <w:p w14:paraId="4FCBC6BB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lang w:val="en-US" w:eastAsia="zh-CN"/>
        </w:rPr>
      </w:pPr>
    </w:p>
    <w:p w14:paraId="5A672365">
      <w:pPr>
        <w:pStyle w:val="30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2: What kind of dataset or data type these two papers use?</w:t>
      </w:r>
    </w:p>
    <w:p w14:paraId="14D6BC6A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Paper1：</w:t>
      </w:r>
    </w:p>
    <w:p w14:paraId="69A08248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数据类型：16S rRNA基因扩增子测序数据（V3-V4区，Illumina NovaSeq平台）。</w:t>
      </w:r>
    </w:p>
    <w:p w14:paraId="28958A53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样本：140份婴儿粪便样本（meconium + 第1、2、3月），其中136份用于最终分析。每个样本平均测序读数约88,405（范围54,615–124,965）。</w:t>
      </w:r>
    </w:p>
    <w:p w14:paraId="46583BF2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额外数据：</w:t>
      </w:r>
    </w:p>
    <w:p w14:paraId="3493BDD7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- 临床元数据：母亲的人口学、体检指标（BMI、TG、血糖等）、分娩方式、喂养方式、婴儿性别/出生体重/头围/Apgar评分等。</w:t>
      </w:r>
    </w:p>
    <w:p w14:paraId="13AAA6CC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- 两个外部验证队列的16S数据：瑞典队列（Roswall et al., n=16健康婴儿）和丹麦队列（Christensen et al.）。</w:t>
      </w:r>
    </w:p>
    <w:p w14:paraId="307F8C7C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分析方法：QIIME2进行ASV标注（Greengenes 13_8）、ggClusterNet构建共现网络、EasyMicroPlot进行alpha/beta多样性和三元图分析、R 4.2.1进行统计分析（Spearman相关、Benjamini-Hochberg校正、t检验、Mann-Whitney、Kruskal-Wallis、多变量logistic回归）。</w:t>
      </w:r>
    </w:p>
    <w:p w14:paraId="1B999179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</w:p>
    <w:p w14:paraId="4042E2AC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Paper2：</w:t>
      </w:r>
    </w:p>
    <w:p w14:paraId="6E88B01C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数据类型：</w:t>
      </w:r>
    </w:p>
    <w:p w14:paraId="5D745652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- 宿主转录组：RNA-seq（Illumina HiSeq 2000/2500, 101 bp paired-end），经过HISAT2比对、人类参考基因组（NCBI v38 / hg19）、featureCounts定量。</w:t>
      </w:r>
    </w:p>
    <w:p w14:paraId="49A43F8C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- 肠道菌群：16S rRNA基因测序（V4区或V5-V6区，Illumina MiSeq 2×250 bp），OTU聚类（USEARCH / UPARSE / DADA2 / BURST），分类学注释。</w:t>
      </w:r>
    </w:p>
    <w:p w14:paraId="4A12E9DF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样本规模：共208对配对样本（416个单独样本）：</w:t>
      </w:r>
    </w:p>
    <w:p w14:paraId="07F6D2D4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- CRC：88对（44肿瘤 + 44配对正常）</w:t>
      </w:r>
    </w:p>
    <w:p w14:paraId="16035F3F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- IBD：78对（56患者 + 22对照）</w:t>
      </w:r>
    </w:p>
    <w:p w14:paraId="45FF6571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- IBS：42对（29患者 + 13对照）</w:t>
      </w:r>
    </w:p>
    <w:p w14:paraId="5E972972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</w:p>
    <w:p w14:paraId="63FB12AB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数据来源：除CRC队列的RNA-seq是本文新生成外，其余均来自已发表的公开数据集（Burns et al. 2015, HMP2/iHMP, Mars et al. 2020）。</w:t>
      </w:r>
    </w:p>
    <w:p w14:paraId="2081D61B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预处理：基因表达数据过滤低表达基因、VST变换（DESeq2）、去除低方差基因；菌群数据去除污染序列、丰度/普及率过滤、CLR转换处理组分效应。</w:t>
      </w:r>
    </w:p>
    <w:p w14:paraId="2A2E9F82">
      <w:pPr>
        <w:pStyle w:val="30"/>
        <w:numPr>
          <w:numId w:val="0"/>
        </w:numPr>
        <w:ind w:left="720" w:leftChars="0"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分析方法：Procrustes分析+Mantel检验评估整体相关；稀疏CCA（PMA R包）+留一交叉验证调参；Lasso回归（glmnet）+稳定性选择（stabs, K=100, f_thr=0.6）+去偏Lasso（hdi包）进行推断；Fisher精确检验进行通路富集（MsigDB的KEGG/PID/Reactome基因集）；Cytoscape可视化网络。</w:t>
      </w:r>
    </w:p>
    <w:p w14:paraId="20C1F7E3">
      <w:pPr>
        <w:pStyle w:val="30"/>
        <w:numPr>
          <w:numId w:val="0"/>
        </w:numPr>
        <w:ind w:left="720" w:leftChars="0"/>
        <w:rPr>
          <w:rFonts w:hint="default" w:ascii="Times New Roman" w:hAnsi="Times New Roman" w:cs="Times New Roman"/>
          <w:u w:val="single"/>
          <w:lang w:val="en-US" w:eastAsia="zh-CN"/>
        </w:rPr>
      </w:pPr>
    </w:p>
    <w:p w14:paraId="0F49B5F8">
      <w:pPr>
        <w:pStyle w:val="30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3: What is the hypothesis of these two research?</w:t>
      </w:r>
    </w:p>
    <w:p w14:paraId="41B1DAED">
      <w:pPr>
        <w:pStyle w:val="30"/>
        <w:numPr>
          <w:numId w:val="0"/>
        </w:numPr>
        <w:spacing w:after="160" w:line="278" w:lineRule="auto"/>
        <w:contextualSpacing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Paper1：</w:t>
      </w:r>
    </w:p>
    <w:p w14:paraId="583DF8CB">
      <w:pPr>
        <w:pStyle w:val="30"/>
        <w:numPr>
          <w:numId w:val="0"/>
        </w:numPr>
        <w:spacing w:after="160" w:line="278" w:lineRule="auto"/>
        <w:contextualSpacing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核心假设：「健康婴儿的肠道菌群网络在早期生命阶段表现出节奏性（rhythmic）、动态增加的复杂性，而湿疹婴儿的肠道菌群网络结构发育异常，表现为较低的网络密度和复杂性。此外，母亲孕晚期高甘油三酯（TG）水平是婴儿湿疹的独立危险因素。」</w:t>
      </w:r>
    </w:p>
    <w:p w14:paraId="6520776F">
      <w:pPr>
        <w:pStyle w:val="30"/>
        <w:numPr>
          <w:numId w:val="0"/>
        </w:numPr>
        <w:spacing w:after="160" w:line="278" w:lineRule="auto"/>
        <w:contextualSpacing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文章明确测试了以下假设：</w:t>
      </w:r>
    </w:p>
    <w:p w14:paraId="0D840142">
      <w:pPr>
        <w:pStyle w:val="30"/>
        <w:numPr>
          <w:numId w:val="0"/>
        </w:numPr>
        <w:spacing w:after="160" w:line="278" w:lineRule="auto"/>
        <w:contextualSpacing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1. 早期定植菌的微生物网络拓扑指数在健康婴儿中随时间增加，表现出共同的节奏性发育模式。</w:t>
      </w:r>
    </w:p>
    <w:p w14:paraId="44072877">
      <w:pPr>
        <w:pStyle w:val="30"/>
        <w:numPr>
          <w:numId w:val="0"/>
        </w:numPr>
        <w:spacing w:after="160" w:line="278" w:lineRule="auto"/>
        <w:contextualSpacing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2. 湿疹婴儿的肠道菌群网络比健康婴儿更稀疏、复杂性更低。</w:t>
      </w:r>
    </w:p>
    <w:p w14:paraId="2163849B">
      <w:pPr>
        <w:pStyle w:val="30"/>
        <w:numPr>
          <w:numId w:val="0"/>
        </w:numPr>
        <w:spacing w:after="160" w:line="278" w:lineRule="auto"/>
        <w:contextualSpacing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3. 肠道菌群丰富度（Inverse Simpson指数）的增加可能是健康的保护性因素。</w:t>
      </w:r>
    </w:p>
    <w:p w14:paraId="0C2BED40">
      <w:pPr>
        <w:pStyle w:val="30"/>
        <w:numPr>
          <w:numId w:val="0"/>
        </w:numPr>
        <w:spacing w:after="160" w:line="278" w:lineRule="auto"/>
        <w:contextualSpacing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4. 母亲孕晚期高TG水平与婴儿湿疹发病风险增加相关（ORadj = 3.41, 95% CI 1.13–10.25, p = 0.029）。</w:t>
      </w:r>
    </w:p>
    <w:p w14:paraId="00B556EB">
      <w:pPr>
        <w:pStyle w:val="30"/>
        <w:numPr>
          <w:numId w:val="0"/>
        </w:numPr>
        <w:spacing w:after="160" w:line="278" w:lineRule="auto"/>
        <w:contextualSpacing/>
        <w:rPr>
          <w:rFonts w:hint="eastAsia" w:ascii="Times New Roman" w:hAnsi="Times New Roman" w:cs="Times New Roman"/>
          <w:u w:val="single"/>
          <w:lang w:val="en-US" w:eastAsia="zh-CN"/>
        </w:rPr>
      </w:pPr>
    </w:p>
    <w:p w14:paraId="1F43AC08">
      <w:pPr>
        <w:pStyle w:val="30"/>
        <w:numPr>
          <w:numId w:val="0"/>
        </w:numPr>
        <w:spacing w:after="160" w:line="278" w:lineRule="auto"/>
        <w:contextualSpacing/>
        <w:rPr>
          <w:rFonts w:hint="eastAsia" w:ascii="Times New Roman" w:hAnsi="Times New Roman" w:cs="Times New Roman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Paper2：</w:t>
      </w:r>
    </w:p>
    <w:p w14:paraId="35A32793">
      <w:pPr>
        <w:pStyle w:val="30"/>
        <w:numPr>
          <w:numId w:val="0"/>
        </w:numPr>
        <w:spacing w:after="160" w:line="278" w:lineRule="auto"/>
        <w:contextualSpacing/>
        <w:rPr>
          <w:rFonts w:hint="default" w:ascii="Times New Roman" w:hAnsi="Times New Roman" w:cs="Times New Roman"/>
          <w:u w:val="single"/>
          <w:lang w:val="en-US" w:eastAsia="zh-CN"/>
        </w:rPr>
      </w:pPr>
      <w:r>
        <w:rPr>
          <w:rFonts w:hint="default" w:ascii="Times New Roman" w:hAnsi="Times New Roman" w:cs="Times New Roman"/>
          <w:u w:val="single"/>
          <w:lang w:val="en-US" w:eastAsia="zh-CN"/>
        </w:rPr>
        <w:t>核心假设：「肠道菌群和宿主基因调控分别参与了胃肠道疾病的发病机制，但两者如何关联影响宿主病理生理尚不清楚。本文假设：（1）在三种胃肠道疾病（CRC、IBD、IBS）中，存在一些共享的宿主基因/通路与疾病特异性的肠道菌群相关联，这些通路涉及胃肠道炎症、肠屏障保护和能量代谢；（2）相同的肠道菌群（如Streptococcus）可通过调节不同的宿主基因，在不同的疾病中影响不同的病理生理过程，即疾病特异性的宿主基因-菌群串扰（crosstalk）。」</w:t>
      </w:r>
    </w:p>
    <w:p w14:paraId="2215E4F4">
      <w:pPr>
        <w:pStyle w:val="30"/>
        <w:numPr>
          <w:numId w:val="0"/>
        </w:numPr>
        <w:spacing w:after="160" w:line="278" w:lineRule="auto"/>
        <w:contextualSpacing/>
        <w:rPr>
          <w:rFonts w:hint="default" w:ascii="Times New Roman" w:hAnsi="Times New Roman" w:cs="Times New Roman"/>
          <w:u w:val="single"/>
          <w:lang w:val="en-US" w:eastAsia="zh-CN"/>
        </w:rPr>
      </w:pPr>
      <w:r>
        <w:rPr>
          <w:rFonts w:hint="default" w:ascii="Times New Roman" w:hAnsi="Times New Roman" w:cs="Times New Roman"/>
          <w:u w:val="single"/>
          <w:lang w:val="en-US" w:eastAsia="zh-CN"/>
        </w:rPr>
        <w:t>具体假设可细分为：</w:t>
      </w:r>
    </w:p>
    <w:p w14:paraId="278EAF79">
      <w:pPr>
        <w:pStyle w:val="30"/>
        <w:numPr>
          <w:numId w:val="0"/>
        </w:numPr>
        <w:spacing w:after="160" w:line="278" w:lineRule="auto"/>
        <w:contextualSpacing/>
        <w:rPr>
          <w:rFonts w:hint="default" w:ascii="Times New Roman" w:hAnsi="Times New Roman" w:cs="Times New Roman"/>
          <w:u w:val="single"/>
          <w:lang w:val="en-US" w:eastAsia="zh-CN"/>
        </w:rPr>
      </w:pPr>
      <w:r>
        <w:rPr>
          <w:rFonts w:hint="default" w:ascii="Times New Roman" w:hAnsi="Times New Roman" w:cs="Times New Roman"/>
          <w:u w:val="single"/>
          <w:lang w:val="en-US" w:eastAsia="zh-CN"/>
        </w:rPr>
        <w:t xml:space="preserve">  1. 群体水平：稀疏CCA可识别出宿主基因集与菌群集之间的显著共变成分，富集分析揭示共享通路（如氧化磷酸化、整合素信号、蛋白酶体）和疾病特异性通路（每种疾病各有数十个）。</w:t>
      </w:r>
    </w:p>
    <w:p w14:paraId="7BF19ECB">
      <w:pPr>
        <w:pStyle w:val="30"/>
        <w:numPr>
          <w:numId w:val="0"/>
        </w:numPr>
        <w:spacing w:after="160" w:line="278" w:lineRule="auto"/>
        <w:contextualSpacing/>
        <w:rPr>
          <w:rFonts w:hint="default" w:ascii="Times New Roman" w:hAnsi="Times New Roman" w:cs="Times New Roman"/>
          <w:u w:val="single"/>
          <w:lang w:val="en-US" w:eastAsia="zh-CN"/>
        </w:rPr>
      </w:pPr>
      <w:r>
        <w:rPr>
          <w:rFonts w:hint="default" w:ascii="Times New Roman" w:hAnsi="Times New Roman" w:cs="Times New Roman"/>
          <w:u w:val="single"/>
          <w:lang w:val="en-US" w:eastAsia="zh-CN"/>
        </w:rPr>
        <w:t xml:space="preserve">  2. 个体水平：Lasso回归可识别出特定菌群taxa与宿主单基因之间的稳健关联（CRC: 755关联，IBD: 1,295，IBS: 441），且这些关联具有疾病特异性模式。</w:t>
      </w:r>
    </w:p>
    <w:p w14:paraId="269BE313">
      <w:pPr>
        <w:pStyle w:val="30"/>
        <w:numPr>
          <w:numId w:val="0"/>
        </w:numPr>
        <w:spacing w:after="160" w:line="278" w:lineRule="auto"/>
        <w:contextualSpacing/>
        <w:rPr>
          <w:rFonts w:hint="default" w:ascii="Times New Roman" w:hAnsi="Times New Roman" w:cs="Times New Roman"/>
          <w:u w:val="single"/>
          <w:lang w:val="en-US" w:eastAsia="zh-CN"/>
        </w:rPr>
      </w:pPr>
      <w:r>
        <w:rPr>
          <w:rFonts w:hint="default" w:ascii="Times New Roman" w:hAnsi="Times New Roman" w:cs="Times New Roman"/>
          <w:u w:val="single"/>
          <w:lang w:val="en-US" w:eastAsia="zh-CN"/>
        </w:rPr>
        <w:t xml:space="preserve">  3. 跨疾病比较：相同的菌群（Peptostreptococcaceae、Streptococcus、Staphylococcus）在不同疾病中与不同的宿主基因/通路相关联；相同的宿主基因（如ANXA1、TLR4）在不同疾病中与不同的菌群相关联，提示疾病特异性的对话机制。</w:t>
      </w:r>
    </w:p>
    <w:p w14:paraId="5942E57C">
      <w:pPr>
        <w:pStyle w:val="30"/>
        <w:numPr>
          <w:numId w:val="0"/>
        </w:numPr>
        <w:spacing w:after="160" w:line="278" w:lineRule="auto"/>
        <w:contextualSpacing/>
        <w:rPr>
          <w:rFonts w:ascii="Times New Roman" w:hAnsi="Times New Roman" w:cs="Times New Roman"/>
          <w:lang w:val="en-US"/>
        </w:rPr>
      </w:pPr>
    </w:p>
    <w:p w14:paraId="7B65CB64">
      <w:pPr>
        <w:pStyle w:val="30"/>
        <w:ind w:left="360"/>
        <w:rPr>
          <w:rFonts w:ascii="Times New Roman" w:hAnsi="Times New Roman" w:cs="Times New Roman"/>
          <w:lang w:val="en-US"/>
        </w:rPr>
      </w:pPr>
    </w:p>
    <w:p w14:paraId="72580D7D">
      <w:pPr>
        <w:pStyle w:val="30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Based on your research interest, refine the search in PUBMED, and sort, identify the latest and the most important studies in your field. Read this paper and answer three question</w:t>
      </w:r>
      <w:r>
        <w:rPr>
          <w:rFonts w:hint="eastAsia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:</w:t>
      </w:r>
    </w:p>
    <w:p w14:paraId="74D20231">
      <w:pPr>
        <w:pStyle w:val="30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 w14:paraId="5C869BBB">
      <w:pPr>
        <w:pStyle w:val="30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2: What kind of dataset or data type these two papers use?</w:t>
      </w:r>
    </w:p>
    <w:p w14:paraId="563F0380">
      <w:pPr>
        <w:pStyle w:val="30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3: What is the hypothesis of these two research?</w:t>
      </w:r>
    </w:p>
    <w:p w14:paraId="73BED0DE">
      <w:pPr>
        <w:pStyle w:val="30"/>
        <w:ind w:left="360"/>
        <w:rPr>
          <w:rFonts w:ascii="Times New Roman" w:hAnsi="Times New Roman" w:cs="Times New Roman"/>
          <w:lang w:val="en-US"/>
        </w:rPr>
      </w:pPr>
    </w:p>
    <w:p w14:paraId="71231BC6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>Paper:</w:t>
      </w:r>
      <w:r>
        <w:rPr>
          <w:rFonts w:hint="eastAsia" w:ascii="Times New Roman" w:hAnsi="Times New Roman" w:cs="Times New Roman"/>
          <w:u w:val="single"/>
          <w:lang w:val="en-US"/>
        </w:rPr>
        <w:t>Forslund et al. (2024) — Strain-specific gut microbial signatures in type 2 diabetes identified in a cross-cohort analysis of 8,117 metagenomes. Nature Medicine.</w:t>
      </w:r>
    </w:p>
    <w:p w14:paraId="5941320A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</w:p>
    <w:p w14:paraId="546870B2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Question 1: PECO</w:t>
      </w:r>
    </w:p>
    <w:p w14:paraId="0A60A184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采用PECO框架（观察性队列研究，无随机干预）：</w:t>
      </w:r>
    </w:p>
    <w:p w14:paraId="1AA6309E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P（Population）：来自10个独立队列的参与者，共8,117个 shotgun metagenome。涵盖3种血糖状态：T2D患者、糖尿病前期（prediabetes）、正常血糖（normoglycemic）人群。队列分布于美国、欧洲、以色列和中国。T2D诊断标准依据美国糖尿病协会（ADA）：空腹血糖、2小时OGTT、HbA1c和用药史。</w:t>
      </w:r>
    </w:p>
    <w:p w14:paraId="27F81BFA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E（Exposure/暴露）：不同血糖状态下的肠道菌群特征。比较暴露为：T2D患者肠道菌群 vs 糖尿病前期 vs 正常血糖个体的菌群差异。暴露变量包括物种丰度、功能通路、酶谱以及菌株水平的基因携带特征。</w:t>
      </w:r>
    </w:p>
    <w:p w14:paraId="49C281F9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C（Comparator/对照）：正常血糖个体作为对照组。同时通过10个队列的交叉验证（cross-cohort analysis）来消除单一队列偏倚，区分"通用物种"（30.9%存在于所有队列）、"重叠物种"（52.9%存在于2-9个队列）和"队列特异物种"（16.2%仅存在于1个队列）。</w:t>
      </w:r>
    </w:p>
    <w:p w14:paraId="46CCA0B1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O（Outcome/结局）：</w:t>
      </w:r>
    </w:p>
    <w:p w14:paraId="72AFFB43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识别与T2D显著关联的19个系统发育多样的物种（FDR &lt; 0.10），例如Clostridium bolteae富集、Butyrivibrio crossotus耗竭。</w:t>
      </w:r>
    </w:p>
    <w:p w14:paraId="0367853B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评估菌群组成变异与T2D状态的关系：PERMANOVA显示T2D状态解释了菌群分类学变异的最大比例（R² = 0.47%, P &lt; 0.001），功能通路和酶谱亦显著相关。</w:t>
      </w:r>
    </w:p>
    <w:p w14:paraId="53DFAA74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菌株分辨率分析揭示：菌株特异性的基因携带差异，包括水平基因转移（HGT）相关位点和淬灭感应（quorum sensing）等新型生物过程，与代谢风险相关。</w:t>
      </w:r>
    </w:p>
    <w:p w14:paraId="5C57D84F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</w:p>
    <w:p w14:paraId="60C36CB0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</w:p>
    <w:p w14:paraId="0F3CD587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Question 2: 数据集/数据类型</w:t>
      </w:r>
    </w:p>
    <w:p w14:paraId="0CBA0101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数据类型：Shotgun metagenomics（宏基因组）测序数据。</w:t>
      </w:r>
    </w:p>
    <w:p w14:paraId="01A27B8B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</w:p>
    <w:p w14:paraId="5D648B7C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样本规模：共8,117个宏基因组，来自10个独立队列。</w:t>
      </w:r>
    </w:p>
    <w:p w14:paraId="4926DCD1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</w:p>
    <w:p w14:paraId="4E279318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队列特征：</w:t>
      </w:r>
    </w:p>
    <w:p w14:paraId="0E7C3CA1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涵盖T2D、糖尿病前期、正常血糖三组</w:t>
      </w:r>
    </w:p>
    <w:p w14:paraId="62BB7445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地理分布：美国、欧洲、以色列、中国</w:t>
      </w:r>
    </w:p>
    <w:p w14:paraId="6CFBCFEF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收集了临床协变量：BMI、代谢标志物（如hs-CRP）、炎症指标、糖尿病用药史等</w:t>
      </w:r>
    </w:p>
    <w:p w14:paraId="34C901BA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</w:p>
    <w:p w14:paraId="77BAC77C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测序与分析流程：</w:t>
      </w:r>
    </w:p>
    <w:p w14:paraId="0760CE0A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使用bioBakery 3.0工作流生成分类学谱（物种水平）、生化通路谱和酶谱</w:t>
      </w:r>
    </w:p>
    <w:p w14:paraId="280D8F07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数据存储于公共数据库：ENA（PRJEB37249等）、NCBI SRA（ERP002469等）、中国NGDC（HRA000020等）、CNSA（CNP0000175）</w:t>
      </w:r>
    </w:p>
    <w:p w14:paraId="0D38D3BC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</w:p>
    <w:p w14:paraId="36554A0B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统计分析方法：</w:t>
      </w:r>
    </w:p>
    <w:p w14:paraId="038DF6D2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PERMANOVA评估菌群变异与T2D状态、协变量和血液生物标志物的关系</w:t>
      </w:r>
    </w:p>
    <w:p w14:paraId="561A2101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物种水平差异丰度分析（FDR &lt; 0.10）</w:t>
      </w:r>
    </w:p>
    <w:p w14:paraId="530B99C5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跨队列元分析区分通用/重叠/特异物种</w:t>
      </w:r>
    </w:p>
    <w:p w14:paraId="3508487C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 xml:space="preserve">  - 菌株分辨率分析：识别菌株特异性基因（HGT位点、淬灭感应等）</w:t>
      </w:r>
    </w:p>
    <w:p w14:paraId="6A7CD4D4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</w:p>
    <w:p w14:paraId="7CF2EABE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</w:p>
    <w:p w14:paraId="11459A5A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Question 3: 研究假设</w:t>
      </w:r>
    </w:p>
    <w:p w14:paraId="3DACEC99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核心假设</w:t>
      </w:r>
    </w:p>
    <w:p w14:paraId="58DA3AD6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「肠道菌群在物种水平和菌株水平上均与2型糖尿病（T2D）存在稳健的关联。通过大规模多队列宏基因组分析，可识别出与T2D consistently associated的菌群特征，并揭示菌株特异性的基因携带模式在代谢风险中的潜在机制作用。」</w:t>
      </w:r>
    </w:p>
    <w:p w14:paraId="3CEAD2C6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</w:p>
    <w:p w14:paraId="18C28D3D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具体拆解为以下子假设：</w:t>
      </w:r>
    </w:p>
    <w:p w14:paraId="1B42787D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1. 物种水平假设：T2D患者肠道菌群中存在特定物种的一致性改变（如Clostridium bolteae富集、Butyrivibrio crossotus耗竭），且这种改变在不同地理、人群、测序平台的10个队列中具有可重复性。</w:t>
      </w:r>
    </w:p>
    <w:p w14:paraId="039A6674">
      <w:pPr>
        <w:pStyle w:val="30"/>
        <w:ind w:left="360"/>
        <w:rPr>
          <w:rFonts w:hint="eastAsia" w:ascii="Times New Roman" w:hAnsi="Times New Roman" w:cs="Times New Roman" w:eastAsiaTheme="minorEastAsia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/>
        </w:rPr>
        <w:t>2. 功能水平假设：T2D相关的菌群改变不仅反映在物种组成上，还体现在生化通路和酶谱的改变上，且这些改变独立于BMI等混杂因素</w:t>
      </w:r>
      <w:bookmarkStart w:id="0" w:name="_GoBack"/>
      <w:bookmarkEnd w:id="0"/>
      <w:r>
        <w:rPr>
          <w:rFonts w:hint="eastAsia" w:ascii="Times New Roman" w:hAnsi="Times New Roman" w:cs="Times New Roman"/>
          <w:u w:val="single"/>
          <w:lang w:val="en-US" w:eastAsia="zh-CN"/>
        </w:rPr>
        <w:t>。</w:t>
      </w:r>
    </w:p>
    <w:p w14:paraId="2C42FBEC">
      <w:pPr>
        <w:pStyle w:val="30"/>
        <w:ind w:left="360"/>
        <w:rPr>
          <w:rFonts w:hint="eastAsia"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3. 菌株分辨率假设：T2D的菌群标志物不仅存在于物种水平，更体现在菌株水平的基因携带差异。特定菌株可能通过携带参与水平基因转移（HGT）、淬灭感应（quorum sensing）等新型生物过程的基因位点，影响宿主代谢表型。</w:t>
      </w:r>
    </w:p>
    <w:p w14:paraId="5E946282">
      <w:pPr>
        <w:pStyle w:val="30"/>
        <w:ind w:left="360"/>
        <w:rPr>
          <w:rFonts w:ascii="Times New Roman" w:hAnsi="Times New Roman" w:cs="Times New Roman"/>
          <w:u w:val="single"/>
          <w:lang w:val="en-US"/>
        </w:rPr>
      </w:pPr>
      <w:r>
        <w:rPr>
          <w:rFonts w:hint="eastAsia" w:ascii="Times New Roman" w:hAnsi="Times New Roman" w:cs="Times New Roman"/>
          <w:u w:val="single"/>
          <w:lang w:val="en-US"/>
        </w:rPr>
        <w:t>4. 跨队列普适性与特异性并存假设：约30.9%的物种是"通用物种"（在所有队列中均有发现），它们与T2D的关联具有普适性；而大量物种（52.9%重叠、16.2%特异）则受到地理、饮食、族裔等因素的影响，呈现队列特异性模式。</w:t>
      </w:r>
    </w:p>
    <w:p w14:paraId="5DA8F44D">
      <w:pPr>
        <w:rPr>
          <w:rFonts w:ascii="Times New Roman" w:hAnsi="Times New Roman" w:cs="Times New Roman"/>
          <w:lang w:val="en-US"/>
        </w:rPr>
      </w:pPr>
    </w:p>
    <w:p w14:paraId="0915F4D3">
      <w:pPr>
        <w:rPr>
          <w:rFonts w:ascii="Times New Roman" w:hAnsi="Times New Roman" w:cs="Times New Roman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893EB9"/>
    <w:multiLevelType w:val="multilevel"/>
    <w:tmpl w:val="12893E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7C13D04"/>
    <w:multiLevelType w:val="multilevel"/>
    <w:tmpl w:val="57C13D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73"/>
    <w:rsid w:val="0040633A"/>
    <w:rsid w:val="00651052"/>
    <w:rsid w:val="00680E65"/>
    <w:rsid w:val="00880E73"/>
    <w:rsid w:val="008C5ACE"/>
    <w:rsid w:val="00F917DF"/>
    <w:rsid w:val="45AD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Emphasis"/>
    <w:basedOn w:val="14"/>
    <w:qFormat/>
    <w:uiPriority w:val="20"/>
    <w:rPr>
      <w:i/>
    </w:rPr>
  </w:style>
  <w:style w:type="character" w:customStyle="1" w:styleId="17">
    <w:name w:val="Heading 1 Char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4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4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4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4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4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4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4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4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4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174</Words>
  <Characters>911</Characters>
  <Lines>7</Lines>
  <Paragraphs>2</Paragraphs>
  <TotalTime>1</TotalTime>
  <ScaleCrop>false</ScaleCrop>
  <LinksUpToDate>false</LinksUpToDate>
  <CharactersWithSpaces>1068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2026-08-22T08:22:00Z</dcterms:created>
  <dc:creator>mac</dc:creator>
  <cp:lastModifiedBy>雪芳</cp:lastModifiedBy>
  <dcterms:modified xsi:type="dcterms:W3CDTF">2026-09-05T15:42:39Z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eyJoZGlkIjoiYWZhNmVkMGRhOTFkZjRlMDNiNWFkNGFmYzNjOWU3OGMiLCJ1c2VySWQiOiIyODY2NzU4MTkifQ==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83AA44DD5C00468CB92843A3FA500D4A_12</vt:lpwstr>
  </property>
</Properties>
</file>