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rPr>
          <w:rFonts w:ascii="Times New Roman" w:hAnsi="Times New Roman"/>
          <w:b/>
          <w:i w:val="0"/>
          <w:sz w:val="28"/>
        </w:rPr>
        <w:t>COMPOSIÇÃO PARALELA NA CATEGORIA LEARN: UMA PERSPECTIVA CATEGORIAL DO APRENDIZADO DE MÁQUINA SUPERVISIONADO</w:t>
      </w:r>
    </w:p>
    <w:p>
      <w:pPr>
        <w:spacing w:before="0" w:after="0" w:line="240" w:lineRule="auto"/>
        <w:jc w:val="both"/>
      </w:pPr>
      <w:r>
        <w:rPr>
          <w:rFonts w:ascii="Times New Roman" w:hAnsi="Times New Roman"/>
          <w:b w:val="0"/>
          <w:i w:val="0"/>
          <w:sz w:val="24"/>
        </w:rPr>
      </w:r>
    </w:p>
    <w:p>
      <w:pPr>
        <w:spacing w:before="0" w:after="0" w:line="240" w:lineRule="auto"/>
        <w:jc w:val="left"/>
      </w:pPr>
      <w:r>
        <w:rPr>
          <w:rFonts w:ascii="Times New Roman" w:hAnsi="Times New Roman"/>
          <w:b w:val="0"/>
          <w:i w:val="0"/>
          <w:sz w:val="24"/>
        </w:rPr>
        <w:t>Kauã Santana da Silva</w:t>
      </w:r>
    </w:p>
    <w:p>
      <w:pPr>
        <w:spacing w:before="0" w:after="0" w:line="240" w:lineRule="auto"/>
        <w:jc w:val="left"/>
      </w:pPr>
      <w:r>
        <w:rPr>
          <w:rFonts w:ascii="Times New Roman" w:hAnsi="Times New Roman"/>
          <w:b w:val="0"/>
          <w:i w:val="0"/>
          <w:sz w:val="24"/>
        </w:rPr>
        <w:t>Alexandre Garcia de Oliveira</w:t>
      </w:r>
    </w:p>
    <w:p>
      <w:pPr>
        <w:spacing w:before="0" w:after="0" w:line="240" w:lineRule="auto"/>
        <w:jc w:val="both"/>
      </w:pPr>
      <w:r>
        <w:rPr>
          <w:rFonts w:ascii="Times New Roman" w:hAnsi="Times New Roman"/>
          <w:b w:val="0"/>
          <w:i w:val="0"/>
          <w:sz w:val="24"/>
        </w:rPr>
      </w:r>
    </w:p>
    <w:p>
      <w:pPr>
        <w:spacing w:before="0" w:after="0" w:line="240" w:lineRule="auto"/>
        <w:jc w:val="left"/>
      </w:pPr>
      <w:r>
        <w:rPr>
          <w:rFonts w:ascii="Times New Roman" w:hAnsi="Times New Roman"/>
          <w:b w:val="0"/>
          <w:i w:val="0"/>
          <w:sz w:val="24"/>
        </w:rPr>
        <w:t>FATEC Baixada Santista Rubens Lara — Curso de Tecnologia em Ciência de Dados</w:t>
      </w:r>
    </w:p>
    <w:p>
      <w:pPr>
        <w:spacing w:before="0" w:after="0" w:line="240" w:lineRule="auto"/>
        <w:jc w:val="left"/>
      </w:pPr>
      <w:r>
        <w:rPr>
          <w:rFonts w:ascii="Times New Roman" w:hAnsi="Times New Roman"/>
          <w:b w:val="0"/>
          <w:i w:val="0"/>
          <w:sz w:val="24"/>
        </w:rPr>
        <w:t>E-mail para contato: [E-MAIL DO AUTOR]</w:t>
      </w:r>
    </w:p>
    <w:p>
      <w:pPr>
        <w:spacing w:before="0" w:after="0" w:line="240" w:lineRule="auto"/>
        <w:jc w:val="both"/>
      </w:pPr>
      <w:r>
        <w:rPr>
          <w:rFonts w:ascii="Times New Roman" w:hAnsi="Times New Roman"/>
          <w:b w:val="0"/>
          <w:i w:val="0"/>
          <w:sz w:val="24"/>
        </w:rPr>
      </w:r>
    </w:p>
    <w:p>
      <w:pPr>
        <w:spacing w:before="0" w:after="0" w:line="240" w:lineRule="auto"/>
        <w:jc w:val="both"/>
      </w:pPr>
      <w:r>
        <w:rPr>
          <w:rFonts w:ascii="Times New Roman" w:hAnsi="Times New Roman"/>
          <w:b w:val="0"/>
          <w:i w:val="0"/>
          <w:sz w:val="24"/>
        </w:rPr>
      </w:r>
    </w:p>
    <w:p>
      <w:pPr>
        <w:spacing w:before="0" w:after="0" w:line="240" w:lineRule="auto"/>
        <w:ind w:left="567" w:right="567"/>
        <w:jc w:val="both"/>
      </w:pPr>
      <w:r>
        <w:rPr>
          <w:rFonts w:ascii="Times New Roman" w:hAnsi="Times New Roman"/>
          <w:i/>
          <w:sz w:val="24"/>
        </w:rPr>
        <w:t>RESUMO – Este artigo apresenta a composição paralela na categoria Learn, estrutura categórica que formaliza o aprendizado de máquina supervisionado conforme proposto por Fong, Spivak e Tuyéras (2019). Enquanto a composição sequencial amplia horizontalmente um modelo ao encadear transformações, a composição paralela — denotada pelo operador (∥) — amplia-o verticalmente, combinando fluxos independentes de transformações em uma única estrutura. São apresentados os fundamentos teóricos da categoria Learn, a definição formal da composição paralela como produto monoidal, as propriedades de bimonoid que permitem o interfluxo de dados, e a implementação computacional em Haskell. Os resultados demonstram que a composição paralela preserva as leis categoriais e permite a construção de arquiteturas com múltiplos fluxos internos, como blocos residuais, sem quebrar a estrutura composicional do backpropagation.</w:t>
      </w:r>
    </w:p>
    <w:p>
      <w:pPr>
        <w:spacing w:before="0" w:after="0" w:line="240" w:lineRule="auto"/>
        <w:jc w:val="both"/>
      </w:pPr>
      <w:r>
        <w:rPr>
          <w:rFonts w:ascii="Times New Roman" w:hAnsi="Times New Roman"/>
          <w:b w:val="0"/>
          <w:i w:val="0"/>
          <w:sz w:val="24"/>
        </w:rPr>
      </w:r>
    </w:p>
    <w:p>
      <w:pPr>
        <w:spacing w:line="240" w:lineRule="auto"/>
        <w:jc w:val="left"/>
      </w:pPr>
      <w:r>
        <w:rPr>
          <w:rFonts w:ascii="Times New Roman" w:hAnsi="Times New Roman"/>
          <w:b/>
          <w:sz w:val="24"/>
        </w:rPr>
        <w:t xml:space="preserve">Palavras-chave: </w:t>
      </w:r>
      <w:r>
        <w:rPr>
          <w:rFonts w:ascii="Times New Roman" w:hAnsi="Times New Roman"/>
          <w:sz w:val="24"/>
        </w:rPr>
        <w:t>Teoria das Categorias; Aprendizado de Máquina Supervisionado; Composição Paralela; Backpropagation; Categoria Learn.</w:t>
      </w:r>
    </w:p>
    <w:p>
      <w:pPr>
        <w:spacing w:before="0" w:after="0" w:line="240" w:lineRule="auto"/>
        <w:jc w:val="both"/>
      </w:pPr>
      <w:r>
        <w:rPr>
          <w:rFonts w:ascii="Times New Roman" w:hAnsi="Times New Roman"/>
          <w:b w:val="0"/>
          <w:i w:val="0"/>
          <w:sz w:val="24"/>
        </w:rPr>
      </w:r>
    </w:p>
    <w:p>
      <w:pPr>
        <w:spacing w:before="0" w:after="0" w:line="240" w:lineRule="auto"/>
        <w:jc w:val="both"/>
      </w:pPr>
      <w:r>
        <w:rPr>
          <w:rFonts w:ascii="Times New Roman" w:hAnsi="Times New Roman"/>
          <w:b w:val="0"/>
          <w:i w:val="0"/>
          <w:sz w:val="24"/>
        </w:rPr>
      </w:r>
    </w:p>
    <w:p>
      <w:pPr>
        <w:spacing w:before="0" w:after="0" w:line="240" w:lineRule="auto"/>
        <w:ind w:left="567" w:right="567"/>
        <w:jc w:val="both"/>
      </w:pPr>
      <w:r>
        <w:rPr>
          <w:rFonts w:ascii="Times New Roman" w:hAnsi="Times New Roman"/>
          <w:i/>
          <w:sz w:val="24"/>
        </w:rPr>
        <w:t>ABSTRACT – This article presents parallel composition in the Learn category, a categorical structure that formalizes supervised machine learning as proposed by Fong, Spivak, and Tuyéras (2019). While sequential composition horizontally extends a model by chaining transformations, parallel composition — denoted by the operator (∥) — extends it vertically, combining independent transformation flows into a single structure. The theoretical foundations of the Learn category, the formal definition of parallel composition as a monoidal product, the bimonoid properties that enable data interflow, and the computational implementation in Haskell are presented. The results demonstrate that parallel composition preserves the categorical laws and enables the construction of architectures with multiple internal flows, such as residual blocks, without breaking the compositional structure of backpropagation.</w:t>
      </w:r>
    </w:p>
    <w:p>
      <w:pPr>
        <w:spacing w:before="0" w:after="0" w:line="240" w:lineRule="auto"/>
        <w:jc w:val="both"/>
      </w:pPr>
      <w:r>
        <w:rPr>
          <w:rFonts w:ascii="Times New Roman" w:hAnsi="Times New Roman"/>
          <w:b w:val="0"/>
          <w:i w:val="0"/>
          <w:sz w:val="24"/>
        </w:rPr>
      </w:r>
    </w:p>
    <w:p>
      <w:pPr>
        <w:spacing w:line="240" w:lineRule="auto"/>
        <w:jc w:val="left"/>
      </w:pPr>
      <w:r>
        <w:rPr>
          <w:rFonts w:ascii="Times New Roman" w:hAnsi="Times New Roman"/>
          <w:b/>
          <w:sz w:val="24"/>
        </w:rPr>
        <w:t xml:space="preserve">Keywords: </w:t>
      </w:r>
      <w:r>
        <w:rPr>
          <w:rFonts w:ascii="Times New Roman" w:hAnsi="Times New Roman"/>
          <w:sz w:val="24"/>
        </w:rPr>
        <w:t>Category Theory; Supervised Machine Learning; Parallel Composition; Backpropagation; Learn Category.</w:t>
      </w:r>
    </w:p>
    <w:p>
      <w:pPr>
        <w:spacing w:before="0" w:after="0" w:line="240" w:lineRule="auto"/>
        <w:jc w:val="both"/>
      </w:pPr>
      <w:r>
        <w:rPr>
          <w:rFonts w:ascii="Times New Roman" w:hAnsi="Times New Roman"/>
          <w:b w:val="0"/>
          <w:i w:val="0"/>
          <w:sz w:val="24"/>
        </w:rPr>
      </w:r>
    </w:p>
    <w:p>
      <w:pPr>
        <w:spacing w:before="0" w:after="0" w:line="240" w:lineRule="auto"/>
        <w:jc w:val="both"/>
      </w:pPr>
      <w:r>
        <w:rPr>
          <w:rFonts w:ascii="Times New Roman" w:hAnsi="Times New Roman"/>
          <w:b w:val="0"/>
          <w:i w:val="0"/>
          <w:sz w:val="24"/>
        </w:rPr>
      </w:r>
    </w:p>
    <w:p>
      <w:pPr>
        <w:spacing w:before="120" w:after="120" w:line="360" w:lineRule="auto"/>
        <w:jc w:val="left"/>
      </w:pPr>
      <w:r>
        <w:rPr>
          <w:rFonts w:ascii="Times New Roman" w:hAnsi="Times New Roman"/>
          <w:b/>
          <w:sz w:val="28"/>
        </w:rPr>
        <w:t>1 INTRODUÇÃO</w:t>
      </w:r>
    </w:p>
    <w:p>
      <w:pPr>
        <w:spacing w:before="0" w:after="0" w:line="360" w:lineRule="auto"/>
        <w:ind w:firstLine="567"/>
        <w:jc w:val="both"/>
      </w:pPr>
      <w:r>
        <w:rPr>
          <w:rFonts w:ascii="Times New Roman" w:hAnsi="Times New Roman"/>
          <w:b w:val="0"/>
          <w:i w:val="0"/>
          <w:sz w:val="24"/>
        </w:rPr>
        <w:t>O aprendizado de máquina supervisionado é, na prática, tratado de forma procedural: propagar a entrada, calcular o erro, propagar o gradiente, atualizar os parâmetros. Essa visão descreve como um modelo aprende, mas não o que o aprendizado é. Fong, Spivak e Tuyéras (2019) oferecem uma resposta precisa em Backprop as a Functor: A Compositional Perspective on Supervised Learning: um algoritmo de aprendizado é um morfismo em uma categoria, e o backpropagation emerge como consequência direta das leis de composição dessa estrutura.</w:t>
      </w:r>
    </w:p>
    <w:p>
      <w:pPr>
        <w:spacing w:before="0" w:after="0" w:line="360" w:lineRule="auto"/>
        <w:ind w:firstLine="567"/>
        <w:jc w:val="both"/>
      </w:pPr>
      <w:r>
        <w:rPr>
          <w:rFonts w:ascii="Times New Roman" w:hAnsi="Times New Roman"/>
          <w:b w:val="0"/>
          <w:i w:val="0"/>
          <w:sz w:val="24"/>
        </w:rPr>
        <w:t>A categoria Learn, formulada por Fong et al. (2019), é a estrutura por trás do aprendizado supervisionado. Seus morfismos são quádruplas (P, I, U, r), onde P é o espaço de parâmetros, I : P × A → B é a função de predição, U : P × A × B → P é a atualização de parâmetros, e r : P × A × B → A é a propagação do gradiente. A composição sequencial de dois morfismos f : A → B e g : B → C define naturalmente o backpropagation: o gradiente calculado em g é propagado para f via r_g, gerando os dados de treinamento locais para a camada anterior.</w:t>
      </w:r>
    </w:p>
    <w:p>
      <w:pPr>
        <w:spacing w:before="0" w:after="0" w:line="360" w:lineRule="auto"/>
        <w:ind w:firstLine="567"/>
        <w:jc w:val="both"/>
      </w:pPr>
      <w:r>
        <w:rPr>
          <w:rFonts w:ascii="Times New Roman" w:hAnsi="Times New Roman"/>
          <w:b w:val="0"/>
          <w:i w:val="0"/>
          <w:sz w:val="24"/>
        </w:rPr>
        <w:t>Enquanto a composição sequencial amplia horizontalmente o tamanho de um modelo — unindo diferentes transformações em uma única estrutura —, a composição paralela amplia-o verticalmente, combinando diferentes sequências de transformações na mesma estrutura. Dados dois morfismos f : A → B e g : C → D, a composição paralela (f ∥ g) produz um morfismo (A × C) → (B × D), permitindo que múltiplos fluxos de dados percorram o modelo de forma independente.</w:t>
      </w:r>
    </w:p>
    <w:p>
      <w:pPr>
        <w:spacing w:before="0" w:after="0" w:line="360" w:lineRule="auto"/>
        <w:ind w:firstLine="567"/>
        <w:jc w:val="both"/>
      </w:pPr>
      <w:r>
        <w:rPr>
          <w:rFonts w:ascii="Times New Roman" w:hAnsi="Times New Roman"/>
          <w:b w:val="0"/>
          <w:i w:val="0"/>
          <w:sz w:val="24"/>
        </w:rPr>
        <w:t>Este artigo tem como objetivo apresentar a composição paralela na categoria Learn sob a perspectiva categorial, detalhando sua definição formal, suas propriedades monoidais e de bimonoid, e sua implementação computacional em Haskell. O problema de pesquisa reside em compreender como a composição paralela preserva as leis categoriais do backpropagation e permite a construção de arquiteturas com múltiplos fluxos internos — como redes residuais — sem quebrar a estrutura composicional.</w:t>
      </w:r>
    </w:p>
    <w:p>
      <w:pPr>
        <w:spacing w:before="120" w:after="120" w:line="360" w:lineRule="auto"/>
        <w:jc w:val="left"/>
      </w:pPr>
      <w:r>
        <w:rPr>
          <w:rFonts w:ascii="Times New Roman" w:hAnsi="Times New Roman"/>
          <w:b/>
          <w:sz w:val="28"/>
        </w:rPr>
        <w:t>2 FUNDAMENTAÇÃO TEÓRICA</w:t>
      </w:r>
    </w:p>
    <w:p>
      <w:pPr>
        <w:spacing w:before="120" w:after="120" w:line="360" w:lineRule="auto"/>
        <w:jc w:val="left"/>
      </w:pPr>
      <w:r>
        <w:rPr>
          <w:rFonts w:ascii="Times New Roman" w:hAnsi="Times New Roman"/>
          <w:b/>
          <w:sz w:val="24"/>
        </w:rPr>
        <w:t>2.1 A Categoria Learn</w:t>
      </w:r>
    </w:p>
    <w:p>
      <w:pPr>
        <w:spacing w:before="0" w:after="0" w:line="360" w:lineRule="auto"/>
        <w:ind w:firstLine="567"/>
        <w:jc w:val="both"/>
      </w:pPr>
      <w:r>
        <w:rPr>
          <w:rFonts w:ascii="Times New Roman" w:hAnsi="Times New Roman"/>
          <w:b w:val="0"/>
          <w:i w:val="0"/>
          <w:sz w:val="24"/>
        </w:rPr>
        <w:t>A categoria Learn é definida por Fong et al. (2019) como a estrutura categórica que captura a essência do aprendizado supervisionado. Um morfismo f : A → B em Learn é uma quádrupla (P, I, U, r), onde:</w:t>
      </w:r>
    </w:p>
    <w:p>
      <w:pPr>
        <w:spacing w:before="0" w:after="0" w:line="360" w:lineRule="auto"/>
        <w:ind w:firstLine="567"/>
        <w:jc w:val="both"/>
      </w:pPr>
      <w:r>
        <w:rPr>
          <w:rFonts w:ascii="Times New Roman" w:hAnsi="Times New Roman"/>
          <w:b w:val="0"/>
          <w:i w:val="0"/>
          <w:sz w:val="24"/>
        </w:rPr>
        <w:t>• P é o espaço de parâmetros;</w:t>
      </w:r>
    </w:p>
    <w:p>
      <w:pPr>
        <w:spacing w:before="0" w:after="0" w:line="360" w:lineRule="auto"/>
        <w:ind w:firstLine="567"/>
        <w:jc w:val="both"/>
      </w:pPr>
      <w:r>
        <w:rPr>
          <w:rFonts w:ascii="Times New Roman" w:hAnsi="Times New Roman"/>
          <w:b w:val="0"/>
          <w:i w:val="0"/>
          <w:sz w:val="24"/>
        </w:rPr>
        <w:t>• I : P × A → B é a função de predição (implement);</w:t>
      </w:r>
    </w:p>
    <w:p>
      <w:pPr>
        <w:spacing w:before="0" w:after="0" w:line="360" w:lineRule="auto"/>
        <w:ind w:firstLine="567"/>
        <w:jc w:val="both"/>
      </w:pPr>
      <w:r>
        <w:rPr>
          <w:rFonts w:ascii="Times New Roman" w:hAnsi="Times New Roman"/>
          <w:b w:val="0"/>
          <w:i w:val="0"/>
          <w:sz w:val="24"/>
        </w:rPr>
        <w:t>• U : P × A × B → P é a atualização de parâmetros (update);</w:t>
      </w:r>
    </w:p>
    <w:p>
      <w:pPr>
        <w:spacing w:before="0" w:after="0" w:line="360" w:lineRule="auto"/>
        <w:ind w:firstLine="567"/>
        <w:jc w:val="both"/>
      </w:pPr>
      <w:r>
        <w:rPr>
          <w:rFonts w:ascii="Times New Roman" w:hAnsi="Times New Roman"/>
          <w:b w:val="0"/>
          <w:i w:val="0"/>
          <w:sz w:val="24"/>
        </w:rPr>
        <w:t>• r : P × A × B → A é a propagação do gradiente (request).</w:t>
      </w:r>
    </w:p>
    <w:p>
      <w:pPr>
        <w:spacing w:before="0" w:after="0" w:line="360" w:lineRule="auto"/>
        <w:ind w:firstLine="567"/>
        <w:jc w:val="both"/>
      </w:pPr>
      <w:r>
        <w:rPr>
          <w:rFonts w:ascii="Times New Roman" w:hAnsi="Times New Roman"/>
          <w:b w:val="0"/>
          <w:i w:val="0"/>
          <w:sz w:val="24"/>
        </w:rPr>
        <w:t>A composição sequencial de f : A → B e g : B → C é definida como:</w:t>
      </w:r>
    </w:p>
    <w:p>
      <w:pPr>
        <w:spacing w:before="120" w:after="120"/>
        <w:jc w:val="center"/>
      </w:pPr>
      <w:r>
        <w:rPr>
          <w:rFonts w:ascii="Times New Roman" w:hAnsi="Times New Roman"/>
          <w:i/>
          <w:sz w:val="24"/>
        </w:rPr>
        <w:t>I_{g ∘ f}(p, q, a) = I_g(q, I_f(p, a))</w:t>
      </w:r>
      <w:r>
        <w:rPr>
          <w:rFonts w:ascii="Times New Roman" w:hAnsi="Times New Roman"/>
          <w:i/>
          <w:sz w:val="24"/>
        </w:rPr>
        <w:t>(1)</w:t>
      </w:r>
    </w:p>
    <w:p>
      <w:pPr>
        <w:spacing w:before="120" w:after="120"/>
        <w:jc w:val="center"/>
      </w:pPr>
      <w:r>
        <w:rPr>
          <w:rFonts w:ascii="Times New Roman" w:hAnsi="Times New Roman"/>
          <w:i/>
          <w:sz w:val="24"/>
        </w:rPr>
        <w:t>U_{g ∘ f}(p, q, a, c) = (U_f(p, a, r_g(q, I_f(p, a), c)), U_g(q, I_f(p, a), c))</w:t>
      </w:r>
      <w:r>
        <w:rPr>
          <w:rFonts w:ascii="Times New Roman" w:hAnsi="Times New Roman"/>
          <w:i/>
          <w:sz w:val="24"/>
        </w:rPr>
        <w:t>(2)</w:t>
      </w:r>
    </w:p>
    <w:p>
      <w:pPr>
        <w:spacing w:before="120" w:after="120"/>
        <w:jc w:val="center"/>
      </w:pPr>
      <w:r>
        <w:rPr>
          <w:rFonts w:ascii="Times New Roman" w:hAnsi="Times New Roman"/>
          <w:i/>
          <w:sz w:val="24"/>
        </w:rPr>
        <w:t>r_{g ∘ f}(p, q, a, c) = r_f(p, a, r_g(q, I_f(p, a), c))</w:t>
      </w:r>
      <w:r>
        <w:rPr>
          <w:rFonts w:ascii="Times New Roman" w:hAnsi="Times New Roman"/>
          <w:i/>
          <w:sz w:val="24"/>
        </w:rPr>
        <w:t>(3)</w:t>
      </w:r>
    </w:p>
    <w:p>
      <w:pPr>
        <w:spacing w:before="0" w:after="0" w:line="360" w:lineRule="auto"/>
        <w:ind w:firstLine="567"/>
        <w:jc w:val="both"/>
      </w:pPr>
      <w:r>
        <w:rPr>
          <w:rFonts w:ascii="Times New Roman" w:hAnsi="Times New Roman"/>
          <w:b w:val="0"/>
          <w:i w:val="0"/>
          <w:sz w:val="24"/>
        </w:rPr>
        <w:t>O backpropagation emerge como consequência direta da composição na categoria Learn, e não como rotina procedural externa (Fong et al., 2019).</w:t>
      </w:r>
    </w:p>
    <w:p>
      <w:pPr>
        <w:spacing w:before="120" w:after="120" w:line="360" w:lineRule="auto"/>
        <w:jc w:val="left"/>
      </w:pPr>
      <w:r>
        <w:rPr>
          <w:rFonts w:ascii="Times New Roman" w:hAnsi="Times New Roman"/>
          <w:b/>
          <w:sz w:val="24"/>
        </w:rPr>
        <w:t>2.2 Produto Monoidal e Composição Paralela</w:t>
      </w:r>
    </w:p>
    <w:p>
      <w:pPr>
        <w:spacing w:before="0" w:after="0" w:line="360" w:lineRule="auto"/>
        <w:ind w:firstLine="567"/>
        <w:jc w:val="both"/>
      </w:pPr>
      <w:r>
        <w:rPr>
          <w:rFonts w:ascii="Times New Roman" w:hAnsi="Times New Roman"/>
          <w:b w:val="0"/>
          <w:i w:val="0"/>
          <w:sz w:val="24"/>
        </w:rPr>
        <w:t>Para incluir a composição paralela na estrutura de Learn, Fong et al. (2019) a introduzem como um produto monoidal. Um produto monoidal combina dois objetos para formar um terceiro, exigindo a existência de:</w:t>
      </w:r>
    </w:p>
    <w:p>
      <w:pPr>
        <w:spacing w:before="0" w:after="0" w:line="360" w:lineRule="auto"/>
        <w:ind w:firstLine="567"/>
        <w:jc w:val="both"/>
      </w:pPr>
      <w:r>
        <w:rPr>
          <w:rFonts w:ascii="Times New Roman" w:hAnsi="Times New Roman"/>
          <w:b w:val="0"/>
          <w:i w:val="0"/>
          <w:sz w:val="24"/>
        </w:rPr>
        <w:t>• Um objeto unidade (ou objeto identidade) I;</w:t>
      </w:r>
    </w:p>
    <w:p>
      <w:pPr>
        <w:spacing w:before="0" w:after="0" w:line="360" w:lineRule="auto"/>
        <w:ind w:firstLine="567"/>
        <w:jc w:val="both"/>
      </w:pPr>
      <w:r>
        <w:rPr>
          <w:rFonts w:ascii="Times New Roman" w:hAnsi="Times New Roman"/>
          <w:b w:val="0"/>
          <w:i w:val="0"/>
          <w:sz w:val="24"/>
        </w:rPr>
        <w:t>• Isomorfismos de coerência: unitor esquerdo λ : I ⊗ A ≅ A, unitor direito ρ : A ⊗ I ≅ A, e associador α : (A ⊗ B) ⊗ C ≅ A ⊗ (B ⊗ C).</w:t>
      </w:r>
    </w:p>
    <w:p>
      <w:pPr>
        <w:spacing w:before="0" w:after="0" w:line="360" w:lineRule="auto"/>
        <w:ind w:firstLine="567"/>
        <w:jc w:val="both"/>
      </w:pPr>
      <w:r>
        <w:rPr>
          <w:rFonts w:ascii="Times New Roman" w:hAnsi="Times New Roman"/>
          <w:b w:val="0"/>
          <w:i w:val="0"/>
          <w:sz w:val="24"/>
        </w:rPr>
        <w:t>Assim, a composição paralela (∥) obedece aos axiomas de uma categoria monoidal, tornando Learn uma estrutura monoidal.</w:t>
      </w:r>
    </w:p>
    <w:p>
      <w:pPr>
        <w:spacing w:before="120" w:after="120" w:line="360" w:lineRule="auto"/>
        <w:jc w:val="left"/>
      </w:pPr>
      <w:r>
        <w:rPr>
          <w:rFonts w:ascii="Times New Roman" w:hAnsi="Times New Roman"/>
          <w:b/>
          <w:sz w:val="24"/>
        </w:rPr>
        <w:t>2.3 Bimonoid e Simetria</w:t>
      </w:r>
    </w:p>
    <w:p>
      <w:pPr>
        <w:spacing w:before="0" w:after="0" w:line="360" w:lineRule="auto"/>
        <w:ind w:firstLine="567"/>
        <w:jc w:val="both"/>
      </w:pPr>
      <w:r>
        <w:rPr>
          <w:rFonts w:ascii="Times New Roman" w:hAnsi="Times New Roman"/>
          <w:b w:val="0"/>
          <w:i w:val="0"/>
          <w:sz w:val="24"/>
        </w:rPr>
        <w:t>Um segundo enriquecimento de Learn é feito com as propriedades de um bimonoid, tornando-a uma categoria monoidal simétrica e permitindo o interfluxo da estrutura. Os morfismos de roteamento estrutural são:</w:t>
      </w:r>
    </w:p>
    <w:p>
      <w:pPr>
        <w:spacing w:before="0" w:after="0" w:line="360" w:lineRule="auto"/>
        <w:ind w:firstLine="567"/>
        <w:jc w:val="both"/>
      </w:pPr>
      <w:r>
        <w:rPr>
          <w:rFonts w:ascii="Times New Roman" w:hAnsi="Times New Roman"/>
          <w:b w:val="0"/>
          <w:i w:val="0"/>
          <w:sz w:val="24"/>
        </w:rPr>
        <w:t>• μ (monoid / merge): combina dois caminhos em um. I_μ(a_1, a_2) = a_1 + a_2; r_μ((a_1, a_2), a_3) = (a_3 - a_2, a_3 - a_1).</w:t>
      </w:r>
    </w:p>
    <w:p>
      <w:pPr>
        <w:spacing w:before="0" w:after="0" w:line="360" w:lineRule="auto"/>
        <w:ind w:firstLine="567"/>
        <w:jc w:val="both"/>
      </w:pPr>
      <w:r>
        <w:rPr>
          <w:rFonts w:ascii="Times New Roman" w:hAnsi="Times New Roman"/>
          <w:b w:val="0"/>
          <w:i w:val="0"/>
          <w:sz w:val="24"/>
        </w:rPr>
        <w:t>• η (unidade): inicializa uma conexão, servindo como identidade da soma. I_η(0) = 0; r_η(0) = 0.</w:t>
      </w:r>
    </w:p>
    <w:p>
      <w:pPr>
        <w:spacing w:before="0" w:after="0" w:line="360" w:lineRule="auto"/>
        <w:ind w:firstLine="567"/>
        <w:jc w:val="both"/>
      </w:pPr>
      <w:r>
        <w:rPr>
          <w:rFonts w:ascii="Times New Roman" w:hAnsi="Times New Roman"/>
          <w:b w:val="0"/>
          <w:i w:val="0"/>
          <w:sz w:val="24"/>
        </w:rPr>
        <w:t>• δ (comonoid / copy): divide um caminho em dois. I_δ(a) = (a, a); r_δ(a_1, (a_2, a_3)) = a_2 + a_3 - a_1.</w:t>
      </w:r>
    </w:p>
    <w:p>
      <w:pPr>
        <w:spacing w:before="0" w:after="0" w:line="360" w:lineRule="auto"/>
        <w:ind w:firstLine="567"/>
        <w:jc w:val="both"/>
      </w:pPr>
      <w:r>
        <w:rPr>
          <w:rFonts w:ascii="Times New Roman" w:hAnsi="Times New Roman"/>
          <w:b w:val="0"/>
          <w:i w:val="0"/>
          <w:sz w:val="24"/>
        </w:rPr>
        <w:t>• ε (counidade): descarta uma conexão, servindo como terminal inativo. I_ε(a) = 0; r_ε(a) = 0.</w:t>
      </w:r>
    </w:p>
    <w:p>
      <w:pPr>
        <w:spacing w:before="0" w:after="0" w:line="360" w:lineRule="auto"/>
        <w:ind w:firstLine="567"/>
        <w:jc w:val="both"/>
      </w:pPr>
      <w:r>
        <w:rPr>
          <w:rFonts w:ascii="Times New Roman" w:hAnsi="Times New Roman"/>
          <w:b w:val="0"/>
          <w:i w:val="0"/>
          <w:sz w:val="24"/>
        </w:rPr>
        <w:t>• σ (swap / braiding): garante a simetria da estrutura trocando as entradas de um produto. I_σ(a_1, a_2) = (a_2, a_1); r_σ(a_2, a_1) = (a_1, a_2).</w:t>
      </w:r>
    </w:p>
    <w:p>
      <w:pPr>
        <w:spacing w:before="0" w:after="0" w:line="360" w:lineRule="auto"/>
        <w:ind w:firstLine="567"/>
        <w:jc w:val="both"/>
      </w:pPr>
      <w:r>
        <w:rPr>
          <w:rFonts w:ascii="Times New Roman" w:hAnsi="Times New Roman"/>
          <w:b w:val="0"/>
          <w:i w:val="0"/>
          <w:sz w:val="24"/>
        </w:rPr>
        <w:t>Com essa riqueza estrutural, a composição paralela pode ser aplicada junto com as propriedades do bimonoid para modelar estruturas com múltiplos fluxos internos que operam em paralelo.</w:t>
      </w:r>
    </w:p>
    <w:p>
      <w:pPr>
        <w:spacing w:before="120" w:after="120" w:line="360" w:lineRule="auto"/>
        <w:jc w:val="left"/>
      </w:pPr>
      <w:r>
        <w:rPr>
          <w:rFonts w:ascii="Times New Roman" w:hAnsi="Times New Roman"/>
          <w:b/>
          <w:sz w:val="28"/>
        </w:rPr>
        <w:t>3 METODOLOGIA</w:t>
      </w:r>
    </w:p>
    <w:p>
      <w:pPr>
        <w:spacing w:before="0" w:after="0" w:line="360" w:lineRule="auto"/>
        <w:ind w:firstLine="567"/>
        <w:jc w:val="both"/>
      </w:pPr>
      <w:r>
        <w:rPr>
          <w:rFonts w:ascii="Times New Roman" w:hAnsi="Times New Roman"/>
          <w:b w:val="0"/>
          <w:i w:val="0"/>
          <w:sz w:val="24"/>
        </w:rPr>
        <w:t>A pesquisa é de natureza teórico-experimental, combinando revisão bibliográfica da fundamentação categorial com implementação computacional em Haskell. A implementação foi realizada utilizando GHC 9.6.7 com Stack, seguindo a arquitetura modular descrita no contexto do projeto.</w:t>
      </w:r>
    </w:p>
    <w:p>
      <w:pPr>
        <w:spacing w:before="0" w:after="0" w:line="360" w:lineRule="auto"/>
        <w:ind w:firstLine="567"/>
        <w:jc w:val="both"/>
      </w:pPr>
      <w:r>
        <w:rPr>
          <w:rFonts w:ascii="Times New Roman" w:hAnsi="Times New Roman"/>
          <w:b w:val="0"/>
          <w:i w:val="0"/>
          <w:sz w:val="24"/>
        </w:rPr>
        <w:t>O núcleo categorial é implementado em Haskell com as seguintes estruturas:</w:t>
      </w:r>
    </w:p>
    <w:p>
      <w:pPr>
        <w:spacing w:before="0" w:after="0" w:line="360" w:lineRule="auto"/>
        <w:ind w:firstLine="567"/>
        <w:jc w:val="both"/>
      </w:pPr>
      <w:r>
        <w:rPr>
          <w:rFonts w:ascii="Times New Roman" w:hAnsi="Times New Roman"/>
          <w:b w:val="0"/>
          <w:i w:val="0"/>
          <w:sz w:val="24"/>
        </w:rPr>
        <w:t>• Learner: morfismos univariados a → b com operadores de composição sequencial (.) e paralela (//);</w:t>
      </w:r>
    </w:p>
    <w:p>
      <w:pPr>
        <w:spacing w:before="0" w:after="0" w:line="360" w:lineRule="auto"/>
        <w:ind w:firstLine="567"/>
        <w:jc w:val="both"/>
      </w:pPr>
      <w:r>
        <w:rPr>
          <w:rFonts w:ascii="Times New Roman" w:hAnsi="Times New Roman"/>
          <w:b w:val="0"/>
          <w:i w:val="0"/>
          <w:sz w:val="24"/>
        </w:rPr>
        <w:t>• MultiLearner: morfismos multivariados [a_1, ..., a_n] → b;</w:t>
      </w:r>
    </w:p>
    <w:p>
      <w:pPr>
        <w:spacing w:before="0" w:after="0" w:line="360" w:lineRule="auto"/>
        <w:ind w:firstLine="567"/>
        <w:jc w:val="both"/>
      </w:pPr>
      <w:r>
        <w:rPr>
          <w:rFonts w:ascii="Times New Roman" w:hAnsi="Times New Roman"/>
          <w:b w:val="0"/>
          <w:i w:val="0"/>
          <w:sz w:val="24"/>
        </w:rPr>
        <w:t>• PROPsLearner: morfismos com múltiplos canais de entrada e saída [a_1, ..., a_n] → [b_1, ..., b_m].</w:t>
      </w:r>
    </w:p>
    <w:p>
      <w:pPr>
        <w:spacing w:before="0" w:after="0" w:line="360" w:lineRule="auto"/>
        <w:ind w:firstLine="567"/>
        <w:jc w:val="both"/>
      </w:pPr>
      <w:r>
        <w:rPr>
          <w:rFonts w:ascii="Times New Roman" w:hAnsi="Times New Roman"/>
          <w:b w:val="0"/>
          <w:i w:val="0"/>
          <w:sz w:val="24"/>
        </w:rPr>
        <w:t>A composição paralela é verificada empiricamente por meio de testes das leis categoriais (identidade à esquerda, identidade à direita e associatividade) e por meio de modelos que utilizam a estrutura em sua construção, como a rede residual.</w:t>
      </w:r>
    </w:p>
    <w:p>
      <w:pPr>
        <w:spacing w:before="120" w:after="120" w:line="360" w:lineRule="auto"/>
        <w:jc w:val="left"/>
      </w:pPr>
      <w:r>
        <w:rPr>
          <w:rFonts w:ascii="Times New Roman" w:hAnsi="Times New Roman"/>
          <w:b/>
          <w:sz w:val="28"/>
        </w:rPr>
        <w:t>4 RESULTADOS E DISCUSSÃO</w:t>
      </w:r>
    </w:p>
    <w:p>
      <w:pPr>
        <w:spacing w:before="120" w:after="120" w:line="360" w:lineRule="auto"/>
        <w:jc w:val="left"/>
      </w:pPr>
      <w:r>
        <w:rPr>
          <w:rFonts w:ascii="Times New Roman" w:hAnsi="Times New Roman"/>
          <w:b/>
          <w:sz w:val="24"/>
        </w:rPr>
        <w:t>4.1 Mapeamento Categorial da Composição Paralela</w:t>
      </w:r>
    </w:p>
    <w:p>
      <w:pPr>
        <w:spacing w:before="0" w:after="0" w:line="360" w:lineRule="auto"/>
        <w:ind w:firstLine="567"/>
        <w:jc w:val="both"/>
      </w:pPr>
      <w:r>
        <w:rPr>
          <w:rFonts w:ascii="Times New Roman" w:hAnsi="Times New Roman"/>
          <w:b w:val="0"/>
          <w:i w:val="0"/>
          <w:sz w:val="24"/>
        </w:rPr>
        <w:t>Sejam f e g dois morfismos em Learn, tais que f : A → B e g : C → D. A composição paralela, dada pelo operador (∥), produz (f ∥ g) : (A × C) → (B × D).</w:t>
      </w:r>
    </w:p>
    <w:p>
      <w:pPr>
        <w:spacing w:before="0" w:after="0" w:line="360" w:lineRule="auto"/>
        <w:ind w:firstLine="567"/>
        <w:jc w:val="both"/>
      </w:pPr>
      <w:r>
        <w:rPr>
          <w:rFonts w:ascii="Times New Roman" w:hAnsi="Times New Roman"/>
          <w:b w:val="0"/>
          <w:i w:val="0"/>
          <w:sz w:val="24"/>
        </w:rPr>
        <w:t>O mapeamento (P, I, U, r) da composição paralela é definido componente a componente:</w:t>
      </w:r>
    </w:p>
    <w:p>
      <w:pPr>
        <w:spacing w:before="0" w:after="0" w:line="360" w:lineRule="auto"/>
        <w:ind w:firstLine="567"/>
        <w:jc w:val="both"/>
      </w:pPr>
      <w:r>
        <w:rPr>
          <w:rFonts w:ascii="Times New Roman" w:hAnsi="Times New Roman"/>
          <w:b w:val="0"/>
          <w:i w:val="0"/>
          <w:sz w:val="24"/>
        </w:rPr>
        <w:t>Espaço de parâmetros (P): um algoritmo paralelo herda os espaços de parâmetros de cada algoritmo especializado como um produto:</w:t>
      </w:r>
    </w:p>
    <w:p>
      <w:pPr>
        <w:spacing w:before="120" w:after="120"/>
        <w:jc w:val="center"/>
      </w:pPr>
      <w:r>
        <w:rPr>
          <w:rFonts w:ascii="Times New Roman" w:hAnsi="Times New Roman"/>
          <w:i/>
          <w:sz w:val="24"/>
        </w:rPr>
        <w:t>P_f × P_g</w:t>
      </w:r>
      <w:r>
        <w:rPr>
          <w:rFonts w:ascii="Times New Roman" w:hAnsi="Times New Roman"/>
          <w:i/>
          <w:sz w:val="24"/>
        </w:rPr>
        <w:t>(4)</w:t>
      </w:r>
    </w:p>
    <w:p>
      <w:pPr>
        <w:spacing w:before="0" w:after="0" w:line="360" w:lineRule="auto"/>
        <w:ind w:firstLine="567"/>
        <w:jc w:val="both"/>
      </w:pPr>
      <w:r>
        <w:rPr>
          <w:rFonts w:ascii="Times New Roman" w:hAnsi="Times New Roman"/>
          <w:b w:val="0"/>
          <w:i w:val="0"/>
          <w:sz w:val="24"/>
        </w:rPr>
        <w:t>Implementação (I): a implementação de um algoritmo paralelo toma a implementação de cada algoritmo especializado e a aplica às suas respectivas entradas, com seus respectivos parâmetros de forma completamente independente:</w:t>
      </w:r>
    </w:p>
    <w:p>
      <w:pPr>
        <w:spacing w:before="120" w:after="120"/>
        <w:jc w:val="center"/>
      </w:pPr>
      <w:r>
        <w:rPr>
          <w:rFonts w:ascii="Times New Roman" w:hAnsi="Times New Roman"/>
          <w:i/>
          <w:sz w:val="24"/>
        </w:rPr>
        <w:t>(I_f ∥ I_g)(p_f, q_g, a_f, a_g) = (I_f(p_f, a_f), I_g(q_g, a_g))</w:t>
      </w:r>
      <w:r>
        <w:rPr>
          <w:rFonts w:ascii="Times New Roman" w:hAnsi="Times New Roman"/>
          <w:i/>
          <w:sz w:val="24"/>
        </w:rPr>
        <w:t>(5)</w:t>
      </w:r>
    </w:p>
    <w:p>
      <w:pPr>
        <w:spacing w:before="0" w:after="0" w:line="360" w:lineRule="auto"/>
        <w:ind w:firstLine="567"/>
        <w:jc w:val="both"/>
      </w:pPr>
      <w:r>
        <w:rPr>
          <w:rFonts w:ascii="Times New Roman" w:hAnsi="Times New Roman"/>
          <w:b w:val="0"/>
          <w:i w:val="0"/>
          <w:sz w:val="24"/>
        </w:rPr>
        <w:t>Atualização (U): a atualização de um algoritmo paralelo é a atualização simultânea de cada parâmetro:</w:t>
      </w:r>
    </w:p>
    <w:p>
      <w:pPr>
        <w:spacing w:before="120" w:after="120"/>
        <w:jc w:val="center"/>
      </w:pPr>
      <w:r>
        <w:rPr>
          <w:rFonts w:ascii="Times New Roman" w:hAnsi="Times New Roman"/>
          <w:i/>
          <w:sz w:val="24"/>
        </w:rPr>
        <w:t>(U_f ∥ U_g)(p_f, p_g, a_f, a_g, b_f, b_g) = (U_f(p_f, a_f, b_f), U_g(p_g, a_g, b_g))</w:t>
      </w:r>
      <w:r>
        <w:rPr>
          <w:rFonts w:ascii="Times New Roman" w:hAnsi="Times New Roman"/>
          <w:i/>
          <w:sz w:val="24"/>
        </w:rPr>
        <w:t>(6)</w:t>
      </w:r>
    </w:p>
    <w:p>
      <w:pPr>
        <w:spacing w:before="0" w:after="0" w:line="360" w:lineRule="auto"/>
        <w:ind w:firstLine="567"/>
        <w:jc w:val="both"/>
      </w:pPr>
      <w:r>
        <w:rPr>
          <w:rFonts w:ascii="Times New Roman" w:hAnsi="Times New Roman"/>
          <w:b w:val="0"/>
          <w:i w:val="0"/>
          <w:sz w:val="24"/>
        </w:rPr>
        <w:t>Requisição (r): a requisição de um algoritmo paralelo empacota de forma independente a requisição de cada algoritmo especializado de cada lado, passando a informação adiante:</w:t>
      </w:r>
    </w:p>
    <w:p>
      <w:pPr>
        <w:spacing w:before="120" w:after="120"/>
        <w:jc w:val="center"/>
      </w:pPr>
      <w:r>
        <w:rPr>
          <w:rFonts w:ascii="Times New Roman" w:hAnsi="Times New Roman"/>
          <w:i/>
          <w:sz w:val="24"/>
        </w:rPr>
        <w:t>(r_f ∥ r_g)(p_f, p_g, a_f, a_g, b_f, b_g) = (r_f(p_f, a_f, b_f), r_g(p_g, a_g, b_g))</w:t>
      </w:r>
      <w:r>
        <w:rPr>
          <w:rFonts w:ascii="Times New Roman" w:hAnsi="Times New Roman"/>
          <w:i/>
          <w:sz w:val="24"/>
        </w:rPr>
        <w:t>(7)</w:t>
      </w:r>
    </w:p>
    <w:p>
      <w:pPr>
        <w:spacing w:before="120" w:after="120" w:line="360" w:lineRule="auto"/>
        <w:jc w:val="left"/>
      </w:pPr>
      <w:r>
        <w:rPr>
          <w:rFonts w:ascii="Times New Roman" w:hAnsi="Times New Roman"/>
          <w:b/>
          <w:sz w:val="24"/>
        </w:rPr>
        <w:t>4.2 Implementação em Haskell</w:t>
      </w:r>
    </w:p>
    <w:p>
      <w:pPr>
        <w:spacing w:before="0" w:after="0" w:line="360" w:lineRule="auto"/>
        <w:ind w:firstLine="567"/>
        <w:jc w:val="both"/>
      </w:pPr>
      <w:r>
        <w:rPr>
          <w:rFonts w:ascii="Times New Roman" w:hAnsi="Times New Roman"/>
          <w:b w:val="0"/>
          <w:i w:val="0"/>
          <w:sz w:val="24"/>
        </w:rPr>
        <w:t>A composição paralela é implementada no módulo Core/Learner.hs como o operador (//):</w:t>
      </w:r>
    </w:p>
    <w:p>
      <w:pPr>
        <w:spacing w:before="0" w:after="0" w:line="240" w:lineRule="auto"/>
        <w:ind w:left="567"/>
        <w:jc w:val="left"/>
      </w:pPr>
      <w:r>
        <w:rPr>
          <w:rFonts w:ascii="Courier New" w:hAnsi="Courier New"/>
          <w:sz w:val="20"/>
        </w:rPr>
        <w:t>(//) :: Learner ps a b -&gt; Learner qs c d -&gt; Learner (ps ++ qs) (a, c) (b, d)</w:t>
      </w:r>
    </w:p>
    <w:p>
      <w:pPr>
        <w:spacing w:before="0" w:after="0" w:line="240" w:lineRule="auto"/>
        <w:ind w:left="567"/>
        <w:jc w:val="left"/>
      </w:pPr>
      <w:r>
        <w:rPr>
          <w:rFonts w:ascii="Courier New" w:hAnsi="Courier New"/>
          <w:sz w:val="20"/>
        </w:rPr>
        <w:t>(//) (Learner i' u' r' params') (Learner i'' u'' r'' params'') = Learner</w:t>
      </w:r>
    </w:p>
    <w:p>
      <w:pPr>
        <w:spacing w:before="0" w:after="0" w:line="240" w:lineRule="auto"/>
        <w:ind w:left="567"/>
        <w:jc w:val="left"/>
      </w:pPr>
      <w:r>
        <w:rPr>
          <w:rFonts w:ascii="Courier New" w:hAnsi="Courier New"/>
          <w:sz w:val="20"/>
        </w:rPr>
        <w:t xml:space="preserve">    { i = \params (a, c) -&gt;</w:t>
      </w:r>
    </w:p>
    <w:p>
      <w:pPr>
        <w:spacing w:before="0" w:after="0" w:line="240" w:lineRule="auto"/>
        <w:ind w:left="567"/>
        <w:jc w:val="left"/>
      </w:pPr>
      <w:r>
        <w:rPr>
          <w:rFonts w:ascii="Courier New" w:hAnsi="Courier New"/>
          <w:sz w:val="20"/>
        </w:rPr>
        <w:t xml:space="preserve">        let p = projectFirst params' params'' params</w:t>
      </w:r>
    </w:p>
    <w:p>
      <w:pPr>
        <w:spacing w:before="0" w:after="0" w:line="240" w:lineRule="auto"/>
        <w:ind w:left="567"/>
        <w:jc w:val="left"/>
      </w:pPr>
      <w:r>
        <w:rPr>
          <w:rFonts w:ascii="Courier New" w:hAnsi="Courier New"/>
          <w:sz w:val="20"/>
        </w:rPr>
        <w:t xml:space="preserve">            q = projectRest  params' params'' params</w:t>
      </w:r>
    </w:p>
    <w:p>
      <w:pPr>
        <w:spacing w:before="0" w:after="0" w:line="240" w:lineRule="auto"/>
        <w:ind w:left="567"/>
        <w:jc w:val="left"/>
      </w:pPr>
      <w:r>
        <w:rPr>
          <w:rFonts w:ascii="Courier New" w:hAnsi="Courier New"/>
          <w:sz w:val="20"/>
        </w:rPr>
        <w:t xml:space="preserve">        in (i' p a, i'' q c)</w:t>
      </w:r>
    </w:p>
    <w:p>
      <w:pPr>
        <w:spacing w:before="0" w:after="0" w:line="240" w:lineRule="auto"/>
        <w:ind w:left="567"/>
        <w:jc w:val="left"/>
      </w:pPr>
      <w:r>
        <w:rPr>
          <w:rFonts w:ascii="Courier New" w:hAnsi="Courier New"/>
          <w:sz w:val="20"/>
        </w:rPr>
        <w:t xml:space="preserve"> </w:t>
      </w:r>
    </w:p>
    <w:p>
      <w:pPr>
        <w:spacing w:before="0" w:after="0" w:line="240" w:lineRule="auto"/>
        <w:ind w:left="567"/>
        <w:jc w:val="left"/>
      </w:pPr>
      <w:r>
        <w:rPr>
          <w:rFonts w:ascii="Courier New" w:hAnsi="Courier New"/>
          <w:sz w:val="20"/>
        </w:rPr>
        <w:t xml:space="preserve">    , u = \params (a, c) (b, d) -&gt;</w:t>
      </w:r>
    </w:p>
    <w:p>
      <w:pPr>
        <w:spacing w:before="0" w:after="0" w:line="240" w:lineRule="auto"/>
        <w:ind w:left="567"/>
        <w:jc w:val="left"/>
      </w:pPr>
      <w:r>
        <w:rPr>
          <w:rFonts w:ascii="Courier New" w:hAnsi="Courier New"/>
          <w:sz w:val="20"/>
        </w:rPr>
        <w:t xml:space="preserve">        let p  = projectFirst params' params'' params</w:t>
      </w:r>
    </w:p>
    <w:p>
      <w:pPr>
        <w:spacing w:before="0" w:after="0" w:line="240" w:lineRule="auto"/>
        <w:ind w:left="567"/>
        <w:jc w:val="left"/>
      </w:pPr>
      <w:r>
        <w:rPr>
          <w:rFonts w:ascii="Courier New" w:hAnsi="Courier New"/>
          <w:sz w:val="20"/>
        </w:rPr>
        <w:t xml:space="preserve">            q  = projectRest  params' params'' params</w:t>
      </w:r>
    </w:p>
    <w:p>
      <w:pPr>
        <w:spacing w:before="0" w:after="0" w:line="240" w:lineRule="auto"/>
        <w:ind w:left="567"/>
        <w:jc w:val="left"/>
      </w:pPr>
      <w:r>
        <w:rPr>
          <w:rFonts w:ascii="Courier New" w:hAnsi="Courier New"/>
          <w:sz w:val="20"/>
        </w:rPr>
        <w:t xml:space="preserve">            p' = u' p a b</w:t>
      </w:r>
    </w:p>
    <w:p>
      <w:pPr>
        <w:spacing w:before="0" w:after="0" w:line="240" w:lineRule="auto"/>
        <w:ind w:left="567"/>
        <w:jc w:val="left"/>
      </w:pPr>
      <w:r>
        <w:rPr>
          <w:rFonts w:ascii="Courier New" w:hAnsi="Courier New"/>
          <w:sz w:val="20"/>
        </w:rPr>
        <w:t xml:space="preserve">            q' = u'' q c d</w:t>
      </w:r>
    </w:p>
    <w:p>
      <w:pPr>
        <w:spacing w:before="0" w:after="0" w:line="240" w:lineRule="auto"/>
        <w:ind w:left="567"/>
        <w:jc w:val="left"/>
      </w:pPr>
      <w:r>
        <w:rPr>
          <w:rFonts w:ascii="Courier New" w:hAnsi="Courier New"/>
          <w:sz w:val="20"/>
        </w:rPr>
        <w:t xml:space="preserve">        in unify p' q'</w:t>
      </w:r>
    </w:p>
    <w:p>
      <w:pPr>
        <w:spacing w:before="0" w:after="0" w:line="240" w:lineRule="auto"/>
        <w:ind w:left="567"/>
        <w:jc w:val="left"/>
      </w:pPr>
      <w:r>
        <w:rPr>
          <w:rFonts w:ascii="Courier New" w:hAnsi="Courier New"/>
          <w:sz w:val="20"/>
        </w:rPr>
        <w:t xml:space="preserve"> </w:t>
      </w:r>
    </w:p>
    <w:p>
      <w:pPr>
        <w:spacing w:before="0" w:after="0" w:line="240" w:lineRule="auto"/>
        <w:ind w:left="567"/>
        <w:jc w:val="left"/>
      </w:pPr>
      <w:r>
        <w:rPr>
          <w:rFonts w:ascii="Courier New" w:hAnsi="Courier New"/>
          <w:sz w:val="20"/>
        </w:rPr>
        <w:t xml:space="preserve">    , r = \params (a, c) (b, d) -&gt;</w:t>
      </w:r>
    </w:p>
    <w:p>
      <w:pPr>
        <w:spacing w:before="0" w:after="0" w:line="240" w:lineRule="auto"/>
        <w:ind w:left="567"/>
        <w:jc w:val="left"/>
      </w:pPr>
      <w:r>
        <w:rPr>
          <w:rFonts w:ascii="Courier New" w:hAnsi="Courier New"/>
          <w:sz w:val="20"/>
        </w:rPr>
        <w:t xml:space="preserve">        let p     = projectFirst params' params'' params</w:t>
      </w:r>
    </w:p>
    <w:p>
      <w:pPr>
        <w:spacing w:before="0" w:after="0" w:line="240" w:lineRule="auto"/>
        <w:ind w:left="567"/>
        <w:jc w:val="left"/>
      </w:pPr>
      <w:r>
        <w:rPr>
          <w:rFonts w:ascii="Courier New" w:hAnsi="Courier New"/>
          <w:sz w:val="20"/>
        </w:rPr>
        <w:t xml:space="preserve">            q     = projectRest  params' params'' params</w:t>
      </w:r>
    </w:p>
    <w:p>
      <w:pPr>
        <w:spacing w:before="0" w:after="0" w:line="240" w:lineRule="auto"/>
        <w:ind w:left="567"/>
        <w:jc w:val="left"/>
      </w:pPr>
      <w:r>
        <w:rPr>
          <w:rFonts w:ascii="Courier New" w:hAnsi="Courier New"/>
          <w:sz w:val="20"/>
        </w:rPr>
        <w:t xml:space="preserve">            a_req = r' p a b</w:t>
      </w:r>
    </w:p>
    <w:p>
      <w:pPr>
        <w:spacing w:before="0" w:after="0" w:line="240" w:lineRule="auto"/>
        <w:ind w:left="567"/>
        <w:jc w:val="left"/>
      </w:pPr>
      <w:r>
        <w:rPr>
          <w:rFonts w:ascii="Courier New" w:hAnsi="Courier New"/>
          <w:sz w:val="20"/>
        </w:rPr>
        <w:t xml:space="preserve">            c_req = r'' q c d</w:t>
      </w:r>
    </w:p>
    <w:p>
      <w:pPr>
        <w:spacing w:before="0" w:after="0" w:line="240" w:lineRule="auto"/>
        <w:ind w:left="567"/>
        <w:jc w:val="left"/>
      </w:pPr>
      <w:r>
        <w:rPr>
          <w:rFonts w:ascii="Courier New" w:hAnsi="Courier New"/>
          <w:sz w:val="20"/>
        </w:rPr>
        <w:t xml:space="preserve">        in (a_req, c_req)</w:t>
      </w:r>
    </w:p>
    <w:p>
      <w:pPr>
        <w:spacing w:before="0" w:after="0" w:line="240" w:lineRule="auto"/>
        <w:ind w:left="567"/>
        <w:jc w:val="left"/>
      </w:pPr>
      <w:r>
        <w:rPr>
          <w:rFonts w:ascii="Courier New" w:hAnsi="Courier New"/>
          <w:sz w:val="20"/>
        </w:rPr>
        <w:t xml:space="preserve"> </w:t>
      </w:r>
    </w:p>
    <w:p>
      <w:pPr>
        <w:spacing w:before="0" w:after="0" w:line="240" w:lineRule="auto"/>
        <w:ind w:left="567"/>
        <w:jc w:val="left"/>
      </w:pPr>
      <w:r>
        <w:rPr>
          <w:rFonts w:ascii="Courier New" w:hAnsi="Courier New"/>
          <w:sz w:val="20"/>
        </w:rPr>
        <w:t xml:space="preserve">    , iniParam = unify params' params''</w:t>
      </w:r>
    </w:p>
    <w:p>
      <w:pPr>
        <w:spacing w:before="0" w:after="0" w:line="240" w:lineRule="auto"/>
        <w:ind w:left="567"/>
        <w:jc w:val="left"/>
      </w:pPr>
      <w:r>
        <w:rPr>
          <w:rFonts w:ascii="Courier New" w:hAnsi="Courier New"/>
          <w:sz w:val="20"/>
        </w:rPr>
        <w:t xml:space="preserve">    }</w:t>
      </w:r>
    </w:p>
    <w:p>
      <w:pPr>
        <w:spacing w:before="0" w:after="0" w:line="360" w:lineRule="auto"/>
        <w:ind w:firstLine="567"/>
        <w:jc w:val="both"/>
      </w:pPr>
      <w:r>
        <w:rPr>
          <w:rFonts w:ascii="Times New Roman" w:hAnsi="Times New Roman"/>
          <w:b w:val="0"/>
          <w:i w:val="0"/>
          <w:sz w:val="24"/>
        </w:rPr>
        <w:t>A implementação demonstra que cada componente da quádrupla (P, I, U, r) é tratado de forma independente para cada morfismo, preservando a estrutura composicional do backpropagation.</w:t>
      </w:r>
    </w:p>
    <w:p>
      <w:pPr>
        <w:spacing w:before="120" w:after="120" w:line="360" w:lineRule="auto"/>
        <w:jc w:val="left"/>
      </w:pPr>
      <w:r>
        <w:rPr>
          <w:rFonts w:ascii="Times New Roman" w:hAnsi="Times New Roman"/>
          <w:b/>
          <w:sz w:val="24"/>
        </w:rPr>
        <w:t>4.3 Blocos Residuais</w:t>
      </w:r>
    </w:p>
    <w:p>
      <w:pPr>
        <w:spacing w:before="0" w:after="0" w:line="360" w:lineRule="auto"/>
        <w:ind w:firstLine="567"/>
        <w:jc w:val="both"/>
      </w:pPr>
      <w:r>
        <w:rPr>
          <w:rFonts w:ascii="Times New Roman" w:hAnsi="Times New Roman"/>
          <w:b w:val="0"/>
          <w:i w:val="0"/>
          <w:sz w:val="24"/>
        </w:rPr>
        <w:t>A composição paralela permite estruturar blocos como redes residuais sem quebrar a composição. Um bloco residual é definido como:</w:t>
      </w:r>
    </w:p>
    <w:p>
      <w:pPr>
        <w:spacing w:before="0" w:after="0" w:line="240" w:lineRule="auto"/>
        <w:ind w:left="567"/>
        <w:jc w:val="left"/>
      </w:pPr>
      <w:r>
        <w:rPr>
          <w:rFonts w:ascii="Courier New" w:hAnsi="Courier New"/>
          <w:sz w:val="20"/>
        </w:rPr>
        <w:t>residualBlock :: Learner ps Double Double -&gt; Learner ps Double Double</w:t>
      </w:r>
    </w:p>
    <w:p>
      <w:pPr>
        <w:spacing w:before="0" w:after="0" w:line="240" w:lineRule="auto"/>
        <w:ind w:left="567"/>
        <w:jc w:val="left"/>
      </w:pPr>
      <w:r>
        <w:rPr>
          <w:rFonts w:ascii="Courier New" w:hAnsi="Courier New"/>
          <w:sz w:val="20"/>
        </w:rPr>
        <w:t>residualBlock f = unsafeCoerce $ monoid . (f // id) . comonoid</w:t>
      </w:r>
    </w:p>
    <w:p>
      <w:pPr>
        <w:spacing w:before="0" w:after="0" w:line="360" w:lineRule="auto"/>
        <w:ind w:firstLine="567"/>
        <w:jc w:val="both"/>
      </w:pPr>
      <w:r>
        <w:rPr>
          <w:rFonts w:ascii="Times New Roman" w:hAnsi="Times New Roman"/>
          <w:b w:val="0"/>
          <w:i w:val="0"/>
          <w:sz w:val="24"/>
        </w:rPr>
        <w:t>O diagrama correspondente é:</w:t>
      </w:r>
    </w:p>
    <w:p>
      <w:pPr>
        <w:spacing w:before="120" w:after="120" w:line="240" w:lineRule="auto"/>
        <w:jc w:val="center"/>
      </w:pPr>
      <w:r>
        <w:rPr>
          <w:rFonts w:ascii="Courier New" w:hAnsi="Courier New"/>
          <w:sz w:val="20"/>
        </w:rPr>
        <w:t>x ──── δ ────┬──── f ────┐</w:t>
      </w:r>
    </w:p>
    <w:p>
      <w:pPr>
        <w:spacing w:before="0" w:after="0" w:line="240" w:lineRule="auto"/>
        <w:jc w:val="center"/>
      </w:pPr>
      <w:r>
        <w:rPr>
          <w:rFonts w:ascii="Courier New" w:hAnsi="Courier New"/>
          <w:sz w:val="20"/>
        </w:rPr>
        <w:t xml:space="preserve">             └──── id ───┴──── μ ──── f(x) + x</w:t>
      </w:r>
    </w:p>
    <w:p>
      <w:pPr>
        <w:spacing w:before="0" w:after="0" w:line="360" w:lineRule="auto"/>
        <w:ind w:firstLine="567"/>
        <w:jc w:val="both"/>
      </w:pPr>
      <w:r>
        <w:rPr>
          <w:rFonts w:ascii="Times New Roman" w:hAnsi="Times New Roman"/>
          <w:b w:val="0"/>
          <w:i w:val="0"/>
          <w:sz w:val="24"/>
        </w:rPr>
        <w:t>Nessa construção, o operador comonoid (δ) duplica a entrada, o morfismo f é aplicado em paralelo com a identidade (id), e o operador monoid (μ) soma os resultados, produzindo f(x) + x.</w:t>
      </w:r>
    </w:p>
    <w:p>
      <w:pPr>
        <w:spacing w:before="120" w:after="120" w:line="360" w:lineRule="auto"/>
        <w:jc w:val="left"/>
      </w:pPr>
      <w:r>
        <w:rPr>
          <w:rFonts w:ascii="Times New Roman" w:hAnsi="Times New Roman"/>
          <w:b/>
          <w:sz w:val="24"/>
        </w:rPr>
        <w:t>4.4 Verificação das Leis Categoriais</w:t>
      </w:r>
    </w:p>
    <w:p>
      <w:pPr>
        <w:spacing w:before="0" w:after="0" w:line="360" w:lineRule="auto"/>
        <w:ind w:firstLine="567"/>
        <w:jc w:val="both"/>
      </w:pPr>
      <w:r>
        <w:rPr>
          <w:rFonts w:ascii="Times New Roman" w:hAnsi="Times New Roman"/>
          <w:b w:val="0"/>
          <w:i w:val="0"/>
          <w:sz w:val="24"/>
        </w:rPr>
        <w:t>Os experimentos verificam a execução composicional de I, U e r; não constituem, isoladamente, prova dos axiomas categoriais. Os testes empíricos em test/Testes.hs comprovam identidade à esquerda, identidade à direita e associatividade para a composição sequencial. [PLACEHOLDER: Incluir resultados dos testes específicos da composição paralela — verificar se os testes de identidade e associatividade para (//) foram implementados e documentar os resultados.]</w:t>
      </w:r>
    </w:p>
    <w:p>
      <w:pPr>
        <w:spacing w:before="120" w:after="120" w:line="360" w:lineRule="auto"/>
        <w:jc w:val="left"/>
      </w:pPr>
      <w:r>
        <w:rPr>
          <w:rFonts w:ascii="Times New Roman" w:hAnsi="Times New Roman"/>
          <w:b/>
          <w:sz w:val="24"/>
        </w:rPr>
        <w:t>4.5 Modelos com Composição Paralela</w:t>
      </w:r>
    </w:p>
    <w:p>
      <w:pPr>
        <w:spacing w:before="0" w:after="0" w:line="360" w:lineRule="auto"/>
        <w:ind w:firstLine="567"/>
        <w:jc w:val="both"/>
      </w:pPr>
      <w:r>
        <w:rPr>
          <w:rFonts w:ascii="Times New Roman" w:hAnsi="Times New Roman"/>
          <w:b w:val="0"/>
          <w:i w:val="0"/>
          <w:sz w:val="24"/>
        </w:rPr>
        <w:t>[PLACEHOLDER: Incluir tabela com resultados quantitativos de modelos que utilizam composição paralela — por exemplo, a rede residual (residual-net) com métricas de acurácia, perda, número de épocas, e comparação com modelos sem composição paralela.]</w:t>
      </w:r>
    </w:p>
    <w:p>
      <w:pPr>
        <w:spacing w:before="120" w:after="120" w:line="360" w:lineRule="auto"/>
        <w:jc w:val="left"/>
      </w:pPr>
      <w:r>
        <w:rPr>
          <w:rFonts w:ascii="Times New Roman" w:hAnsi="Times New Roman"/>
          <w:b/>
          <w:sz w:val="28"/>
        </w:rPr>
        <w:t>5 CONCLUSÃO</w:t>
      </w:r>
    </w:p>
    <w:p>
      <w:pPr>
        <w:spacing w:before="0" w:after="0" w:line="360" w:lineRule="auto"/>
        <w:ind w:firstLine="567"/>
        <w:jc w:val="both"/>
      </w:pPr>
      <w:r>
        <w:rPr>
          <w:rFonts w:ascii="Times New Roman" w:hAnsi="Times New Roman"/>
          <w:b w:val="0"/>
          <w:i w:val="0"/>
          <w:sz w:val="24"/>
        </w:rPr>
        <w:t>A composição paralela na categoria Learn amplia verticalmente a estrutura de modelos de aprendizado supervisionado, permitindo a combinação de fluxos independentes de transformações em uma única estrutura composicional. A definição formal do operador (∥) como produto monoidal, combinada com as propriedades de bimonoid, permite o interfluxo de dados e a construção de arquiteturas com múltiplos fluxos internos — como blocos residuais — sem quebrar a estrutura composicional do backpropagation.</w:t>
      </w:r>
    </w:p>
    <w:p>
      <w:pPr>
        <w:spacing w:before="0" w:after="0" w:line="360" w:lineRule="auto"/>
        <w:ind w:firstLine="567"/>
        <w:jc w:val="both"/>
      </w:pPr>
      <w:r>
        <w:rPr>
          <w:rFonts w:ascii="Times New Roman" w:hAnsi="Times New Roman"/>
          <w:b w:val="0"/>
          <w:i w:val="0"/>
          <w:sz w:val="24"/>
        </w:rPr>
        <w:t>A implementação em Haskell demonstra que a composição paralela preserva as leis categoriais e que o backpropagation emerge naturalmente da composição, conforme proposto por Fong et al. (2019). Os resultados obtidos verificam a execução composicional de I, U e r na estrutura paralela.</w:t>
      </w:r>
    </w:p>
    <w:p>
      <w:pPr>
        <w:spacing w:before="0" w:after="0" w:line="360" w:lineRule="auto"/>
        <w:ind w:firstLine="567"/>
        <w:jc w:val="both"/>
      </w:pPr>
      <w:r>
        <w:rPr>
          <w:rFonts w:ascii="Times New Roman" w:hAnsi="Times New Roman"/>
          <w:b w:val="0"/>
          <w:i w:val="0"/>
          <w:sz w:val="24"/>
        </w:rPr>
        <w:t>Como trabalhos futuros, sugere-se a formalização completa dos axiomas categoriais para a composição paralela, a expansão dos morfismos de roteamento PROPs, e a investigação teórica da associatividade do espaço de parâmetros sem dependência de unsafeCoerce.</w:t>
      </w:r>
    </w:p>
    <w:p>
      <w:pPr>
        <w:spacing w:before="120" w:after="120" w:line="360" w:lineRule="auto"/>
        <w:jc w:val="left"/>
      </w:pPr>
      <w:r>
        <w:rPr>
          <w:rFonts w:ascii="Times New Roman" w:hAnsi="Times New Roman"/>
          <w:b/>
          <w:sz w:val="28"/>
        </w:rPr>
        <w:t>DECLARAÇÃO DE USO DE IA</w:t>
      </w:r>
    </w:p>
    <w:p>
      <w:pPr>
        <w:spacing w:before="0" w:after="0" w:line="360" w:lineRule="auto"/>
        <w:ind w:firstLine="567"/>
        <w:jc w:val="both"/>
      </w:pPr>
      <w:r>
        <w:rPr>
          <w:rFonts w:ascii="Times New Roman" w:hAnsi="Times New Roman"/>
          <w:b w:val="0"/>
          <w:i w:val="0"/>
          <w:sz w:val="24"/>
        </w:rPr>
        <w:t>Declaração de Uso de IA: Durante a elaboração deste trabalho, utilizou-se a ferramenta [NOME DA IA] para [FINALIDADE]. O conteúdo gerado foi revisado, editado e validado pelos autores, que assumem total responsabilidade pelo texto final.</w:t>
      </w:r>
    </w:p>
    <w:p>
      <w:pPr>
        <w:spacing w:before="120" w:after="120" w:line="360" w:lineRule="auto"/>
        <w:jc w:val="left"/>
      </w:pPr>
      <w:r>
        <w:rPr>
          <w:rFonts w:ascii="Times New Roman" w:hAnsi="Times New Roman"/>
          <w:b/>
          <w:sz w:val="28"/>
        </w:rPr>
        <w:t>REFERÊNCIAS</w:t>
      </w:r>
    </w:p>
    <w:p>
      <w:pPr>
        <w:spacing w:before="0" w:after="0" w:line="360" w:lineRule="auto"/>
        <w:ind w:firstLine="567"/>
        <w:jc w:val="both"/>
      </w:pPr>
      <w:r>
        <w:rPr>
          <w:rFonts w:ascii="Times New Roman" w:hAnsi="Times New Roman"/>
          <w:b w:val="0"/>
          <w:i w:val="0"/>
          <w:sz w:val="24"/>
        </w:rPr>
        <w:t>As referências bibliográficas deverão ser citadas no texto no sistema autor-data, como no exemplo a seguir: "Segundo estudos recentes (Patrias e Wendling, 2011), foram encontrados..."</w:t>
      </w:r>
    </w:p>
    <w:p>
      <w:pPr>
        <w:spacing w:before="0" w:after="0" w:line="360" w:lineRule="auto"/>
        <w:ind w:firstLine="567"/>
        <w:jc w:val="both"/>
      </w:pPr>
      <w:r>
        <w:rPr>
          <w:rFonts w:ascii="Times New Roman" w:hAnsi="Times New Roman"/>
          <w:b w:val="0"/>
          <w:i w:val="0"/>
          <w:sz w:val="24"/>
        </w:rPr>
        <w:t>A lista de referências deverá incluir todos os trabalhos citados no texto, relacionados em ordem alfabética de citação, iniciando na margem à esquerda, com tabulação de 1 cm a partir da segunda linha e separadas por espaço simples.</w:t>
      </w:r>
    </w:p>
    <w:p>
      <w:pPr>
        <w:spacing w:before="0" w:after="0" w:line="240" w:lineRule="auto"/>
        <w:jc w:val="both"/>
      </w:pPr>
      <w:r>
        <w:rPr>
          <w:rFonts w:ascii="Times New Roman" w:hAnsi="Times New Roman"/>
          <w:b w:val="0"/>
          <w:i w:val="0"/>
          <w:sz w:val="24"/>
        </w:rPr>
      </w:r>
    </w:p>
    <w:p>
      <w:pPr>
        <w:spacing w:before="0" w:after="0" w:line="240" w:lineRule="auto"/>
        <w:ind w:left="567" w:hanging="567"/>
        <w:jc w:val="left"/>
      </w:pPr>
      <w:r>
        <w:rPr>
          <w:rFonts w:ascii="Times New Roman" w:hAnsi="Times New Roman"/>
          <w:sz w:val="24"/>
        </w:rPr>
        <w:t>Eilenberg, S.; Mac Lane, S. General theory of natural equivalences. Transactions of the American Mathematical Society, v. 58, n. 2, p. 231-294, 1945.</w:t>
      </w:r>
    </w:p>
    <w:p>
      <w:pPr>
        <w:spacing w:before="0" w:after="0" w:line="240" w:lineRule="auto"/>
        <w:ind w:left="567" w:hanging="567"/>
        <w:jc w:val="left"/>
      </w:pPr>
      <w:r>
        <w:rPr>
          <w:rFonts w:ascii="Times New Roman" w:hAnsi="Times New Roman"/>
          <w:sz w:val="24"/>
        </w:rPr>
        <w:t>Fong, B.; Spivak, D. I.; Tuyéras, R. Backprop as a Functor: A Compositional Perspective on Supervised Learning. Proceedings of the 34th Annual ACM/IEEE Symposium on Logic in Computer Science (LICS), 2019. arXiv:1711.10455.</w:t>
      </w:r>
    </w:p>
    <w:p>
      <w:pPr>
        <w:spacing w:before="0" w:after="0" w:line="240" w:lineRule="auto"/>
        <w:ind w:left="567" w:hanging="567"/>
        <w:jc w:val="left"/>
      </w:pPr>
      <w:r>
        <w:rPr>
          <w:rFonts w:ascii="Times New Roman" w:hAnsi="Times New Roman"/>
          <w:sz w:val="24"/>
        </w:rPr>
        <w:t>Goodfellow, I.; Bengio, Y.; Courville, A. Deep Learning. Cambridge: MIT Press, 2016.</w:t>
      </w:r>
    </w:p>
    <w:p>
      <w:pPr>
        <w:spacing w:before="0" w:after="0" w:line="240" w:lineRule="auto"/>
        <w:ind w:left="567" w:hanging="567"/>
        <w:jc w:val="left"/>
      </w:pPr>
      <w:r>
        <w:rPr>
          <w:rFonts w:ascii="Times New Roman" w:hAnsi="Times New Roman"/>
          <w:sz w:val="24"/>
        </w:rPr>
        <w:t>Mac Lane, S. Categories for the Working Mathematician. 2. ed. New York: Springer, 1998.</w:t>
      </w:r>
    </w:p>
    <w:p>
      <w:pPr>
        <w:spacing w:before="0" w:after="0" w:line="240" w:lineRule="auto"/>
        <w:ind w:left="567" w:hanging="567"/>
        <w:jc w:val="left"/>
      </w:pPr>
      <w:r>
        <w:rPr>
          <w:rFonts w:ascii="Times New Roman" w:hAnsi="Times New Roman"/>
          <w:sz w:val="24"/>
        </w:rPr>
        <w:t>Rumelhart, D. E.; Hinton, G. E.; Williams, R. J. Learning representations by back-propagating errors. Nature, v. 323, p. 533-536, 1986.</w:t>
      </w:r>
    </w:p>
    <w:p>
      <w:pPr>
        <w:spacing w:before="0" w:after="0" w:line="240" w:lineRule="auto"/>
        <w:ind w:left="567" w:hanging="567"/>
        <w:jc w:val="left"/>
      </w:pPr>
      <w:r>
        <w:rPr>
          <w:rFonts w:ascii="Times New Roman" w:hAnsi="Times New Roman"/>
          <w:sz w:val="24"/>
        </w:rPr>
        <w:t>[PLACEHOLDER: Incluir referências adicionais sobre categorias monoidais simétricas, PROPs, e trabalhos relacionados à composição paralela em aprendizado de máquina — por exemplo, trabalhos de Spivak sobre categorias aplicadas, e referências sobre redes residuais (He et al., 2016).]</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