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/>
        <w:spacing w:lineRule="auto" w:line="240" w:before="0" w:after="0"/>
        <w:jc w:val="center"/>
        <w:rPr>
          <w:rFonts w:ascii="Arial" w:hAnsi="Arial" w:eastAsia="Arial" w:cs="Arial"/>
          <w:b/>
          <w:bCs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UMA GENERALIZAÇÃO ESTRUTURAL DO APRENDIZADO SUPERVISIONADO VIA TEORIA DAS CATEGORIAS</w:t>
      </w:r>
    </w:p>
    <w:p>
      <w:pPr>
        <w:pStyle w:val="normal1"/>
        <w:keepNext w:val="true"/>
        <w:widowControl/>
        <w:spacing w:lineRule="auto" w:line="240" w:before="0" w:after="0"/>
        <w:jc w:val="center"/>
        <w:rPr>
          <w:rFonts w:ascii="Arial" w:hAnsi="Arial" w:eastAsia="Arial" w:cs="Arial"/>
          <w:b/>
          <w:bCs/>
          <w:sz w:val="26"/>
          <w:szCs w:val="26"/>
        </w:rPr>
      </w:pPr>
      <w:r>
        <w:rPr>
          <w:rFonts w:eastAsia="Arial" w:cs="Arial"/>
          <w:b/>
          <w:bCs/>
          <w:sz w:val="26"/>
          <w:szCs w:val="26"/>
        </w:rPr>
      </w:r>
    </w:p>
    <w:p>
      <w:pPr>
        <w:pStyle w:val="normal1"/>
        <w:widowControl/>
        <w:spacing w:lineRule="auto" w:line="240" w:before="0" w:after="0"/>
        <w:jc w:val="center"/>
        <w:rPr>
          <w:rFonts w:ascii="Arial" w:hAnsi="Arial" w:eastAsia="Arial" w:cs="Arial"/>
          <w:b/>
          <w:bCs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Kauã Santana da Silva</w:t>
      </w:r>
    </w:p>
    <w:p>
      <w:pPr>
        <w:pStyle w:val="normal1"/>
        <w:widowControl/>
        <w:spacing w:lineRule="auto" w:line="240" w:before="0" w:after="0"/>
        <w:jc w:val="center"/>
        <w:rPr>
          <w:rFonts w:ascii="Arial" w:hAnsi="Arial" w:eastAsia="Arial" w:cs="Arial"/>
          <w:b/>
          <w:bCs/>
          <w:sz w:val="26"/>
          <w:szCs w:val="26"/>
        </w:rPr>
      </w:pPr>
      <w:r>
        <w:rPr>
          <w:rFonts w:eastAsia="Arial" w:cs="Arial"/>
          <w:b/>
          <w:bCs/>
          <w:sz w:val="26"/>
          <w:szCs w:val="26"/>
        </w:rPr>
      </w:r>
    </w:p>
    <w:p>
      <w:pPr>
        <w:pStyle w:val="normal1"/>
        <w:widowControl/>
        <w:spacing w:lineRule="auto" w:line="240" w:before="0" w:after="0"/>
        <w:jc w:val="center"/>
        <w:rPr>
          <w:rFonts w:ascii="Arial" w:hAnsi="Arial" w:eastAsia="Arial" w:cs="Arial"/>
          <w:b/>
          <w:bCs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Alexandre Garcia de Oliveira</w:t>
      </w:r>
    </w:p>
    <w:p>
      <w:pPr>
        <w:pStyle w:val="normal1"/>
        <w:widowControl/>
        <w:spacing w:lineRule="auto" w:line="240" w:before="0" w:after="0"/>
        <w:jc w:val="center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eastAsia="Arial" w:cs="Arial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1"/>
        <w:widowControl/>
        <w:spacing w:lineRule="auto" w:line="240" w:before="0" w:after="0"/>
        <w:jc w:val="center"/>
        <w:rPr>
          <w:rFonts w:ascii="Arial" w:hAnsi="Arial" w:eastAsia="Arial" w:cs="Arial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</w:rPr>
        <w:t>Fatec Baixada Santista – Rubens Lara</w:t>
      </w:r>
    </w:p>
    <w:p>
      <w:pPr>
        <w:pStyle w:val="normal1"/>
        <w:widowControl/>
        <w:spacing w:lineRule="auto" w:line="240" w:before="0" w:after="0"/>
        <w:jc w:val="center"/>
        <w:rPr>
          <w:rFonts w:ascii="Arial" w:hAnsi="Arial" w:eastAsia="Arial" w:cs="Arial"/>
          <w:sz w:val="26"/>
          <w:szCs w:val="26"/>
        </w:rPr>
      </w:pPr>
      <w:r>
        <w:rPr>
          <w:rFonts w:eastAsia="Arial" w:cs="Arial"/>
          <w:sz w:val="26"/>
          <w:szCs w:val="26"/>
        </w:rPr>
      </w:r>
    </w:p>
    <w:p>
      <w:pPr>
        <w:pStyle w:val="normal1"/>
        <w:keepNext w:val="true"/>
        <w:widowControl/>
        <w:spacing w:lineRule="auto" w:line="240" w:before="0" w:after="0"/>
        <w:jc w:val="center"/>
        <w:rPr>
          <w:rFonts w:ascii="Arial" w:hAnsi="Arial" w:eastAsia="Arial" w:cs="Arial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kaua.silva22@aluno.cps.sp.gov.br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74" w:right="1474" w:gutter="0" w:header="0" w:top="1871" w:footer="0" w:bottom="2381"/>
          <w:pgNumType w:start="1" w:fmt="decimal"/>
          <w:formProt w:val="false"/>
          <w:textDirection w:val="lrTb"/>
          <w:docGrid w:type="default" w:linePitch="100" w:charSpace="8192"/>
        </w:sectPr>
      </w:pPr>
    </w:p>
    <w:p>
      <w:pPr>
        <w:pStyle w:val="normal1"/>
        <w:keepNext w:val="true"/>
        <w:widowControl/>
        <w:spacing w:lineRule="auto" w:line="240" w:before="100" w:after="60"/>
        <w:jc w:val="center"/>
        <w:rPr/>
      </w:pPr>
      <w:r>
        <w:rPr>
          <w:b/>
          <w:bCs/>
          <w:i w:val="false"/>
          <w:iCs w:val="false"/>
          <w:sz w:val="26"/>
          <w:szCs w:val="26"/>
        </w:rPr>
        <w:t>OBJETIVOS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Algoritmos de aprendizado supervisionado podem ser estudados, sob a perspectiva da Teoria das Categorias (Mac Lane, 1998), como transformações entre espaços de dados que admitem composição. Este projeto de Iniciação Científica tem como objetivo investigar a aplicação da abordagem apresentada por Fong </w:t>
      </w:r>
      <w:r>
        <w:rPr>
          <w:b w:val="false"/>
          <w:bCs w:val="false"/>
          <w:i/>
          <w:iCs/>
          <w:sz w:val="20"/>
          <w:szCs w:val="20"/>
        </w:rPr>
        <w:t>et al.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(2019) no artigo </w:t>
      </w:r>
      <w:r>
        <w:rPr>
          <w:b w:val="false"/>
          <w:bCs w:val="false"/>
          <w:i/>
          <w:iCs/>
          <w:sz w:val="20"/>
          <w:szCs w:val="20"/>
        </w:rPr>
        <w:t>Backprop as functor</w:t>
      </w:r>
      <w:r>
        <w:rPr>
          <w:b w:val="false"/>
          <w:bCs w:val="false"/>
          <w:i w:val="false"/>
          <w:iCs w:val="false"/>
          <w:sz w:val="20"/>
          <w:szCs w:val="20"/>
        </w:rPr>
        <w:t>, que interpreta o backpropagation de Rumelhart</w:t>
      </w:r>
      <w:r>
        <w:rPr>
          <w:b w:val="false"/>
          <w:bCs w:val="false"/>
          <w:i/>
          <w:iCs/>
          <w:sz w:val="20"/>
          <w:szCs w:val="20"/>
        </w:rPr>
        <w:t xml:space="preserve"> et al. </w:t>
      </w:r>
      <w:r>
        <w:rPr>
          <w:b w:val="false"/>
          <w:bCs w:val="false"/>
          <w:i w:val="false"/>
          <w:iCs w:val="false"/>
          <w:sz w:val="20"/>
          <w:szCs w:val="20"/>
        </w:rPr>
        <w:t>(1986) como funtor, para a representação estrutural do aprendizado supervisionado. A investigação busca compreender até que ponto essa estrutura pode ser estendida, tendo como etapas a implementação em categorias, sua generalização para multicategorias e, como trabalho futuro, sua extensão para PROPs.</w:t>
      </w:r>
    </w:p>
    <w:p>
      <w:pPr>
        <w:pStyle w:val="normal1"/>
        <w:keepNext w:val="true"/>
        <w:widowControl/>
        <w:spacing w:lineRule="auto" w:line="240" w:before="100" w:after="60"/>
        <w:jc w:val="center"/>
        <w:rPr/>
      </w:pPr>
      <w:r>
        <w:rPr>
          <w:b/>
          <w:bCs/>
          <w:i w:val="false"/>
          <w:iCs w:val="false"/>
          <w:sz w:val="26"/>
          <w:szCs w:val="26"/>
        </w:rPr>
        <w:t>MÉTODOS E PROCEDIMENTOS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 pesquisa é desenvolvida por meio do estudo da construção apresentada por Fong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et al.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(2019) e de sua implementação em Haskell. Na representação categorial, os algoritmos de aprendizado são modelados como morfismos entre espaços de dados, nomeados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learners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,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permitindo sua composição para a construção de modelos mais complexos. A implementação utiliza recursos do sistema de tipos de Haskell, incluindo GADTs (Peyton Jones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et al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., 2006) e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type families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(Chakravarty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et al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., 2005), para representar espaços de parâmetros como listas heterogêneas ao nível de tipos, como feito por Kisselyov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et al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. (2004), permitindo que diferentes tipos de parâmetros sejam associados a um mesmo modelo.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 partir dessa estrutura, a pesquisa investiga a extensão da representação para múltiplas entradas. Na generalização </w:t>
      </w:r>
      <w:r>
        <w:rPr/>
        <w:t>multicategorial (Leinster, 2004)</w:t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, um morfismo passa a representar uma transformação da forma (A</w:t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  <w:vertAlign w:val="subscript"/>
        </w:rPr>
        <w:t>1</w:t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, …, A</w:t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  <w:vertAlign w:val="subscript"/>
        </w:rPr>
        <w:t>n</w:t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) → B.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0" w:right="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 composição é, então, generalizada para a substituição de operações em diferentes entradas, de acordo com a estrutura de uma multicategoria. A utilização da mesma representação de listas heterogêneas para parâmetros e entradas introduz problemas relacionados à associação dos tipos. Como ((p, q), r) e (p, (q, r)) recebem representações distintas no sistema de tipos, utiliza-se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unsafeCoerce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para compatibilizá-las.</w:t>
      </w:r>
    </w:p>
    <w:p>
      <w:pPr>
        <w:pStyle w:val="normal1"/>
        <w:widowControl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1"/>
        <w:keepNext w:val="true"/>
        <w:widowControl/>
        <w:spacing w:lineRule="auto" w:line="240" w:before="100" w:after="60"/>
        <w:jc w:val="center"/>
        <w:rPr/>
      </w:pPr>
      <w:r>
        <w:rPr>
          <w:b/>
          <w:bCs/>
          <w:i w:val="false"/>
          <w:iCs w:val="false"/>
          <w:sz w:val="26"/>
          <w:szCs w:val="26"/>
        </w:rPr>
        <w:t>RESULTADOS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 investigação resultou na implementação de uma estrutura categorial para representar algoritmos de aprendizado supervisionado e na sua generalização para uma estrutura multicategorial. A extensão permite representar explicitamente múltiplas entradas, incorporando a aridade à assinatura dos morfismos, enquanto preserva o caso de entrada única como caso particular.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Como validação funcional da implementação, foi desenvolvido um modelo de regressão logística (Goodfellow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et al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., 2016) com função de custo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Binary Cross-Entropy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(BCE), aplicado às classes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Iris setosa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e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Iris versicolor</w:t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do conjunto Iris (Fisher, 1936), caracterizando uma tarefa de classificação binária. O modelo iniciou com parâmetros nulos e, após o treinamento, convergiu para [1,0877; −1,5202; 1,8492; 1,8661; 0,2012].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 implementação obteve acurácia de 100% no subconjunto utilizado, resultado compatível com a separabilidade linear das classes consideradas.</w:t>
      </w:r>
    </w:p>
    <w:p>
      <w:pPr>
        <w:pStyle w:val="normal1"/>
        <w:widowControl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1"/>
        <w:keepNext w:val="true"/>
        <w:widowControl/>
        <w:spacing w:lineRule="auto" w:line="240" w:before="100" w:after="60"/>
        <w:jc w:val="center"/>
        <w:rPr/>
      </w:pPr>
      <w:r>
        <w:rPr>
          <w:b/>
          <w:bCs/>
          <w:i w:val="false"/>
          <w:iCs w:val="false"/>
          <w:sz w:val="26"/>
          <w:szCs w:val="26"/>
        </w:rPr>
        <w:t>CONCLUSÕES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 pesquisa encontra-se em desenvolvimento e, até o presente estágio, indica que a abordagem categorial de Fong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et al.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fornece uma estrutura adequada para investigar composicionalmente algoritmos de aprendizado supervisionado. A generalização para multicategorias permite estender essa representação para modelos com múltiplas entradas, mantendo a composição como elemento estrutural do aprendizado.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Como continuidade da investigação, pretende-se estudar e implementar PROPs (Mac Lane, 1965), permitindo a representação de operações com múltiplas entradas e múltiplas saídas. Essa progressão permitirá avaliar qual nível de estrutura categorial é necessário para representar diferentes formas de composição em sistemas de aprendizado de máquina.</w:t>
      </w:r>
    </w:p>
    <w:p>
      <w:pPr>
        <w:pStyle w:val="normal1"/>
        <w:widowControl/>
        <w:spacing w:lineRule="auto" w:line="240" w:before="0" w:after="0"/>
        <w:jc w:val="both"/>
        <w:rPr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1"/>
        <w:widowControl/>
        <w:spacing w:lineRule="auto" w:line="240" w:before="6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>Os autores declaram não haver conflito de interesses.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Contribuições: Kauã Santana da Silva realizou a concepção e implementação, os experimentos, a análise dos resultados e a redação do trabalho. Alexandre </w:t>
      </w:r>
      <w:r>
        <w:rPr/>
        <w:t>Garcia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de Oliveira realizou a orientação científica, discussão metodológica e revisão do manuscrito.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>Bolsa acadêmica: O presente trabalho não recebeu bolsa acadêmica.</w:t>
      </w:r>
    </w:p>
    <w:p>
      <w:pPr>
        <w:pStyle w:val="normal1"/>
        <w:keepNext w:val="true"/>
        <w:widowControl/>
        <w:spacing w:lineRule="auto" w:line="240" w:before="100" w:after="60"/>
        <w:jc w:val="center"/>
        <w:rPr/>
      </w:pPr>
      <w:r>
        <w:rPr>
          <w:b/>
          <w:bCs/>
          <w:i w:val="false"/>
          <w:iCs w:val="false"/>
          <w:sz w:val="26"/>
          <w:szCs w:val="26"/>
        </w:rPr>
        <w:t>REFERÊNCIAS BIBLIOGRÁFICAS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Chakravarty, Manuel M. T.; Keller, Gabriele; Peyton Jones, Simon. Associated type synonyms. In: International Conference on Functional Programming. </w:t>
      </w:r>
      <w:r>
        <w:rPr>
          <w:b w:val="false"/>
          <w:bCs w:val="false"/>
          <w:i/>
          <w:iCs/>
          <w:sz w:val="20"/>
          <w:szCs w:val="20"/>
        </w:rPr>
        <w:t>Proceedings [...]</w:t>
      </w:r>
      <w:r>
        <w:rPr>
          <w:b w:val="false"/>
          <w:bCs w:val="false"/>
          <w:i w:val="false"/>
          <w:iCs w:val="false"/>
          <w:sz w:val="20"/>
          <w:szCs w:val="20"/>
        </w:rPr>
        <w:t>. Tallinn: ACM, 2005. p. 241-253.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Fisher, Ronald Aylmer. The use of multiple measurements in taxonomic problems. </w:t>
      </w:r>
      <w:r>
        <w:rPr>
          <w:b w:val="false"/>
          <w:bCs w:val="false"/>
          <w:i/>
          <w:iCs/>
          <w:sz w:val="20"/>
          <w:szCs w:val="20"/>
        </w:rPr>
        <w:t>Annals of Eugenics</w:t>
      </w:r>
      <w:r>
        <w:rPr>
          <w:b w:val="false"/>
          <w:bCs w:val="false"/>
          <w:i w:val="false"/>
          <w:iCs w:val="false"/>
          <w:sz w:val="20"/>
          <w:szCs w:val="20"/>
        </w:rPr>
        <w:t>, v. 7, n. 2, p. 179-188, 1936.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>Fong, Brendan; Spivak, David I.; Tuyéras, Rémy. Backprop as functor: a compositional perspective on supervised learning.</w:t>
      </w:r>
      <w:r>
        <w:rPr>
          <w:b w:val="false"/>
          <w:bCs w:val="false"/>
          <w:i/>
          <w:iCs/>
          <w:sz w:val="20"/>
          <w:szCs w:val="20"/>
        </w:rPr>
        <w:t xml:space="preserve"> In: 34th Annual ACM/IEEE Symposium on Logic in Computer Science (LICS).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Vancouver: IEEE, 2019. p. 1-13.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Goodfellow, Ian; Bengio, Yoshua; Courville, Aaron. </w:t>
      </w:r>
      <w:r>
        <w:rPr>
          <w:b w:val="false"/>
          <w:bCs w:val="false"/>
          <w:i/>
          <w:iCs/>
          <w:sz w:val="20"/>
          <w:szCs w:val="20"/>
        </w:rPr>
        <w:t>Deep learning</w:t>
      </w:r>
      <w:r>
        <w:rPr>
          <w:b w:val="false"/>
          <w:bCs w:val="false"/>
          <w:i w:val="false"/>
          <w:iCs w:val="false"/>
          <w:sz w:val="20"/>
          <w:szCs w:val="20"/>
        </w:rPr>
        <w:t>. Cambridge: MIT Press, 2016.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Kisselyov, Oleg; Lämmel, Ralf; Schupke, Keean. Strongly typed heterogeneous collections. In: ACM SIGPLAN Haskell Workshop. </w:t>
      </w:r>
      <w:r>
        <w:rPr>
          <w:b w:val="false"/>
          <w:bCs w:val="false"/>
          <w:i/>
          <w:iCs/>
          <w:sz w:val="20"/>
          <w:szCs w:val="20"/>
        </w:rPr>
        <w:t>Proceedings [...]</w:t>
      </w:r>
      <w:r>
        <w:rPr>
          <w:b w:val="false"/>
          <w:bCs w:val="false"/>
          <w:i w:val="false"/>
          <w:iCs w:val="false"/>
          <w:sz w:val="20"/>
          <w:szCs w:val="20"/>
        </w:rPr>
        <w:t>. Snowbird: ACM, 2004. p. 41-60.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Leinster, Tom. </w:t>
      </w:r>
      <w:r>
        <w:rPr>
          <w:b w:val="false"/>
          <w:bCs w:val="false"/>
          <w:i/>
          <w:iCs/>
          <w:sz w:val="20"/>
          <w:szCs w:val="20"/>
        </w:rPr>
        <w:t>Higher operads, higher categories</w:t>
      </w:r>
      <w:r>
        <w:rPr>
          <w:b w:val="false"/>
          <w:bCs w:val="false"/>
          <w:i w:val="false"/>
          <w:iCs w:val="false"/>
          <w:sz w:val="20"/>
          <w:szCs w:val="20"/>
        </w:rPr>
        <w:t>. Cambridge: Cambridge University Press, 2004.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Mac Lane, Saunders. Categorical algebra. </w:t>
      </w:r>
      <w:r>
        <w:rPr>
          <w:b w:val="false"/>
          <w:bCs w:val="false"/>
          <w:i/>
          <w:iCs/>
          <w:sz w:val="20"/>
          <w:szCs w:val="20"/>
        </w:rPr>
        <w:t>Bulletin of the American Mathematical Society</w:t>
      </w:r>
      <w:r>
        <w:rPr>
          <w:b w:val="false"/>
          <w:bCs w:val="false"/>
          <w:i w:val="false"/>
          <w:iCs w:val="false"/>
          <w:sz w:val="20"/>
          <w:szCs w:val="20"/>
        </w:rPr>
        <w:t>, v. 71, n. 1, p. 40-106, 1965.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Mac Lane, Saunders. </w:t>
      </w:r>
      <w:r>
        <w:rPr>
          <w:b w:val="false"/>
          <w:bCs w:val="false"/>
          <w:i/>
          <w:iCs/>
          <w:sz w:val="20"/>
          <w:szCs w:val="20"/>
        </w:rPr>
        <w:t>Categories for the working mathematician</w:t>
      </w:r>
      <w:r>
        <w:rPr>
          <w:b w:val="false"/>
          <w:bCs w:val="false"/>
          <w:i w:val="false"/>
          <w:iCs w:val="false"/>
          <w:sz w:val="20"/>
          <w:szCs w:val="20"/>
        </w:rPr>
        <w:t>. 2. ed. New York: Springer, 1998.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Peyton Jones, Simon; Vytiniotis, Dimitrios; Weirich, Stephanie; Washburn, Geoffrey. Simple unification-based type inference for GADTs. In: Programming Language Design and Implementation. </w:t>
      </w:r>
      <w:r>
        <w:rPr>
          <w:b w:val="false"/>
          <w:bCs w:val="false"/>
          <w:i/>
          <w:iCs/>
          <w:sz w:val="20"/>
          <w:szCs w:val="20"/>
        </w:rPr>
        <w:t>Proceedings [...]</w:t>
      </w:r>
      <w:r>
        <w:rPr>
          <w:b w:val="false"/>
          <w:bCs w:val="false"/>
          <w:i w:val="false"/>
          <w:iCs w:val="false"/>
          <w:sz w:val="20"/>
          <w:szCs w:val="20"/>
        </w:rPr>
        <w:t>. Ottawa: ACM, 2006. p. 50-61.</w:t>
      </w:r>
    </w:p>
    <w:p>
      <w:pPr>
        <w:pStyle w:val="normal1"/>
        <w:widowControl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Rumelhart, David E.; Hinton, Geoffrey E.; Williams, Ronald J. Learning representations by back-propagating errors. </w:t>
      </w:r>
      <w:r>
        <w:rPr>
          <w:b w:val="false"/>
          <w:bCs w:val="false"/>
          <w:i/>
          <w:iCs/>
          <w:sz w:val="20"/>
          <w:szCs w:val="20"/>
        </w:rPr>
        <w:t>Nature</w:t>
      </w:r>
      <w:r>
        <w:rPr>
          <w:b w:val="false"/>
          <w:bCs w:val="false"/>
          <w:i w:val="false"/>
          <w:iCs w:val="false"/>
          <w:sz w:val="20"/>
          <w:szCs w:val="20"/>
        </w:rPr>
        <w:t>, v. 323, p. 533-536, 1986.</w:t>
      </w:r>
    </w:p>
    <w:sectPr>
      <w:type w:val="continuous"/>
      <w:pgSz w:w="11906" w:h="16838"/>
      <w:pgMar w:left="1474" w:right="1474" w:gutter="0" w:header="0" w:top="1871" w:footer="0" w:bottom="2381"/>
      <w:cols w:num="2" w:space="454" w:equalWidth="true" w:sep="false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 Unicode MS">
    <w:charset w:val="01"/>
    <w:family w:val="roman"/>
    <w:pitch w:val="variable"/>
  </w:font>
  <w:font w:name="Liberation Mono">
    <w:altName w:val="Courier New"/>
    <w:charset w:val="01"/>
    <w:family w:val="roman"/>
    <w:pitch w:val="variable"/>
    <w:embedRegular r:id="rId9" w:fontKey="{09014A78-CABC-4EF0-12AC-5CD89AEFDE09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40" w:after="24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360" w:before="240" w:after="240"/>
      <w:ind w:hanging="0" w:left="0" w:right="0"/>
      <w:jc w:val="both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drawing>
        <wp:inline distT="0" distB="0" distL="0" distR="0">
          <wp:extent cx="1280795" cy="128079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15" r="-15" b="-15"/>
                  <a:stretch>
                    <a:fillRect/>
                  </a:stretch>
                </pic:blipFill>
                <pic:spPr bwMode="auto">
                  <a:xfrm>
                    <a:off x="0" y="0"/>
                    <a:ext cx="1280795" cy="1280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360" w:before="240" w:after="240"/>
      <w:ind w:hanging="0" w:left="0" w:right="0"/>
      <w:jc w:val="both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drawing>
        <wp:inline distT="0" distB="0" distL="0" distR="0">
          <wp:extent cx="1280795" cy="128079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15" r="-15" b="-15"/>
                  <a:stretch>
                    <a:fillRect/>
                  </a:stretch>
                </pic:blipFill>
                <pic:spPr bwMode="auto">
                  <a:xfrm>
                    <a:off x="0" y="0"/>
                    <a:ext cx="1280795" cy="1280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240" w:after="24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240" w:after="24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</Pages>
  <Words>803</Words>
  <Characters>5079</Characters>
  <CharactersWithSpaces>5851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2026-08-24T15:27:30Z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