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Logger and parentheses validator</w:t>
      </w:r>
    </w:p>
    <w:p>
      <w:r>
        <w:t>Laboratory 1 report</w:t>
      </w:r>
    </w:p>
    <w:p>
      <w:r>
        <w:t>Student: Lungu Ivan    Group: FAF-253    Language: C# (.NET 10)</w:t>
      </w:r>
    </w:p>
    <w:p>
      <w:r>
        <w:t>The application checks whether round parentheses are balanced and correctly ordered. A separate Logger class reports validation events. The implementation supports shared logging settings, four severity levels and configurable message formatting.</w:t>
      </w:r>
    </w:p>
    <w:p>
      <w:pPr>
        <w:pStyle w:val="Heading1"/>
      </w:pPr>
      <w:r>
        <w:t>1 Program structure</w:t>
      </w:r>
    </w:p>
    <w:p>
      <w:r>
        <w:t>Logger filters messages, replaces format placeholders and writes each accepted entry to the console. ParenthesesValidator checks the input and reports events through its Logger object named Parentheses. It uses the logger through composition: the validator has a logger field. Program.cs configures logging, runs the examples and prints each Boolean result. LogLevel is an enum that defines TRACE, INFO, WARN and ERROR in increasing order.</w:t>
      </w:r>
    </w:p>
    <w:p>
      <w:pPr>
        <w:pStyle w:val="Heading1"/>
      </w:pPr>
      <w:r>
        <w:t>2 Classes and objects</w:t>
      </w:r>
    </w:p>
    <w:p>
      <w:r>
        <w:t>Each Logger instance stores its own private readonly name. Each ParenthesesValidator stores a Logger reference. The openCount counter is local to IsValid and starts at zero on every call.</w:t>
      </w:r>
    </w:p>
    <w:p>
      <w:pPr>
        <w:pStyle w:val="Heading1"/>
      </w:pPr>
      <w:r>
        <w:t>3 Static and instance members</w:t>
      </w:r>
    </w:p>
    <w:p>
      <w:r>
        <w:t>Static level and format fields hold the settings shared by every Logger. The static Level and Format properties validate changes. SetLevel and SetFormat expose method-based setters. Instance field name stays specific to one logger.</w:t>
      </w:r>
    </w:p>
    <w:p>
      <w:pPr>
        <w:keepLines/>
        <w:spacing w:before="60" w:after="100"/>
      </w:pPr>
      <w:r>
        <w:rPr>
          <w:rFonts w:ascii="Consolas" w:hAnsi="Consolas"/>
          <w:sz w:val="19"/>
        </w:rPr>
        <w:t>private readonly string name;</w:t>
        <w:br/>
        <w:t>private static LogLevel level = LogLevel.INFO;</w:t>
        <w:br/>
        <w:t>private static string format = "[%t] [%l] %n: %m";</w:t>
      </w:r>
    </w:p>
    <w:p>
      <w:pPr>
        <w:spacing w:before="60" w:after="120"/>
      </w:pPr>
      <w:r>
        <w:rPr>
          <w:rFonts w:ascii="Consolas" w:hAnsi="Consolas"/>
          <w:sz w:val="19"/>
        </w:rPr>
        <w:t>var first = new Logger("First");</w:t>
      </w:r>
      <w:r>
        <w:br/>
      </w:r>
      <w:r>
        <w:rPr>
          <w:rFonts w:ascii="Consolas" w:hAnsi="Consolas"/>
          <w:sz w:val="19"/>
        </w:rPr>
        <w:t>var second = new Logger("Second");</w:t>
      </w:r>
      <w:r>
        <w:br/>
      </w:r>
      <w:r>
        <w:rPr>
          <w:rFonts w:ascii="Consolas" w:hAnsi="Consolas"/>
          <w:sz w:val="19"/>
        </w:rPr>
        <w:t>Logger.SetLevel(LogLevel.WARN);</w:t>
      </w:r>
      <w:r>
        <w:br/>
      </w:r>
      <w:r>
        <w:rPr>
          <w:rFonts w:ascii="Consolas" w:hAnsi="Consolas"/>
          <w:sz w:val="19"/>
        </w:rPr>
        <w:t>first.Info("Hidden");</w:t>
      </w:r>
      <w:r>
        <w:br/>
      </w:r>
      <w:r>
        <w:rPr>
          <w:rFonts w:ascii="Consolas" w:hAnsi="Consolas"/>
          <w:sz w:val="19"/>
        </w:rPr>
        <w:t>second.Error("Visible");</w:t>
      </w:r>
    </w:p>
    <w:p>
      <w:r>
        <w:t>With WARN configured, WARN and ERROR entries appear. TRACE and INFO entries are hidden. The order of LogLevel values makes the comparison messageLevel &lt; Level sufficient for filtering. The default format is [%t] [%l] %n: %m, where the placeholders mean time, level, logger name and message. The optional %r adds a random phrase associated with the entry level. Unknown placeholders stay unchanged.</w:t>
      </w:r>
    </w:p>
    <w:p>
      <w:r>
        <w:br w:type="page"/>
      </w:r>
    </w:p>
    <w:p>
      <w:pPr>
        <w:pStyle w:val="Heading1"/>
      </w:pPr>
      <w:r>
        <w:t>4 Methods and responsibilities</w:t>
      </w:r>
    </w:p>
    <w:p>
      <w:r>
        <w:t>Log validates arguments, filters by level and writes accepted entries. Trace, Info, Warn and Error delegate to it. The formatter scans only the template, so placeholders inside a message stay literal.</w:t>
      </w:r>
    </w:p>
    <w:p>
      <w:pPr>
        <w:keepLines/>
        <w:spacing w:before="60" w:after="100"/>
      </w:pPr>
      <w:r>
        <w:rPr>
          <w:rFonts w:ascii="Consolas" w:hAnsi="Consolas"/>
          <w:sz w:val="19"/>
        </w:rPr>
        <w:t>if (messageLevel &lt; Level)</w:t>
        <w:br/>
        <w:t xml:space="preserve">    return; // lower-priority entries produce no output</w:t>
      </w:r>
    </w:p>
    <w:p>
      <w:r>
        <w:t>IsValid reports openings through logger.Trace and matching pairs through logger.Info. Invalid prints the input and reason at ERROR, followed by the final false result at INFO. Logger owns output rules, so the validator can focus on validation.</w:t>
      </w:r>
    </w:p>
    <w:p>
      <w:pPr>
        <w:spacing w:before="60" w:after="120"/>
      </w:pPr>
      <w:r>
        <w:rPr>
          <w:rFonts w:ascii="Consolas" w:hAnsi="Consolas"/>
          <w:sz w:val="19"/>
        </w:rPr>
        <w:t>var validator = new ParenthesesValidator();</w:t>
      </w:r>
      <w:r>
        <w:br/>
      </w:r>
      <w:r>
        <w:rPr>
          <w:rFonts w:ascii="Consolas" w:hAnsi="Consolas"/>
          <w:sz w:val="19"/>
        </w:rPr>
        <w:t>bool valid = validator.IsValid("(())"); // true</w:t>
      </w:r>
    </w:p>
    <w:p>
      <w:pPr>
        <w:pStyle w:val="Heading1"/>
      </w:pPr>
      <w:r>
        <w:t>5 Testing and correctness</w:t>
      </w:r>
    </w:p>
    <w:p>
      <w:r>
        <w:t>IsValid counts unmatched opening parentheses. An opening increments openCount. A closing at zero fails immediately; otherwise it decrements the counter. After the scan, a positive count means unmatched openings. The scan takes O(n) time and O(1) extra space, excluding logging and output storage.</w:t>
      </w:r>
    </w:p>
    <w:p>
      <w:pPr>
        <w:keepLines/>
        <w:spacing w:before="60" w:after="100"/>
      </w:pPr>
      <w:r>
        <w:rPr>
          <w:rFonts w:ascii="Consolas" w:hAnsi="Consolas"/>
          <w:sz w:val="19"/>
        </w:rPr>
        <w:t>// Excerpt from the closing-parenthesis branch</w:t>
        <w:br/>
        <w:t>if (openCount == 0)</w:t>
        <w:br/>
        <w:t xml:space="preserve">    return Invalid(input, $"Unmatched closing parenthesis at index {i}.");</w:t>
        <w:br/>
        <w:t>openCount--;</w:t>
        <w:br/>
        <w:t>logger.Info($"Matching pair found at closing index {i}.");</w:t>
      </w:r>
    </w:p>
    <w:tbl>
      <w:tblPr>
        <w:tblW w:type="auto" w:w="0"/>
        <w:tblLayout w:type="fixed"/>
        <w:tblLook w:firstColumn="1" w:firstRow="1" w:lastColumn="0" w:lastRow="0" w:noHBand="0" w:noVBand="1" w:val="04A0"/>
      </w:tblPr>
      <w:tblGrid>
        <w:gridCol w:w="6480"/>
        <w:gridCol w:w="3600"/>
      </w:tblGrid>
      <w:tr>
        <w:tc>
          <w:tcPr>
            <w:tcW w:type="dxa" w:w="6048"/>
            <w:tcBorders>
              <w:top w:val="single" w:sz="4" w:color="D9D9D9"/>
              <w:left w:val="single" w:sz="4" w:color="D9D9D9"/>
              <w:bottom w:val="single" w:sz="4" w:color="D9D9D9"/>
              <w:right w:val="single" w:sz="4" w:color="D9D9D9"/>
            </w:tcBorders>
            <w:shd w:fill="E7EEF5"/>
          </w:tcPr>
          <w:p>
            <w:pPr>
              <w:spacing w:before="60" w:after="60"/>
            </w:pPr>
            <w:r>
              <w:rPr>
                <w:b/>
                <w:sz w:val="20"/>
              </w:rPr>
              <w:t>Required input</w:t>
            </w:r>
          </w:p>
        </w:tc>
        <w:tc>
          <w:tcPr>
            <w:tcW w:type="dxa" w:w="3744"/>
            <w:tcBorders>
              <w:top w:val="single" w:sz="4" w:color="D9D9D9"/>
              <w:left w:val="single" w:sz="4" w:color="D9D9D9"/>
              <w:bottom w:val="single" w:sz="4" w:color="D9D9D9"/>
              <w:right w:val="single" w:sz="4" w:color="D9D9D9"/>
            </w:tcBorders>
            <w:shd w:fill="E7EEF5"/>
          </w:tcPr>
          <w:p>
            <w:pPr>
              <w:spacing w:before="60" w:after="60"/>
            </w:pPr>
            <w:r>
              <w:rPr>
                <w:b/>
                <w:sz w:val="20"/>
              </w:rPr>
              <w:t>Expected and actual result</w:t>
            </w:r>
          </w:p>
        </w:tc>
      </w:tr>
      <w:tr>
        <w:tc>
          <w:tcPr>
            <w:tcW w:type="dxa" w:w="6048"/>
            <w:tcBorders>
              <w:top w:val="single" w:sz="4" w:color="D9D9D9"/>
              <w:left w:val="single" w:sz="4" w:color="D9D9D9"/>
              <w:bottom w:val="single" w:sz="4" w:color="D9D9D9"/>
              <w:right w:val="single" w:sz="4" w:color="D9D9D9"/>
            </w:tcBorders>
            <w:shd w:fill="FFFFFF"/>
          </w:tcPr>
          <w:p>
            <w:pPr>
              <w:spacing w:before="60" w:after="60"/>
            </w:pPr>
            <w:r>
              <w:rPr>
                <w:b w:val="0"/>
                <w:sz w:val="20"/>
              </w:rPr>
              <w:t>()</w:t>
            </w:r>
          </w:p>
        </w:tc>
        <w:tc>
          <w:tcPr>
            <w:tcW w:type="dxa" w:w="3744"/>
            <w:tcBorders>
              <w:top w:val="single" w:sz="4" w:color="D9D9D9"/>
              <w:left w:val="single" w:sz="4" w:color="D9D9D9"/>
              <w:bottom w:val="single" w:sz="4" w:color="D9D9D9"/>
              <w:right w:val="single" w:sz="4" w:color="D9D9D9"/>
            </w:tcBorders>
            <w:shd w:fill="FFFFFF"/>
          </w:tcPr>
          <w:p>
            <w:pPr>
              <w:spacing w:before="60" w:after="60"/>
            </w:pPr>
            <w:r>
              <w:rPr>
                <w:b w:val="0"/>
                <w:sz w:val="20"/>
              </w:rPr>
              <w:t>true</w:t>
            </w:r>
          </w:p>
        </w:tc>
      </w:tr>
      <w:tr>
        <w:tc>
          <w:tcPr>
            <w:tcW w:type="dxa" w:w="6048"/>
            <w:tcBorders>
              <w:top w:val="single" w:sz="4" w:color="D9D9D9"/>
              <w:left w:val="single" w:sz="4" w:color="D9D9D9"/>
              <w:bottom w:val="single" w:sz="4" w:color="D9D9D9"/>
              <w:right w:val="single" w:sz="4" w:color="D9D9D9"/>
            </w:tcBorders>
            <w:shd w:fill="F5F7FA"/>
          </w:tcPr>
          <w:p>
            <w:pPr>
              <w:spacing w:before="60" w:after="60"/>
            </w:pPr>
            <w:r>
              <w:rPr>
                <w:b w:val="0"/>
                <w:sz w:val="20"/>
              </w:rPr>
              <w:t>)((()))</w:t>
            </w:r>
          </w:p>
        </w:tc>
        <w:tc>
          <w:tcPr>
            <w:tcW w:type="dxa" w:w="3744"/>
            <w:tcBorders>
              <w:top w:val="single" w:sz="4" w:color="D9D9D9"/>
              <w:left w:val="single" w:sz="4" w:color="D9D9D9"/>
              <w:bottom w:val="single" w:sz="4" w:color="D9D9D9"/>
              <w:right w:val="single" w:sz="4" w:color="D9D9D9"/>
            </w:tcBorders>
            <w:shd w:fill="F5F7FA"/>
          </w:tcPr>
          <w:p>
            <w:pPr>
              <w:spacing w:before="60" w:after="60"/>
            </w:pPr>
            <w:r>
              <w:rPr>
                <w:b w:val="0"/>
                <w:sz w:val="20"/>
              </w:rPr>
              <w:t>false</w:t>
            </w:r>
          </w:p>
        </w:tc>
      </w:tr>
      <w:tr>
        <w:tc>
          <w:tcPr>
            <w:tcW w:type="dxa" w:w="6048"/>
            <w:tcBorders>
              <w:top w:val="single" w:sz="4" w:color="D9D9D9"/>
              <w:left w:val="single" w:sz="4" w:color="D9D9D9"/>
              <w:bottom w:val="single" w:sz="4" w:color="D9D9D9"/>
              <w:right w:val="single" w:sz="4" w:color="D9D9D9"/>
            </w:tcBorders>
            <w:shd w:fill="FFFFFF"/>
          </w:tcPr>
          <w:p>
            <w:pPr>
              <w:spacing w:before="60" w:after="60"/>
            </w:pPr>
            <w:r>
              <w:rPr>
                <w:b w:val="0"/>
                <w:sz w:val="20"/>
              </w:rPr>
              <w:t>(</w:t>
            </w:r>
          </w:p>
        </w:tc>
        <w:tc>
          <w:tcPr>
            <w:tcW w:type="dxa" w:w="3744"/>
            <w:tcBorders>
              <w:top w:val="single" w:sz="4" w:color="D9D9D9"/>
              <w:left w:val="single" w:sz="4" w:color="D9D9D9"/>
              <w:bottom w:val="single" w:sz="4" w:color="D9D9D9"/>
              <w:right w:val="single" w:sz="4" w:color="D9D9D9"/>
            </w:tcBorders>
            <w:shd w:fill="FFFFFF"/>
          </w:tcPr>
          <w:p>
            <w:pPr>
              <w:spacing w:before="60" w:after="60"/>
            </w:pPr>
            <w:r>
              <w:rPr>
                <w:b w:val="0"/>
                <w:sz w:val="20"/>
              </w:rPr>
              <w:t>false</w:t>
            </w:r>
          </w:p>
        </w:tc>
      </w:tr>
      <w:tr>
        <w:tc>
          <w:tcPr>
            <w:tcW w:type="dxa" w:w="6048"/>
            <w:tcBorders>
              <w:top w:val="single" w:sz="4" w:color="D9D9D9"/>
              <w:left w:val="single" w:sz="4" w:color="D9D9D9"/>
              <w:bottom w:val="single" w:sz="4" w:color="D9D9D9"/>
              <w:right w:val="single" w:sz="4" w:color="D9D9D9"/>
            </w:tcBorders>
            <w:shd w:fill="F5F7FA"/>
          </w:tcPr>
          <w:p>
            <w:pPr>
              <w:spacing w:before="60" w:after="60"/>
            </w:pPr>
            <w:r>
              <w:rPr>
                <w:b w:val="0"/>
                <w:sz w:val="20"/>
              </w:rPr>
              <w:t>(())((()())())</w:t>
            </w:r>
          </w:p>
        </w:tc>
        <w:tc>
          <w:tcPr>
            <w:tcW w:type="dxa" w:w="3744"/>
            <w:tcBorders>
              <w:top w:val="single" w:sz="4" w:color="D9D9D9"/>
              <w:left w:val="single" w:sz="4" w:color="D9D9D9"/>
              <w:bottom w:val="single" w:sz="4" w:color="D9D9D9"/>
              <w:right w:val="single" w:sz="4" w:color="D9D9D9"/>
            </w:tcBorders>
            <w:shd w:fill="F5F7FA"/>
          </w:tcPr>
          <w:p>
            <w:pPr>
              <w:spacing w:before="60" w:after="60"/>
            </w:pPr>
            <w:r>
              <w:rPr>
                <w:b w:val="0"/>
                <w:sz w:val="20"/>
              </w:rPr>
              <w:t>true</w:t>
            </w:r>
          </w:p>
        </w:tc>
      </w:tr>
    </w:tbl>
    <w:p>
      <w:pPr>
        <w:spacing w:before="120"/>
      </w:pPr>
      <w:r>
        <w:t>All 21 xUnit cases passed. They cover required inputs, edge cases, shared thresholds, formatting and random phrases. Each validator case runs at every log level. The test ")(" prevents a count-only mistake: equal totals do not guarantee correct order. Empty input is valid; null and other characters are invalid.</w:t>
      </w:r>
    </w:p>
    <w:p>
      <w:pPr>
        <w:pStyle w:val="Heading1"/>
      </w:pPr>
      <w:r>
        <w:t>6 Reflection</w:t>
      </w:r>
    </w:p>
    <w:p>
      <w:r>
        <w:t>The main OOP concept is separating responsibilities between collaborating objects. ParenthesesValidator decides validity; Logger handles output. Shared static settings simplify configuration but also couple tests. An injectable output writer would let each test capture output without replacing global Console.Out.</w:t>
      </w:r>
    </w:p>
    <w:p>
      <w:r>
        <w:t>Code: labs/Lab01.Logging/Logger.cs and ParenthesesValidator.cs. Tests: tests/Lab01.Logging.Tests/LoggingTests.cs. Repository: https://github.com/0kura018/OOP-Labs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Logger and parentheses validator</dc:title>
  <dc:subject>Laboratory 1 report</dc:subject>
  <dc:creator>Lungu Ivan</dc:creator>
  <cp:keywords/>
  <dc:description>generated by python-docx</dc:description>
  <cp:lastModifiedBy/>
  <cp:revision>1</cp:revision>
  <dcterms:created xsi:type="dcterms:W3CDTF">2013-12-23T23:15:00Z</dcterms:created>
  <dcterms:modified xsi:type="dcterms:W3CDTF">2013-12-23T23:15:00Z</dcterms:modified>
  <cp:category/>
</cp:coreProperties>
</file>