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 8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Использование хранимых процедур и триггеров при работе с базами данных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изучить и использовать возможности хранимых процедур и триггеров.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</w:t>
        <w:tab/>
        <w:t xml:space="preserve">Подготовить описания хранимых процедур и триггеров для своей базы данных, а также пакеты для их тестирования.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</w:t>
        <w:tab/>
        <w:t xml:space="preserve">На Терминале 4100 запустить утилиту SSMS.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</w:t>
        <w:tab/>
        <w:t xml:space="preserve">Дополнить выбранную главную таблицу столбцом NORR с нулевым значением по умолчанию и заполнить его значениями, равными числу подчиненных строк.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153528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5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</w:t>
        <w:tab/>
        <w:t xml:space="preserve">Создать хранимые процедуры и убедиться в их наличии в базе данных, выбрав ветви Programability и Stored Procedures в окне Обозревателя объектов.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314362" cy="5005388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362" cy="500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357813" cy="524826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5248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047036" cy="149411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3359" l="0" r="146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036" cy="149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</w:t>
        <w:tab/>
        <w:t xml:space="preserve">Выполнить тестирование хранимых процедур и прокомментировать результаты в отчете.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Тестирование добавления: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0477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1684614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68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149542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20097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16859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Тестирование удаления: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10287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1386574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128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6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176212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6.</w:t>
        <w:tab/>
        <w:t xml:space="preserve">Создать триггеры и убедиться в их наличии в базе данных, выбрав ветвь Triggers для таблиц базы данных в окне Обозревателя объектов.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311943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1676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7.</w:t>
        <w:tab/>
        <w:t xml:space="preserve">Выполнить тестирование триггеров и прокомментировать в отчете результаты их действия.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Изменим немного вид addTicket и removeTicket, удалив из этих процедур вызов addNORR и subNORR, чтобы передать последние процедуры в триггеры.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265752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6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Тестирование триггера afterInsert: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985838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До: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1762125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После: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20764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Тестирование триггера afterDelete: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929748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2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14954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112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9.</w:t>
        <w:tab/>
        <w:t xml:space="preserve">Создать приложение для отображения строк главной и подчиненной таблиц и с помощью кнопок навигатора проверить выполнение операций добавления и удаления строк, обращая внимание на отображение содержимого таблиц и изменение значений в столбце NORR. Учтите, что изменение содержимого таблиц может отображаться с некоторой задержкой.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3563924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563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Удаление: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10.</w:t>
        <w:tab/>
        <w:t xml:space="preserve">Отметить в отчете выявленные особенности функционирования приложения и сохранить его в отдельной папке на устройстве С терминального компьютера.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11.</w:t>
        <w:tab/>
        <w:t xml:space="preserve">Временно отключить срабатывание триггеров, связанных с удалением строк из подчиненной и главной таблиц.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16217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12.</w:t>
        <w:tab/>
        <w:t xml:space="preserve">С помощью имеющегося приложения проверить выполнение операций удаления строк, обращая внимание на отображение содержимого таблиц и значений в столбце NORR.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Сначала добавим запись: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Удалим: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13.</w:t>
        <w:tab/>
        <w:t xml:space="preserve">Отметить в отчете изменения, произошедшие в функционировании приложения, и объяснить их.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14.</w:t>
        <w:tab/>
        <w:t xml:space="preserve">Включить срабатывание триггеров, связанных с удалением строк из подчиненной и главной таблиц.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143375" cy="449751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2845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1.</w:t>
        <w:tab/>
        <w:t xml:space="preserve">Что представляет собой хранимая процедура?</w:t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Хранимая процедура представляет собой оформленный особым образом пакет, который хранится в базе данных. Хранимые процедуры отличаются от пакетов тем, что в них допускается использование входных и выходных параметров, а также возвращаемых значений.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2.</w:t>
        <w:tab/>
        <w:t xml:space="preserve">Как создать хранимую процедуру?</w:t>
      </w:r>
    </w:p>
    <w:p w:rsidR="00000000" w:rsidDel="00000000" w:rsidP="00000000" w:rsidRDefault="00000000" w:rsidRPr="00000000" w14:paraId="0000005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PROCEDURE nameOfProcedure(**параметры**)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3.</w:t>
        <w:tab/>
        <w:t xml:space="preserve">Как выполнить хранимую процедуру?</w:t>
      </w:r>
    </w:p>
    <w:p w:rsidR="00000000" w:rsidDel="00000000" w:rsidP="00000000" w:rsidRDefault="00000000" w:rsidRPr="00000000" w14:paraId="00000057">
      <w:pPr>
        <w:rPr>
          <w:i w:val="1"/>
          <w:color w:val="040c28"/>
        </w:rPr>
      </w:pPr>
      <w:r w:rsidDel="00000000" w:rsidR="00000000" w:rsidRPr="00000000">
        <w:rPr>
          <w:i w:val="1"/>
          <w:color w:val="202124"/>
          <w:highlight w:val="white"/>
          <w:rtl w:val="0"/>
        </w:rPr>
        <w:t xml:space="preserve">Разверните нужную базу данных, разверните узлы Программирование и Хранимые </w:t>
      </w:r>
      <w:r w:rsidDel="00000000" w:rsidR="00000000" w:rsidRPr="00000000">
        <w:rPr>
          <w:i w:val="1"/>
          <w:color w:val="040c28"/>
          <w:rtl w:val="0"/>
        </w:rPr>
        <w:t xml:space="preserve">процедуры</w:t>
      </w:r>
      <w:r w:rsidDel="00000000" w:rsidR="00000000" w:rsidRPr="00000000">
        <w:rPr>
          <w:i w:val="1"/>
          <w:color w:val="202124"/>
          <w:highlight w:val="white"/>
          <w:rtl w:val="0"/>
        </w:rPr>
        <w:t xml:space="preserve">. Щелкните правой кнопкой мыши определяемую пользователем </w:t>
      </w:r>
      <w:r w:rsidDel="00000000" w:rsidR="00000000" w:rsidRPr="00000000">
        <w:rPr>
          <w:i w:val="1"/>
          <w:color w:val="040c28"/>
          <w:rtl w:val="0"/>
        </w:rPr>
        <w:t xml:space="preserve">хранимую процедуру</w:t>
      </w:r>
      <w:r w:rsidDel="00000000" w:rsidR="00000000" w:rsidRPr="00000000">
        <w:rPr>
          <w:i w:val="1"/>
          <w:color w:val="202124"/>
          <w:highlight w:val="white"/>
          <w:rtl w:val="0"/>
        </w:rPr>
        <w:t xml:space="preserve"> и выберите команду </w:t>
      </w:r>
      <w:r w:rsidDel="00000000" w:rsidR="00000000" w:rsidRPr="00000000">
        <w:rPr>
          <w:i w:val="1"/>
          <w:color w:val="040c28"/>
          <w:rtl w:val="0"/>
        </w:rPr>
        <w:t xml:space="preserve">Выполнить хранимую процедуру.</w:t>
      </w:r>
    </w:p>
    <w:p w:rsidR="00000000" w:rsidDel="00000000" w:rsidP="00000000" w:rsidRDefault="00000000" w:rsidRPr="00000000" w14:paraId="00000058">
      <w:pPr>
        <w:rPr>
          <w:i w:val="1"/>
          <w:color w:val="040c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4.</w:t>
        <w:tab/>
        <w:t xml:space="preserve">Как передать данные в хранимую процедуру?</w:t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Через параметры.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5.</w:t>
        <w:tab/>
        <w:t xml:space="preserve">Как получить результаты из хранимой процедуры?</w:t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return…</w:t>
      </w:r>
    </w:p>
    <w:p w:rsidR="00000000" w:rsidDel="00000000" w:rsidP="00000000" w:rsidRDefault="00000000" w:rsidRPr="00000000" w14:paraId="0000005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6.</w:t>
        <w:tab/>
        <w:t xml:space="preserve">Каково назначение команды Return?</w:t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Возвращает значение результата выполнения хранимой процедуры.</w:t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7.</w:t>
        <w:tab/>
        <w:t xml:space="preserve">Как получить возвращаемое значение из хранимой процедуры?</w:t>
      </w:r>
    </w:p>
    <w:p w:rsidR="00000000" w:rsidDel="00000000" w:rsidP="00000000" w:rsidRDefault="00000000" w:rsidRPr="00000000" w14:paraId="0000006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return…</w:t>
      </w:r>
    </w:p>
    <w:p w:rsidR="00000000" w:rsidDel="00000000" w:rsidP="00000000" w:rsidRDefault="00000000" w:rsidRPr="00000000" w14:paraId="0000006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8.</w:t>
        <w:tab/>
        <w:t xml:space="preserve">Что представляет собой триггер?</w:t>
      </w:r>
    </w:p>
    <w:p w:rsidR="00000000" w:rsidDel="00000000" w:rsidP="00000000" w:rsidRDefault="00000000" w:rsidRPr="00000000" w14:paraId="0000006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Триггер — это хранимая процедура особого типа, вызываемая на выполнение в ответ на определенные события.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9.</w:t>
        <w:tab/>
        <w:t xml:space="preserve">Перечислите отличия триггера от хранимой процедуры.</w:t>
      </w:r>
    </w:p>
    <w:p w:rsidR="00000000" w:rsidDel="00000000" w:rsidP="00000000" w:rsidRDefault="00000000" w:rsidRPr="00000000" w14:paraId="0000006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В отличие от хранимых процедур, при использовании которых требуется их явный вызов на выполнение, триггеры вызываются на выполнение автоматически при обнаружении события (или событий), связанного с выполнением операций над таблицей, за которой закреплен триггер. Триггеры не могут быть вызваны явно; единственный способ обеспечения вызова состоит в выполнении требуемого действия над таблицей, за которой закреплен триггер.</w:t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Различия между хранимыми процедурами и триггерами не ограничиваются тем, что невоз¬можен явный вызов триггера. Хранимые процедуры не только вызываются явно, но и отличаются двумя особенностями, которыми не обладают триггеры: (1) принимают и передают параметры и (2) возвращают коды завершения.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10.</w:t>
        <w:tab/>
        <w:t xml:space="preserve">Какие классы триггеров предусмотрены?</w:t>
      </w:r>
    </w:p>
    <w:p w:rsidR="00000000" w:rsidDel="00000000" w:rsidP="00000000" w:rsidRDefault="00000000" w:rsidRPr="00000000" w14:paraId="0000006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Триггеры подразделяются на два основных класса: триггеры языка определения данных (Data Definition Language — DDL) и триггеры языка манипулирования данными (Data Manipulation Language — DML).</w:t>
      </w:r>
    </w:p>
    <w:p w:rsidR="00000000" w:rsidDel="00000000" w:rsidP="00000000" w:rsidRDefault="00000000" w:rsidRPr="00000000" w14:paraId="0000006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11.</w:t>
        <w:tab/>
        <w:t xml:space="preserve">Какие типы триггеров DML существуют?</w:t>
      </w:r>
    </w:p>
    <w:p w:rsidR="00000000" w:rsidDel="00000000" w:rsidP="00000000" w:rsidRDefault="00000000" w:rsidRPr="00000000" w14:paraId="0000007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Основные типы триггеров DML:</w:t>
      </w:r>
    </w:p>
    <w:p w:rsidR="00000000" w:rsidDel="00000000" w:rsidP="00000000" w:rsidRDefault="00000000" w:rsidRPr="00000000" w14:paraId="0000007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1.</w:t>
        <w:tab/>
        <w:t xml:space="preserve">Триггеры INSERT.</w:t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2.</w:t>
        <w:tab/>
        <w:t xml:space="preserve">Триггеры DELETE.</w:t>
      </w:r>
    </w:p>
    <w:p w:rsidR="00000000" w:rsidDel="00000000" w:rsidP="00000000" w:rsidRDefault="00000000" w:rsidRPr="00000000" w14:paraId="0000007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3.</w:t>
        <w:tab/>
        <w:t xml:space="preserve">Триггеры UPDATE.</w:t>
      </w:r>
    </w:p>
    <w:p w:rsidR="00000000" w:rsidDel="00000000" w:rsidP="00000000" w:rsidRDefault="00000000" w:rsidRPr="00000000" w14:paraId="0000007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4.</w:t>
        <w:tab/>
        <w:t xml:space="preserve">Триггеры, создаваемые с учетом одновременного возникновения и совпадения событий.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12.</w:t>
        <w:tab/>
        <w:t xml:space="preserve">Какие подклассы триггеров DML существуют и каковы их особенности?</w:t>
      </w:r>
    </w:p>
    <w:p w:rsidR="00000000" w:rsidDel="00000000" w:rsidP="00000000" w:rsidRDefault="00000000" w:rsidRPr="00000000" w14:paraId="0000007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В СУБД SQL Server существуют два подкласса триггеров DML: INSTEAD OF (триггер замены операции) и AFTER (триггер, выполняется сразу после операции), отличающиеся своим назначением, моментом выполнения и производимым эффектом.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13.</w:t>
        <w:tab/>
        <w:t xml:space="preserve">Как временно отключить срабатывание триггера, а затем снова включить?</w:t>
      </w:r>
    </w:p>
    <w:p w:rsidR="00000000" w:rsidDel="00000000" w:rsidP="00000000" w:rsidRDefault="00000000" w:rsidRPr="00000000" w14:paraId="0000007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Триггер можно  временно отключить оператором ALTER TABLE с параметром DISABLE TRIGGER:</w:t>
      </w:r>
    </w:p>
    <w:p w:rsidR="00000000" w:rsidDel="00000000" w:rsidP="00000000" w:rsidRDefault="00000000" w:rsidRPr="00000000" w14:paraId="0000007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ALTER  TABLE  имя_таблицы DISABLE TRIGGER  имя_триггера</w:t>
      </w:r>
    </w:p>
    <w:p w:rsidR="00000000" w:rsidDel="00000000" w:rsidP="00000000" w:rsidRDefault="00000000" w:rsidRPr="00000000" w14:paraId="0000007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включения триггера применяется тот же оператор, но с параметром ENABLE  TRIGGER:</w:t>
      </w:r>
    </w:p>
    <w:p w:rsidR="00000000" w:rsidDel="00000000" w:rsidP="00000000" w:rsidRDefault="00000000" w:rsidRPr="00000000" w14:paraId="0000007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ALTER  TABLE   имя_таблицы ENABLE TRIGGER  имя_триггера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14.</w:t>
        <w:tab/>
        <w:t xml:space="preserve">Что содержат виртуальные таблицы Inserted и Deleted?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i w:val="1"/>
          <w:rtl w:val="0"/>
        </w:rPr>
        <w:t xml:space="preserve">Таблица DELETED содержит строки в состоянии до применения оператора DML, а таблица INSERTED — после применения.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2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1.png"/><Relationship Id="rId25" Type="http://schemas.openxmlformats.org/officeDocument/2006/relationships/image" Target="media/image8.png"/><Relationship Id="rId28" Type="http://schemas.openxmlformats.org/officeDocument/2006/relationships/image" Target="media/image1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1.png"/><Relationship Id="rId33" Type="http://schemas.openxmlformats.org/officeDocument/2006/relationships/image" Target="media/image17.png"/><Relationship Id="rId10" Type="http://schemas.openxmlformats.org/officeDocument/2006/relationships/image" Target="media/image27.png"/><Relationship Id="rId32" Type="http://schemas.openxmlformats.org/officeDocument/2006/relationships/image" Target="media/image26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15" Type="http://schemas.openxmlformats.org/officeDocument/2006/relationships/image" Target="media/image25.png"/><Relationship Id="rId14" Type="http://schemas.openxmlformats.org/officeDocument/2006/relationships/image" Target="media/image4.png"/><Relationship Id="rId17" Type="http://schemas.openxmlformats.org/officeDocument/2006/relationships/image" Target="media/image22.png"/><Relationship Id="rId16" Type="http://schemas.openxmlformats.org/officeDocument/2006/relationships/image" Target="media/image18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