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ptos" w:hAnsi="Aptos"/>
          <w:b/>
          <w:color w:val="1F4E79"/>
          <w:sz w:val="20"/>
        </w:rPr>
        <w:t>NATIONAL BANK</w:t>
      </w:r>
    </w:p>
    <w:p>
      <w:pPr>
        <w:spacing w:before="1400" w:after="120"/>
        <w:widowControl/>
      </w:pPr>
      <w:r>
        <w:rPr>
          <w:rFonts w:ascii="Aptos Display" w:hAnsi="Aptos Display"/>
          <w:b/>
          <w:color w:val="1F4E79"/>
          <w:sz w:val="56"/>
        </w:rPr>
        <w:t>Capital Markets AML Benchmarking</w:t>
      </w:r>
    </w:p>
    <w:p>
      <w:pPr>
        <w:spacing w:after="320"/>
        <w:widowControl/>
      </w:pPr>
      <w:r>
        <w:rPr>
          <w:rFonts w:ascii="Aptos Display" w:hAnsi="Aptos Display"/>
          <w:color w:val="464646"/>
          <w:sz w:val="38"/>
        </w:rPr>
        <w:t>RFP Clarification Questions</w:t>
      </w:r>
    </w:p>
    <w:tbl>
      <w:tblPr>
        <w:tblW w:type="auto" w:w="0"/>
        <w:jc w:val="left"/>
        <w:tblLayout w:type="fixed"/>
        <w:tblLook w:firstColumn="1" w:firstRow="1" w:lastColumn="0" w:lastRow="0" w:noHBand="0" w:noVBand="1" w:val="04A0"/>
      </w:tblPr>
      <w:tblGrid>
        <w:gridCol w:w="9720"/>
      </w:tblGrid>
      <w:tr>
        <w:tc>
          <w:tcPr>
            <w:tcW w:type="dxa" w:w="9878"/>
            <w:shd w:fill="1F4E79"/>
            <w:tcMar>
              <w:top w:w="0" w:type="dxa"/>
              <w:start w:w="0" w:type="dxa"/>
              <w:bottom w:w="0" w:type="dxa"/>
              <w:end w:w="0" w:type="dxa"/>
            </w:tcMar>
          </w:tcPr>
          <w:p/>
        </w:tc>
      </w:tr>
    </w:tbl>
    <w:p>
      <w:pPr>
        <w:widowControl/>
      </w:pPr>
    </w:p>
    <w:p>
      <w:pPr>
        <w:spacing w:before="400"/>
        <w:widowControl/>
      </w:pPr>
      <w:r>
        <w:rPr>
          <w:b/>
          <w:color w:val="1F4E79"/>
          <w:sz w:val="22"/>
        </w:rPr>
        <w:t>Purpose</w:t>
      </w:r>
    </w:p>
    <w:p>
      <w:pPr>
        <w:ind w:right="2016"/>
        <w:widowControl/>
      </w:pPr>
      <w:r>
        <w:rPr>
          <w:sz w:val="21"/>
        </w:rPr>
        <w:t>To confirm the scope, benchmarking methodology, priority areas, and expected deliverables for National Bank’s review of AML practices across global Capital Markets organizations.</w:t>
      </w:r>
    </w:p>
    <w:p>
      <w:pPr>
        <w:spacing w:before="1600"/>
        <w:widowControl/>
      </w:pPr>
      <w:r>
        <w:rPr>
          <w:i/>
          <w:color w:val="6E6E6E"/>
          <w:sz w:val="18"/>
        </w:rPr>
        <w:t>Prepared for discussion</w:t>
      </w:r>
    </w:p>
    <w:p>
      <w:pPr>
        <w:widowControl/>
      </w:pPr>
      <w:r>
        <w:rPr>
          <w:color w:val="6E6E6E"/>
          <w:sz w:val="18"/>
        </w:rPr>
        <w:t>Confidential — Draft for Client Review</w:t>
      </w:r>
    </w:p>
    <w:p>
      <w:pPr>
        <w:widowControl/>
      </w:pPr>
      <w:r>
        <w:br w:type="page"/>
      </w:r>
    </w:p>
    <w:p>
      <w:pPr>
        <w:pStyle w:val="Heading1"/>
        <w:pBdr>
          <w:bottom w:val="single" w:sz="8" w:space="5" w:color="1F4E79"/>
        </w:pBdr>
        <w:widowControl/>
      </w:pPr>
      <w:r>
        <w:t>Introduction</w:t>
      </w:r>
    </w:p>
    <w:p>
      <w:pPr>
        <w:widowControl/>
      </w:pPr>
      <w:r>
        <w:t>Thank you for the opportunity to support National Bank in evaluating industry practices for Anti-Money Laundering (AML) programs within global Capital Markets organizations.</w:t>
      </w:r>
    </w:p>
    <w:p>
      <w:pPr>
        <w:widowControl/>
      </w:pPr>
      <w:r>
        <w:t>Based on our understanding of the requested scope, the engagement is intended to provide practical benchmarking across key AML capabilities, including sanctions screening, client and counterparty identification and onboarding, transaction monitoring, management of dormant or inactive relationships, and the broader AML target operating model. A key objective will be to understand how peer institutions balance regulatory compliance and financial crime risk management with operational efficiency and the client and counterparty experience across multiple jurisdictions.</w:t>
      </w:r>
    </w:p>
    <w:p>
      <w:pPr>
        <w:widowControl/>
      </w:pPr>
      <w:r>
        <w:t>The following clarification questions are intended to help refine the proposed scope, methodology, peer group, level of analysis, and expected deliverables. They are designed to ensure that the proposal is appropriately tailored to National Bank’s priorities and that the resulting work provides actionable insight rather than a purely descriptive comparison of industry practices.</w:t>
      </w:r>
    </w:p>
    <w:tbl>
      <w:tblPr>
        <w:tblW w:type="auto" w:w="0"/>
        <w:jc w:val="center"/>
        <w:tblLayout w:type="fixed"/>
        <w:tblLook w:firstColumn="1" w:firstRow="1" w:lastColumn="0" w:lastRow="0" w:noHBand="0" w:noVBand="1" w:val="04A0"/>
      </w:tblPr>
      <w:tblGrid>
        <w:gridCol w:w="9648"/>
      </w:tblGrid>
      <w:tr>
        <w:tc>
          <w:tcPr>
            <w:tcW w:type="dxa" w:w="9878"/>
            <w:shd w:fill="EEF3F7"/>
            <w:tcMar>
              <w:top w:w="160" w:type="dxa"/>
              <w:start w:w="180" w:type="dxa"/>
              <w:bottom w:w="160" w:type="dxa"/>
              <w:end w:w="180" w:type="dxa"/>
            </w:tcMar>
          </w:tcPr>
          <w:p>
            <w:r>
              <w:rPr>
                <w:b/>
                <w:color w:val="1F4E79"/>
                <w:sz w:val="20"/>
              </w:rPr>
              <w:t>Proposed benchmarking lens</w:t>
            </w:r>
          </w:p>
          <w:p>
            <w:r>
              <w:rPr>
                <w:b/>
                <w:color w:val="373737"/>
                <w:sz w:val="19"/>
              </w:rPr>
              <w:t>Regulatory requirements  →  Common peer practice  →  Leading / emerging practice  →  Practical opportunities for National Bank</w:t>
            </w:r>
          </w:p>
          <w:p>
            <w:r>
              <w:rPr>
                <w:sz w:val="18"/>
              </w:rPr>
              <w:t>Where appropriate, the work would specifically identify opportunities to reduce unnecessary client or counterparty friction while maintaining an effective and compliant AML control environment.</w:t>
            </w:r>
          </w:p>
        </w:tc>
      </w:tr>
    </w:tbl>
    <w:p>
      <w:pPr>
        <w:spacing w:before="180"/>
        <w:widowControl/>
      </w:pPr>
      <w:r>
        <w:rPr>
          <w:b/>
        </w:rPr>
        <w:t>The questions are intended to confirm:</w:t>
      </w:r>
    </w:p>
    <w:p>
      <w:pPr>
        <w:pStyle w:val="ListBullet"/>
        <w:spacing w:after="40"/>
        <w:ind w:left="360"/>
        <w:widowControl/>
      </w:pPr>
      <w:r>
        <w:t>the intended depth of the benchmarking and whether a current-state assessment is expected;</w:t>
      </w:r>
    </w:p>
    <w:p>
      <w:pPr>
        <w:pStyle w:val="ListBullet"/>
        <w:spacing w:after="40"/>
        <w:ind w:left="360"/>
        <w:widowControl/>
      </w:pPr>
      <w:r>
        <w:t>the appropriate peer institutions, jurisdictions, businesses, and client populations to include;</w:t>
      </w:r>
    </w:p>
    <w:p>
      <w:pPr>
        <w:pStyle w:val="ListBullet"/>
        <w:spacing w:after="40"/>
        <w:ind w:left="360"/>
        <w:widowControl/>
      </w:pPr>
      <w:r>
        <w:t>the degree of quantitative and qualitative benchmarking desired;</w:t>
      </w:r>
    </w:p>
    <w:p>
      <w:pPr>
        <w:pStyle w:val="ListBullet"/>
        <w:spacing w:after="40"/>
        <w:ind w:left="360"/>
        <w:widowControl/>
      </w:pPr>
      <w:r>
        <w:t>National Bank’s priority operational and regulatory challenges;</w:t>
      </w:r>
    </w:p>
    <w:p>
      <w:pPr>
        <w:pStyle w:val="ListBullet"/>
        <w:spacing w:after="40"/>
        <w:ind w:left="360"/>
        <w:widowControl/>
      </w:pPr>
      <w:r>
        <w:t>expectations for recommendations and target operating model design; and</w:t>
      </w:r>
    </w:p>
    <w:p>
      <w:pPr>
        <w:pStyle w:val="ListBullet"/>
        <w:spacing w:after="40"/>
        <w:ind w:left="360"/>
        <w:widowControl/>
      </w:pPr>
      <w:r>
        <w:t>the required deliverables, engagement approach, timing, and commercial structure.</w:t>
      </w:r>
    </w:p>
    <w:p>
      <w:pPr>
        <w:pStyle w:val="Heading1"/>
        <w:pBdr>
          <w:bottom w:val="single" w:sz="4" w:space="5" w:color="D9E2F3"/>
        </w:pBdr>
        <w:widowControl/>
      </w:pPr>
      <w:r>
        <w:t>1. Engagement Objectives and Depth of Assessment</w:t>
      </w:r>
    </w:p>
    <w:p>
      <w:pPr>
        <w:pStyle w:val="Question"/>
        <w:widowControl/>
      </w:pPr>
      <w:r>
        <w:rPr>
          <w:b/>
          <w:color w:val="1F4E79"/>
        </w:rPr>
        <w:t xml:space="preserve">1. </w:t>
      </w:r>
      <w:r>
        <w:rPr>
          <w:sz w:val="18"/>
        </w:rPr>
        <w:t>We understand that National Bank is seeking market benchmarking across the identified AML capabilities. Should the engagement also assess National Bank’s current-state practices against those benchmarks, or should the work remain primarily an external market-practice study?</w:t>
      </w:r>
    </w:p>
    <w:p>
      <w:pPr>
        <w:pStyle w:val="Question"/>
        <w:widowControl/>
      </w:pPr>
      <w:r>
        <w:rPr>
          <w:b/>
          <w:color w:val="1F4E79"/>
        </w:rPr>
        <w:t xml:space="preserve">2. </w:t>
      </w:r>
      <w:r>
        <w:rPr>
          <w:sz w:val="18"/>
        </w:rPr>
        <w:t>What are the principal decisions National Bank expects the benchmarking to inform—for example, validation of the existing program, identification of control or operating-model gaps, simplification of client onboarding, technology investment, resource allocation, or development of a future-state AML model?</w:t>
      </w:r>
    </w:p>
    <w:p>
      <w:pPr>
        <w:pStyle w:val="Question"/>
        <w:widowControl/>
      </w:pPr>
      <w:r>
        <w:rPr>
          <w:b/>
          <w:color w:val="1F4E79"/>
        </w:rPr>
        <w:t xml:space="preserve">3. </w:t>
      </w:r>
      <w:r>
        <w:rPr>
          <w:sz w:val="18"/>
        </w:rPr>
        <w:t>To what extent should the engagement move from benchmarking into recommendations? For example, should the final deliverable include observations only, identified opportunities and recommendations, prioritized recommendations, target-state design principles, and/or an implementation roadmap and sequencing?</w:t>
      </w:r>
    </w:p>
    <w:p>
      <w:pPr>
        <w:pStyle w:val="Question"/>
        <w:widowControl/>
      </w:pPr>
      <w:r>
        <w:rPr>
          <w:b/>
          <w:color w:val="1F4E79"/>
        </w:rPr>
        <w:t xml:space="preserve">4. </w:t>
      </w:r>
      <w:r>
        <w:rPr>
          <w:sz w:val="18"/>
        </w:rPr>
        <w:t>Are there known pain points, regulatory concerns, internal findings, transformation initiatives, or management priorities that should receive particular emphasis within the benchmarking?</w:t>
      </w:r>
    </w:p>
    <w:p>
      <w:pPr>
        <w:pStyle w:val="Heading1"/>
        <w:pBdr>
          <w:bottom w:val="single" w:sz="4" w:space="5" w:color="D9E2F3"/>
        </w:pBdr>
        <w:widowControl/>
      </w:pPr>
      <w:r>
        <w:t>2. Peer Benchmarking Approach</w:t>
      </w:r>
    </w:p>
    <w:p>
      <w:pPr>
        <w:pStyle w:val="Question"/>
        <w:widowControl/>
      </w:pPr>
      <w:r>
        <w:rPr>
          <w:b/>
          <w:color w:val="1F4E79"/>
        </w:rPr>
        <w:t xml:space="preserve">5. </w:t>
      </w:r>
      <w:r>
        <w:rPr>
          <w:sz w:val="18"/>
        </w:rPr>
        <w:t>Does National Bank have a preferred peer group, or should the consultant recommend an appropriate peer universe based on factors such as Capital Markets business mix, scale, international footprint, product complexity, and regulatory profile?</w:t>
      </w:r>
    </w:p>
    <w:p>
      <w:pPr>
        <w:pStyle w:val="Question"/>
        <w:widowControl/>
      </w:pPr>
      <w:r>
        <w:rPr>
          <w:b/>
          <w:color w:val="1F4E79"/>
        </w:rPr>
        <w:t xml:space="preserve">6. </w:t>
      </w:r>
      <w:r>
        <w:rPr>
          <w:sz w:val="18"/>
        </w:rPr>
        <w:t>Would National Bank prefer the analysis to distinguish among Canadian financial institutions, global systemically important banks, U.S. institutions, UK and European institutions, and other international Capital Markets organizations?</w:t>
      </w:r>
    </w:p>
    <w:p>
      <w:pPr>
        <w:pStyle w:val="Question"/>
        <w:widowControl/>
      </w:pPr>
      <w:r>
        <w:rPr>
          <w:b/>
          <w:color w:val="1F4E79"/>
        </w:rPr>
        <w:t xml:space="preserve">7. </w:t>
      </w:r>
      <w:r>
        <w:rPr>
          <w:sz w:val="18"/>
        </w:rPr>
        <w:t>What level of evidence is expected to support the benchmarking? Should the approach primarily leverage regulatory guidance, publicly available information and our market experience, or is National Bank seeking primary research or direct peer intelligence where available?</w:t>
      </w:r>
    </w:p>
    <w:p>
      <w:pPr>
        <w:pStyle w:val="Question"/>
        <w:widowControl/>
      </w:pPr>
      <w:r>
        <w:rPr>
          <w:b/>
          <w:color w:val="1F4E79"/>
        </w:rPr>
        <w:t xml:space="preserve">8. </w:t>
      </w:r>
      <w:r>
        <w:rPr>
          <w:sz w:val="18"/>
        </w:rPr>
        <w:t>Should benchmarking primarily identify common market practice, or should it also distinguish between regulatory minimum requirements, prevalent peer practice, leading or emerging practice, and practices that may create unnecessary operational or client friction?</w:t>
      </w:r>
    </w:p>
    <w:p>
      <w:pPr>
        <w:pStyle w:val="Question"/>
        <w:widowControl/>
      </w:pPr>
      <w:r>
        <w:rPr>
          <w:b/>
          <w:color w:val="1F4E79"/>
        </w:rPr>
        <w:t xml:space="preserve">9. </w:t>
      </w:r>
      <w:r>
        <w:rPr>
          <w:sz w:val="18"/>
        </w:rPr>
        <w:t>Does National Bank expect quantitative benchmarking where reliable information is available—for example, onboarding turnaround times, staffing ratios, periodic-review volumes, alert productivity, automation rates, or other operational metrics—or is the emphasis primarily qualitative?</w:t>
      </w:r>
    </w:p>
    <w:p>
      <w:pPr>
        <w:pStyle w:val="Heading1"/>
        <w:pBdr>
          <w:bottom w:val="single" w:sz="4" w:space="5" w:color="D9E2F3"/>
        </w:pBdr>
        <w:widowControl/>
      </w:pPr>
      <w:r>
        <w:t>3. Business and Geographic Scope</w:t>
      </w:r>
    </w:p>
    <w:p>
      <w:pPr>
        <w:pStyle w:val="Question"/>
        <w:widowControl/>
      </w:pPr>
      <w:r>
        <w:rPr>
          <w:b/>
          <w:color w:val="1F4E79"/>
        </w:rPr>
        <w:t xml:space="preserve">10. </w:t>
      </w:r>
      <w:r>
        <w:rPr>
          <w:sz w:val="18"/>
        </w:rPr>
        <w:t>Are there specific Capital Markets businesses, products, client or counterparty populations, legal entities, booking locations, or support functions that should receive greater emphasis within the assessment?</w:t>
      </w:r>
    </w:p>
    <w:p>
      <w:pPr>
        <w:pStyle w:val="Question"/>
        <w:widowControl/>
      </w:pPr>
      <w:r>
        <w:rPr>
          <w:b/>
          <w:color w:val="1F4E79"/>
        </w:rPr>
        <w:t xml:space="preserve">11. </w:t>
      </w:r>
      <w:r>
        <w:rPr>
          <w:sz w:val="18"/>
        </w:rPr>
        <w:t>Which jurisdictions should be treated as priority markets for comparison based on National Bank’s operating footprint and client activity?</w:t>
      </w:r>
    </w:p>
    <w:p>
      <w:pPr>
        <w:pStyle w:val="Question"/>
        <w:widowControl/>
      </w:pPr>
      <w:r>
        <w:rPr>
          <w:b/>
          <w:color w:val="1F4E79"/>
        </w:rPr>
        <w:t xml:space="preserve">12. </w:t>
      </w:r>
      <w:r>
        <w:rPr>
          <w:sz w:val="18"/>
        </w:rPr>
        <w:t>We understand that PCMLTFA requirements will be an important component of the assessment. Should the work also compare Canadian requirements and National Bank’s approach with relevant practices in key jurisdictions such as the United States, United Kingdom, European Union, and selected APAC markets?</w:t>
      </w:r>
    </w:p>
    <w:p>
      <w:pPr>
        <w:pStyle w:val="Question"/>
        <w:widowControl/>
      </w:pPr>
      <w:r>
        <w:rPr>
          <w:b/>
          <w:color w:val="1F4E79"/>
        </w:rPr>
        <w:t xml:space="preserve">13. </w:t>
      </w:r>
      <w:r>
        <w:rPr>
          <w:sz w:val="18"/>
        </w:rPr>
        <w:t>Where requirements differ across jurisdictions, is National Bank particularly interested in understanding how global institutions establish a consistent global standard while accommodating local regulatory requirements and exceptions?</w:t>
      </w:r>
    </w:p>
    <w:p>
      <w:pPr>
        <w:pStyle w:val="Question"/>
        <w:widowControl/>
      </w:pPr>
      <w:r>
        <w:rPr>
          <w:b/>
          <w:color w:val="1F4E79"/>
        </w:rPr>
        <w:t xml:space="preserve">14. </w:t>
      </w:r>
      <w:r>
        <w:rPr>
          <w:sz w:val="18"/>
        </w:rPr>
        <w:t>Does National Bank expect regulatory interpretation to form part of the engagement, or should the work focus on regulatory requirements and observable industry practices without providing formal legal opinions?</w:t>
      </w:r>
    </w:p>
    <w:p>
      <w:pPr>
        <w:pStyle w:val="Heading1"/>
        <w:pBdr>
          <w:bottom w:val="single" w:sz="4" w:space="5" w:color="D9E2F3"/>
        </w:pBdr>
        <w:widowControl/>
      </w:pPr>
      <w:r>
        <w:t>4. Client and Counterparty Identification / Onboarding</w:t>
      </w:r>
    </w:p>
    <w:p>
      <w:pPr>
        <w:pStyle w:val="Question"/>
        <w:widowControl/>
      </w:pPr>
      <w:r>
        <w:rPr>
          <w:b/>
          <w:color w:val="1F4E79"/>
        </w:rPr>
        <w:t xml:space="preserve">15. </w:t>
      </w:r>
      <w:r>
        <w:rPr>
          <w:sz w:val="18"/>
        </w:rPr>
        <w:t>National Bank has identified minimizing client and counterparty impact while remaining compliant as a key objective. Are there particular areas of the existing onboarding process that are creating the greatest friction—for example, identification and verification, beneficial ownership, foreign counterparties, document collection, refresh requirements, approval processes, or duplication across jurisdictions?</w:t>
      </w:r>
    </w:p>
    <w:p>
      <w:pPr>
        <w:pStyle w:val="Question"/>
        <w:widowControl/>
      </w:pPr>
      <w:r>
        <w:rPr>
          <w:b/>
          <w:color w:val="1F4E79"/>
        </w:rPr>
        <w:t xml:space="preserve">16. </w:t>
      </w:r>
      <w:r>
        <w:rPr>
          <w:sz w:val="18"/>
        </w:rPr>
        <w:t>Should the benchmarking specifically examine approaches used by peers to differentiate requirements based on client or counterparty type, product, jurisdiction, regulatory status, risk level, or nature of the relationship?</w:t>
      </w:r>
    </w:p>
    <w:p>
      <w:pPr>
        <w:pStyle w:val="Question"/>
        <w:widowControl/>
      </w:pPr>
      <w:r>
        <w:rPr>
          <w:b/>
          <w:color w:val="1F4E79"/>
        </w:rPr>
        <w:t xml:space="preserve">17. </w:t>
      </w:r>
      <w:r>
        <w:rPr>
          <w:sz w:val="18"/>
        </w:rPr>
        <w:t>Should the assessment evaluate how peers make use of regulatory exemptions, reliance arrangements, existing affiliate information, third-party verification, public or authoritative data sources, and technology-enabled verification to reduce repeated information requests?</w:t>
      </w:r>
    </w:p>
    <w:p>
      <w:pPr>
        <w:pStyle w:val="Question"/>
        <w:widowControl/>
      </w:pPr>
      <w:r>
        <w:rPr>
          <w:b/>
          <w:color w:val="1F4E79"/>
        </w:rPr>
        <w:t xml:space="preserve">18. </w:t>
      </w:r>
      <w:r>
        <w:rPr>
          <w:sz w:val="18"/>
        </w:rPr>
        <w:t>Is National Bank interested in benchmarking the governance of global onboarding in addition to the underlying requirements—for example, global versus local ownership, centers of excellence, shared services, exception management, escalation, and decision rights?</w:t>
      </w:r>
    </w:p>
    <w:p>
      <w:pPr>
        <w:pStyle w:val="Question"/>
        <w:widowControl/>
      </w:pPr>
      <w:r>
        <w:rPr>
          <w:b/>
          <w:color w:val="1F4E79"/>
        </w:rPr>
        <w:t xml:space="preserve">19. </w:t>
      </w:r>
      <w:r>
        <w:rPr>
          <w:sz w:val="18"/>
        </w:rPr>
        <w:t>Should the analysis include measurable client-experience and operational-efficiency indicators, such as onboarding turnaround time, number of client touchpoints, rework, manual intervention, exception rates, abandonment, and degree of automation?</w:t>
      </w:r>
    </w:p>
    <w:p>
      <w:pPr>
        <w:pStyle w:val="Heading1"/>
        <w:pBdr>
          <w:bottom w:val="single" w:sz="4" w:space="5" w:color="D9E2F3"/>
        </w:pBdr>
        <w:widowControl/>
      </w:pPr>
      <w:r>
        <w:t>5. Sanctions Screening</w:t>
      </w:r>
    </w:p>
    <w:p>
      <w:pPr>
        <w:pStyle w:val="Question"/>
        <w:widowControl/>
      </w:pPr>
      <w:r>
        <w:rPr>
          <w:b/>
          <w:color w:val="1F4E79"/>
        </w:rPr>
        <w:t xml:space="preserve">20. </w:t>
      </w:r>
      <w:r>
        <w:rPr>
          <w:sz w:val="18"/>
        </w:rPr>
        <w:t>For sanctions screening, should the assessment focus specifically on Capital Markets considerations such as securities and issuer screening, ownership and control, counterparties and intermediaries, clearing and settlement relationships, custody arrangements, payment flows, and cross-border transactions?</w:t>
      </w:r>
    </w:p>
    <w:p>
      <w:pPr>
        <w:pStyle w:val="Question"/>
        <w:widowControl/>
      </w:pPr>
      <w:r>
        <w:rPr>
          <w:b/>
          <w:color w:val="1F4E79"/>
        </w:rPr>
        <w:t xml:space="preserve">21. </w:t>
      </w:r>
      <w:r>
        <w:rPr>
          <w:sz w:val="18"/>
        </w:rPr>
        <w:t>Are there specific screening platforms, data-quality challenges, alert volumes, false-positive concerns, or governance issues that National Bank would like the benchmarking to address?</w:t>
      </w:r>
    </w:p>
    <w:p>
      <w:pPr>
        <w:pStyle w:val="Question"/>
        <w:widowControl/>
      </w:pPr>
      <w:r>
        <w:rPr>
          <w:b/>
          <w:color w:val="1F4E79"/>
        </w:rPr>
        <w:t xml:space="preserve">22. </w:t>
      </w:r>
      <w:r>
        <w:rPr>
          <w:sz w:val="18"/>
        </w:rPr>
        <w:t>Should the assessment include peer practices relating to screening architecture and governance—for example, screening points, list management, ownership and control data, matching and tuning, alert disposition, escalation, quality assurance, testing, and global versus local oversight?</w:t>
      </w:r>
    </w:p>
    <w:p>
      <w:pPr>
        <w:pStyle w:val="Heading1"/>
        <w:pBdr>
          <w:bottom w:val="single" w:sz="4" w:space="5" w:color="D9E2F3"/>
        </w:pBdr>
        <w:widowControl/>
      </w:pPr>
      <w:r>
        <w:t>6. Transaction Monitoring</w:t>
      </w:r>
    </w:p>
    <w:p>
      <w:pPr>
        <w:pStyle w:val="Question"/>
        <w:widowControl/>
      </w:pPr>
      <w:r>
        <w:rPr>
          <w:b/>
          <w:color w:val="1F4E79"/>
        </w:rPr>
        <w:t xml:space="preserve">23. </w:t>
      </w:r>
      <w:r>
        <w:rPr>
          <w:sz w:val="18"/>
        </w:rPr>
        <w:t>Should the transaction-monitoring benchmark focus specifically on AML transaction monitoring, or should it also consider interactions with related Capital Markets surveillance capabilities, such as market conduct, trade surveillance, sanctions, fraud, or other financial-crime controls?</w:t>
      </w:r>
    </w:p>
    <w:p>
      <w:pPr>
        <w:pStyle w:val="Question"/>
        <w:widowControl/>
      </w:pPr>
      <w:r>
        <w:rPr>
          <w:b/>
          <w:color w:val="1F4E79"/>
        </w:rPr>
        <w:t xml:space="preserve">24. </w:t>
      </w:r>
      <w:r>
        <w:rPr>
          <w:sz w:val="18"/>
        </w:rPr>
        <w:t>Are there particular Capital Markets products, transaction types, booking models, client segments, or jurisdictions that should receive greater attention because traditional retail or commercial AML monitoring methodologies may not translate effectively to Capital Markets activity?</w:t>
      </w:r>
    </w:p>
    <w:p>
      <w:pPr>
        <w:pStyle w:val="Question"/>
        <w:widowControl/>
      </w:pPr>
      <w:r>
        <w:rPr>
          <w:b/>
          <w:color w:val="1F4E79"/>
        </w:rPr>
        <w:t xml:space="preserve">25. </w:t>
      </w:r>
      <w:r>
        <w:rPr>
          <w:sz w:val="18"/>
        </w:rPr>
        <w:t>Should the assessment examine both the design of the monitoring framework and the operating model supporting it, including risk coverage, scenarios, segmentation, thresholds, data, alert investigation, case management, governance, staffing, technology, model validation, tuning, and performance measurement?</w:t>
      </w:r>
    </w:p>
    <w:p>
      <w:pPr>
        <w:pStyle w:val="Question"/>
        <w:widowControl/>
      </w:pPr>
      <w:r>
        <w:rPr>
          <w:b/>
          <w:color w:val="1F4E79"/>
        </w:rPr>
        <w:t xml:space="preserve">26. </w:t>
      </w:r>
      <w:r>
        <w:rPr>
          <w:sz w:val="18"/>
        </w:rPr>
        <w:t>Is National Bank interested in understanding how peers are using advanced analytics, machine learning, network analytics, or other technology to improve detection while reducing unnecessary alert volumes?</w:t>
      </w:r>
    </w:p>
    <w:p>
      <w:pPr>
        <w:pStyle w:val="Heading1"/>
        <w:pBdr>
          <w:bottom w:val="single" w:sz="4" w:space="5" w:color="D9E2F3"/>
        </w:pBdr>
        <w:widowControl/>
      </w:pPr>
      <w:r>
        <w:t>7. Dormant and Inactive Relationships</w:t>
      </w:r>
    </w:p>
    <w:p>
      <w:pPr>
        <w:pStyle w:val="Question"/>
        <w:widowControl/>
      </w:pPr>
      <w:r>
        <w:rPr>
          <w:b/>
          <w:color w:val="1F4E79"/>
        </w:rPr>
        <w:t xml:space="preserve">27. </w:t>
      </w:r>
      <w:r>
        <w:rPr>
          <w:sz w:val="18"/>
        </w:rPr>
        <w:t>We understand that National Bank is particularly interested in clients that have not traded for two years or more. Is the objective to benchmark whether a two-year threshold is appropriate, or primarily to determine what controls and due-diligence requirements should apply once a client reaches that status?</w:t>
      </w:r>
    </w:p>
    <w:p>
      <w:pPr>
        <w:pStyle w:val="Question"/>
        <w:widowControl/>
      </w:pPr>
      <w:r>
        <w:rPr>
          <w:b/>
          <w:color w:val="1F4E79"/>
        </w:rPr>
        <w:t xml:space="preserve">28. </w:t>
      </w:r>
      <w:r>
        <w:rPr>
          <w:sz w:val="18"/>
        </w:rPr>
        <w:t>Should the benchmarking evaluate tiered approaches to inactivity—for example, differentiating clients by risk, product, relationship type, expected trading frequency, or duration of inactivity rather than applying a single inactivity threshold?</w:t>
      </w:r>
    </w:p>
    <w:p>
      <w:pPr>
        <w:pStyle w:val="Question"/>
        <w:widowControl/>
      </w:pPr>
      <w:r>
        <w:rPr>
          <w:b/>
          <w:color w:val="1F4E79"/>
        </w:rPr>
        <w:t xml:space="preserve">29. </w:t>
      </w:r>
      <w:r>
        <w:rPr>
          <w:sz w:val="18"/>
        </w:rPr>
        <w:t>Should the analysis include peer practices for reactivation, including circumstances requiring data refresh, KYC review, re-verification, additional approvals, restrictions, enhanced diligence, or full re-onboarding?</w:t>
      </w:r>
    </w:p>
    <w:p>
      <w:pPr>
        <w:pStyle w:val="Question"/>
        <w:widowControl/>
      </w:pPr>
      <w:r>
        <w:rPr>
          <w:b/>
          <w:color w:val="1F4E79"/>
        </w:rPr>
        <w:t xml:space="preserve">30. </w:t>
      </w:r>
      <w:r>
        <w:rPr>
          <w:sz w:val="18"/>
        </w:rPr>
        <w:t>Should the assessment also consider when peers maintain an inactive relationship versus formally offboarding the client and the operational, regulatory, and client-experience considerations associated with each approach?</w:t>
      </w:r>
    </w:p>
    <w:p>
      <w:pPr>
        <w:pStyle w:val="Heading1"/>
        <w:pBdr>
          <w:bottom w:val="single" w:sz="4" w:space="5" w:color="D9E2F3"/>
        </w:pBdr>
        <w:widowControl/>
      </w:pPr>
      <w:r>
        <w:t>8. Target Operating Model</w:t>
      </w:r>
    </w:p>
    <w:p>
      <w:pPr>
        <w:pStyle w:val="Question"/>
        <w:widowControl/>
      </w:pPr>
      <w:r>
        <w:rPr>
          <w:b/>
          <w:color w:val="1F4E79"/>
        </w:rPr>
        <w:t xml:space="preserve">31. </w:t>
      </w:r>
      <w:r>
        <w:rPr>
          <w:sz w:val="18"/>
        </w:rPr>
        <w:t>What level of target operating model development is expected? Should this be limited to benchmarking alternative models, or should the engagement recommend a model tailored to National Bank?</w:t>
      </w:r>
    </w:p>
    <w:p>
      <w:pPr>
        <w:pStyle w:val="Question"/>
        <w:widowControl/>
      </w:pPr>
      <w:r>
        <w:rPr>
          <w:b/>
          <w:color w:val="1F4E79"/>
        </w:rPr>
        <w:t xml:space="preserve">32. </w:t>
      </w:r>
      <w:r>
        <w:rPr>
          <w:sz w:val="18"/>
        </w:rPr>
        <w:t>Should the target operating model address the allocation of responsibilities across Capital Markets, Financial Crime Compliance, Operations, Technology, Data, Legal, and the broader three lines of defense?</w:t>
      </w:r>
    </w:p>
    <w:p>
      <w:pPr>
        <w:pStyle w:val="Question"/>
        <w:widowControl/>
      </w:pPr>
      <w:r>
        <w:rPr>
          <w:b/>
          <w:color w:val="1F4E79"/>
        </w:rPr>
        <w:t xml:space="preserve">33. </w:t>
      </w:r>
      <w:r>
        <w:rPr>
          <w:sz w:val="18"/>
        </w:rPr>
        <w:t>Are there particular operating-model questions National Bank is seeking to resolve—for example, global versus regional ownership, centralized versus decentralized execution, centers of excellence, first-line versus second-line responsibilities, use of shared services or managed services, location strategy, automation opportunities, or staffing and capability requirements?</w:t>
      </w:r>
    </w:p>
    <w:p>
      <w:pPr>
        <w:pStyle w:val="Question"/>
        <w:widowControl/>
      </w:pPr>
      <w:r>
        <w:rPr>
          <w:b/>
          <w:color w:val="1F4E79"/>
        </w:rPr>
        <w:t xml:space="preserve">34. </w:t>
      </w:r>
      <w:r>
        <w:rPr>
          <w:sz w:val="18"/>
        </w:rPr>
        <w:t>Should staffing and resourcing benchmarks be included where sufficiently comparable data is available, including role mix, capacity drivers, spans of control, specialist capabilities, and productivity measures?</w:t>
      </w:r>
    </w:p>
    <w:p>
      <w:pPr>
        <w:pStyle w:val="Question"/>
        <w:widowControl/>
      </w:pPr>
      <w:r>
        <w:rPr>
          <w:b/>
          <w:color w:val="1F4E79"/>
        </w:rPr>
        <w:t xml:space="preserve">35. </w:t>
      </w:r>
      <w:r>
        <w:rPr>
          <w:sz w:val="18"/>
        </w:rPr>
        <w:t>Are there existing technology modernization, data, AI or automation, operating-model, or efficiency initiatives that the recommended future-state model should align with?</w:t>
      </w:r>
    </w:p>
    <w:p>
      <w:pPr>
        <w:pStyle w:val="Heading1"/>
        <w:pBdr>
          <w:bottom w:val="single" w:sz="4" w:space="5" w:color="D9E2F3"/>
        </w:pBdr>
        <w:widowControl/>
      </w:pPr>
      <w:r>
        <w:t>9. Current-State Access and Methodology</w:t>
      </w:r>
    </w:p>
    <w:p>
      <w:pPr>
        <w:pStyle w:val="Question"/>
        <w:widowControl/>
      </w:pPr>
      <w:r>
        <w:rPr>
          <w:b/>
          <w:color w:val="1F4E79"/>
        </w:rPr>
        <w:t xml:space="preserve">36. </w:t>
      </w:r>
      <w:r>
        <w:rPr>
          <w:sz w:val="18"/>
        </w:rPr>
        <w:t>To appropriately scope any current-state component, what level of access should the proposal assume to National Bank policies, procedures, governance documentation, process maps, system information, organizational structures, management information, issue inventories, and prior assessments?</w:t>
      </w:r>
    </w:p>
    <w:p>
      <w:pPr>
        <w:pStyle w:val="Question"/>
        <w:widowControl/>
      </w:pPr>
      <w:r>
        <w:rPr>
          <w:b/>
          <w:color w:val="1F4E79"/>
        </w:rPr>
        <w:t xml:space="preserve">37. </w:t>
      </w:r>
      <w:r>
        <w:rPr>
          <w:sz w:val="18"/>
        </w:rPr>
        <w:t>Should the engagement assume stakeholder interviews and workshops in addition to document review? If so, should we plan for participation from Capital Markets, Compliance, Operations, Technology and Data, Legal, Internal Audit, and relevant regional teams?</w:t>
      </w:r>
    </w:p>
    <w:p>
      <w:pPr>
        <w:pStyle w:val="Question"/>
        <w:widowControl/>
      </w:pPr>
      <w:r>
        <w:rPr>
          <w:b/>
          <w:color w:val="1F4E79"/>
        </w:rPr>
        <w:t xml:space="preserve">38. </w:t>
      </w:r>
      <w:r>
        <w:rPr>
          <w:sz w:val="18"/>
        </w:rPr>
        <w:t>Should the work include review of representative client files, screening alerts, transaction-monitoring cases, or other samples, or should it be scoped as a design- and governance-level assessment without control testing?</w:t>
      </w:r>
    </w:p>
    <w:p>
      <w:pPr>
        <w:pStyle w:val="Question"/>
        <w:widowControl/>
      </w:pPr>
      <w:r>
        <w:rPr>
          <w:b/>
          <w:color w:val="1F4E79"/>
        </w:rPr>
        <w:t xml:space="preserve">39. </w:t>
      </w:r>
      <w:r>
        <w:rPr>
          <w:sz w:val="18"/>
        </w:rPr>
        <w:t>Are there data residency, confidentiality, privilege, language, or system-access constraints that should be incorporated into the proposed methodology?</w:t>
      </w:r>
    </w:p>
    <w:p>
      <w:pPr>
        <w:pStyle w:val="Heading1"/>
        <w:pBdr>
          <w:bottom w:val="single" w:sz="4" w:space="5" w:color="D9E2F3"/>
        </w:pBdr>
        <w:widowControl/>
      </w:pPr>
      <w:r>
        <w:t>10. Deliverables, Timing and Commercial Considerations</w:t>
      </w:r>
    </w:p>
    <w:p>
      <w:pPr>
        <w:pStyle w:val="Question"/>
        <w:widowControl/>
      </w:pPr>
      <w:r>
        <w:rPr>
          <w:b/>
          <w:color w:val="1F4E79"/>
        </w:rPr>
        <w:t xml:space="preserve">40. </w:t>
      </w:r>
      <w:r>
        <w:rPr>
          <w:sz w:val="18"/>
        </w:rPr>
        <w:t>What are the principal audiences for the final work product—for example, Capital Markets leadership, Financial Crime Compliance, executive management, Board or committee members, Internal Audit, or regulators?</w:t>
      </w:r>
    </w:p>
    <w:p>
      <w:pPr>
        <w:pStyle w:val="Question"/>
        <w:widowControl/>
      </w:pPr>
      <w:r>
        <w:rPr>
          <w:b/>
          <w:color w:val="1F4E79"/>
        </w:rPr>
        <w:t xml:space="preserve">41. </w:t>
      </w:r>
      <w:r>
        <w:rPr>
          <w:sz w:val="18"/>
        </w:rPr>
        <w:t>Does National Bank have a preferred final deliverable structure—for example, executive presentation, detailed benchmarking report, peer-practice matrix, jurisdictional comparison, current-state maturity assessment, target operating model, prioritized recommendations, and/or implementation roadmap?</w:t>
      </w:r>
    </w:p>
    <w:p>
      <w:pPr>
        <w:pStyle w:val="Question"/>
        <w:widowControl/>
      </w:pPr>
      <w:r>
        <w:rPr>
          <w:b/>
          <w:color w:val="1F4E79"/>
        </w:rPr>
        <w:t xml:space="preserve">42. </w:t>
      </w:r>
      <w:r>
        <w:rPr>
          <w:sz w:val="18"/>
        </w:rPr>
        <w:t>Should recommendations explicitly identify opportunities to simplify, rationalize, or eliminate controls and processes that exceed applicable requirements or provide limited incremental risk mitigation, where supported by regulatory analysis and peer benchmarking?</w:t>
      </w:r>
    </w:p>
    <w:p>
      <w:pPr>
        <w:pStyle w:val="Question"/>
        <w:widowControl/>
      </w:pPr>
      <w:r>
        <w:rPr>
          <w:b/>
          <w:color w:val="1F4E79"/>
        </w:rPr>
        <w:t xml:space="preserve">43. </w:t>
      </w:r>
      <w:r>
        <w:rPr>
          <w:sz w:val="18"/>
        </w:rPr>
        <w:t>What project duration and key milestones should respondents assume, including any required interim readouts, executive workshops, or final presentations?</w:t>
      </w:r>
    </w:p>
    <w:p>
      <w:pPr>
        <w:pStyle w:val="Question"/>
        <w:widowControl/>
      </w:pPr>
      <w:r>
        <w:rPr>
          <w:b/>
          <w:color w:val="1F4E79"/>
        </w:rPr>
        <w:t xml:space="preserve">44. </w:t>
      </w:r>
      <w:r>
        <w:rPr>
          <w:sz w:val="18"/>
        </w:rPr>
        <w:t>Are there specific proposal evaluation criteria or requirements concerning methodology, team composition, Capital Markets AML experience, Canadian regulatory experience, international coverage, benchmarking capabilities, references, security, independence, or contracting?</w:t>
      </w:r>
    </w:p>
    <w:p>
      <w:pPr>
        <w:pStyle w:val="Question"/>
        <w:widowControl/>
      </w:pPr>
      <w:r>
        <w:rPr>
          <w:b/>
          <w:color w:val="1F4E79"/>
        </w:rPr>
        <w:t xml:space="preserve">45. </w:t>
      </w:r>
      <w:r>
        <w:rPr>
          <w:sz w:val="18"/>
        </w:rPr>
        <w:t>Is there an expected budget range or preferred commercial structure—such as fixed fee, time and materials, or a phased approach—that respondents should consider when developing the proposal?</w:t>
      </w:r>
    </w:p>
    <w:p>
      <w:pPr>
        <w:pStyle w:val="Heading1"/>
        <w:pBdr>
          <w:bottom w:val="single" w:sz="8" w:space="5" w:color="1F4E79"/>
        </w:pBdr>
        <w:widowControl/>
      </w:pPr>
      <w:r>
        <w:t>Closing</w:t>
      </w:r>
    </w:p>
    <w:p>
      <w:pPr>
        <w:widowControl/>
      </w:pPr>
      <w:r>
        <w:t>The responses to these questions will help calibrate the engagement to the appropriate level of depth and ensure that the proposed approach focuses on the issues most relevant to National Bank.</w:t>
      </w:r>
    </w:p>
    <w:tbl>
      <w:tblPr>
        <w:tblW w:type="auto" w:w="0"/>
        <w:jc w:val="center"/>
        <w:tblLayout w:type="fixed"/>
        <w:tblLook w:firstColumn="1" w:firstRow="1" w:lastColumn="0" w:lastRow="0" w:noHBand="0" w:noVBand="1" w:val="04A0"/>
      </w:tblPr>
      <w:tblGrid>
        <w:gridCol w:w="9648"/>
      </w:tblGrid>
      <w:tr>
        <w:tc>
          <w:tcPr>
            <w:tcW w:type="dxa" w:w="9878"/>
            <w:shd w:fill="F4F6F8"/>
            <w:tcMar>
              <w:top w:w="160" w:type="dxa"/>
              <w:start w:w="180" w:type="dxa"/>
              <w:bottom w:w="160" w:type="dxa"/>
              <w:end w:w="180" w:type="dxa"/>
            </w:tcMar>
          </w:tcPr>
          <w:p>
            <w:r>
              <w:rPr>
                <w:b/>
                <w:color w:val="1F4E79"/>
              </w:rPr>
              <w:t>Our intent</w:t>
            </w:r>
          </w:p>
          <w:p>
            <w:r>
              <w:rPr>
                <w:sz w:val="18"/>
              </w:rPr>
              <w:t>Develop a benchmarking approach that is regulatorily grounded and operationally practical—providing visibility into how comparable institutions manage similar requirements while identifying opportunities to enhance control effectiveness, simplify processes, reduce unnecessary client and counterparty friction, and support a sustainable Capital Markets AML operating model.</w:t>
            </w:r>
          </w:p>
        </w:tc>
      </w:tr>
    </w:tbl>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7D7D"/>
        <w:sz w:val="15"/>
      </w:rPr>
      <w:t>RFP Clarification Questions  |  Confidential</w:t>
    </w:r>
    <w:r>
      <w:rPr>
        <w:rFonts w:ascii="Aptos" w:hAnsi="Aptos"/>
        <w:color w:val="7D7D7D"/>
        <w:sz w:val="15"/>
      </w:rPr>
      <w:t xml:space="preserve">  |  Page </w:t>
    </w:r>
    <w:r>
      <w:rPr>
        <w:rFonts w:ascii="Aptos" w:hAnsi="Aptos"/>
        <w:color w:val="7D7D7D"/>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5"/>
      </w:rPr>
      <w:t>NATIONAL BANK  |  CAPITAL MARKETS AML BENCHMARKING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37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Lines/>
      <w:spacing w:after="100"/>
      <w:ind w:left="317" w:hanging="317"/>
    </w:pPr>
    <w:rPr>
      <w:rFonts w:ascii="Aptos" w:hAnsi="Aptos"/>
      <w:color w:val="23232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Bank Capital Markets AML Benchmarking - RFP Clarification Questions</dc:title>
  <dc:subject>Client-ready clarification questions for AML benchmarking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