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XBTM20 / BitMEX March 2020</w:t>
        <w:br/>
        <w:t>Simple Copy-and-Paste Edit Guide</w:t>
      </w:r>
    </w:p>
    <w:p>
      <w:pPr>
        <w:jc w:val="center"/>
      </w:pPr>
      <w:r>
        <w:rPr>
          <w:i/>
          <w:sz w:val="21"/>
        </w:rPr>
        <w:t>Each proposed edit is immediately followed by the exact footnote to use</w:t>
      </w:r>
    </w:p>
    <w:p>
      <w:r>
        <w:t>How to use this guide: Work through the changes in order. For each item, copy the proposed text into your report at the location shown. Then insert the numbered footnote shown immediately below that text. The footnote includes the point-in-time source title, publication date, the proposition it supports, and the source URL.</w:t>
      </w:r>
    </w:p>
    <w:p>
      <w:pPr>
        <w:pStyle w:val="Heading1"/>
      </w:pPr>
      <w:r>
        <w:t>CHANGE 1 - Add a point-in-time sourcing statement</w:t>
      </w:r>
    </w:p>
    <w:p>
      <w:r>
        <w:rPr>
          <w:b/>
        </w:rPr>
        <w:t xml:space="preserve">WHERE: </w:t>
      </w:r>
      <w:r>
        <w:t>Immediately after the Executive Summary, before Key Takeaways.</w:t>
      </w:r>
    </w:p>
    <w:p>
      <w:r>
        <w:rPr>
          <w:b/>
        </w:rPr>
        <w:t xml:space="preserve">ACTION: </w:t>
      </w:r>
      <w:r>
        <w:t>ADD a new paragraph.</w:t>
      </w:r>
    </w:p>
    <w:p>
      <w:r>
        <w:rPr>
          <w:b/>
        </w:rPr>
        <w:t>COPY / PASTE THIS TEXT:</w:t>
      </w:r>
    </w:p>
    <w:p>
      <w:pPr>
        <w:ind w:left="360" w:right="360"/>
      </w:pPr>
      <w:r>
        <w:t>Source Period and Methodology. This analysis evaluates XBTM20 and the BitMEX liquidation framework principally by reference to BitMEX materials published before, during, or immediately following the events of 12-13 March 2020. BitMEX had announced XBTM20 in December 2019 as its Bitcoin/U.S. dollar futures contract settling on 26 June 2020.¹ For the March 2020 disruption and liquidation framework, this analysis gives particular weight to BitMEX's contemporaneous 13 March system-status notice, its 16 March technical postmortem, and its 22 March explanation of the Insurance Fund and Liquidation Engine.² ³ ⁴ Later BitMEX materials should be used only as secondary explanatory sources unless it can be established that the relevant rule or methodology was unchanged from March 2020.</w:t>
      </w:r>
    </w:p>
    <w:p>
      <w:r>
        <w:rPr>
          <w:b/>
        </w:rPr>
        <w:t>FOOTNOTE(S) TO INSERT FOR THE TEXT ABOVE:</w:t>
      </w:r>
    </w:p>
    <w:p>
      <w:pPr>
        <w:ind w:left="360"/>
      </w:pPr>
      <w:r>
        <w:rPr>
          <w:b/>
        </w:rPr>
        <w:t xml:space="preserve">Footnote 1: </w:t>
      </w:r>
      <w:r>
        <w:t>BitMEX, “Q1 2020 Quarterly Futures Listings,” 5 December 2019. This source identifies XBTM20 as the Bitcoin/U.S. dollar June 2020 quarterly futures contract and states that it would settle on 26 June 2020. https://www.bitmex.com/blog/q1-2020-quarterly-futures-listings</w:t>
      </w:r>
    </w:p>
    <w:p>
      <w:pPr>
        <w:ind w:left="360"/>
      </w:pPr>
      <w:r>
        <w:rPr>
          <w:b/>
        </w:rPr>
        <w:t xml:space="preserve">Footnote 2: </w:t>
      </w:r>
      <w:r>
        <w:t>BitMEX, “System Status Update, 13 March 2020,” 13 March 2020. This is BitMEX's contemporaneous initial public notice regarding the first disruption. https://www.bitmex.com/blog/site-announcement/system-status-update-13-march-2020</w:t>
      </w:r>
    </w:p>
    <w:p>
      <w:pPr>
        <w:ind w:left="360"/>
      </w:pPr>
      <w:r>
        <w:rPr>
          <w:b/>
        </w:rPr>
        <w:t xml:space="preserve">Footnote 3: </w:t>
      </w:r>
      <w:r>
        <w:t>Arthur Hayes / BitMEX, “How We Are Responding to the 13 March DDoS Attacks,” 16 March 2020. This is BitMEX's detailed post-event technical explanation of the 13 March disruptions. https://www.bitmex.com/blog/how-we-are-responding-to-last-weeks-ddos-attacks</w:t>
      </w:r>
    </w:p>
    <w:p>
      <w:pPr>
        <w:ind w:left="360"/>
      </w:pPr>
      <w:r>
        <w:rPr>
          <w:b/>
        </w:rPr>
        <w:t xml:space="preserve">Footnote 4: </w:t>
      </w:r>
      <w:r>
        <w:t>BitMEX, “BitMEX Insurance Fund: Your Questions Answered,” 22 March 2020. This source was published shortly after the events and explains BitMEX's liquidation, bankruptcy-price, Insurance Fund and ADL framework in the context of 12-13 March. https://www.bitmex.com/blog/bitmex-insurance-fund-your-questions-answered</w:t>
      </w:r>
    </w:p>
    <w:p/>
    <w:p>
      <w:pPr>
        <w:pStyle w:val="Heading1"/>
      </w:pPr>
      <w:r>
        <w:t>CHANGE 2 - Tighten the opening description of XBTM20</w:t>
      </w:r>
    </w:p>
    <w:p>
      <w:r>
        <w:rPr>
          <w:b/>
        </w:rPr>
        <w:t xml:space="preserve">WHERE: </w:t>
      </w:r>
      <w:r>
        <w:t>Section 2, first paragraph under “What Was XBTM20?”</w:t>
      </w:r>
    </w:p>
    <w:p>
      <w:r>
        <w:rPr>
          <w:b/>
        </w:rPr>
        <w:t xml:space="preserve">ACTION: </w:t>
      </w:r>
      <w:r>
        <w:t>REPLACE the first two sentences with the paragraph below.</w:t>
      </w:r>
    </w:p>
    <w:p>
      <w:r>
        <w:rPr>
          <w:b/>
        </w:rPr>
        <w:t>COPY / PASTE THIS TEXT:</w:t>
      </w:r>
    </w:p>
    <w:p>
      <w:pPr>
        <w:ind w:left="360" w:right="360"/>
      </w:pPr>
      <w:r>
        <w:t>XBTM20 was BitMEX's Bitcoin/U.S. dollar June 2020 quarterly futures contract. BitMEX announced the contract on 5 December 2019, with trading scheduled to begin on 13 December 2019 and settlement on 26 June 2020.⁵ Unlike XBTUSD, XBTM20 was a dated futures instrument with a fixed settlement date rather than a perpetual swap.</w:t>
      </w:r>
    </w:p>
    <w:p>
      <w:r>
        <w:rPr>
          <w:b/>
        </w:rPr>
        <w:t>FOOTNOTE(S) TO INSERT FOR THE TEXT ABOVE:</w:t>
      </w:r>
    </w:p>
    <w:p>
      <w:pPr>
        <w:ind w:left="360"/>
      </w:pPr>
      <w:r>
        <w:rPr>
          <w:b/>
        </w:rPr>
        <w:t xml:space="preserve">Footnote 5: </w:t>
      </w:r>
      <w:r>
        <w:t>BitMEX, “Q1 2020 Quarterly Futures Listings,” 5 December 2019. The listing identifies XBTM20 as Bitcoin/USD, with listing on 13 December 2019 and settlement on 26 June 2020. https://www.bitmex.com/blog/q1-2020-quarterly-futures-listings</w:t>
      </w:r>
    </w:p>
    <w:p/>
    <w:p>
      <w:pPr>
        <w:pStyle w:val="Heading1"/>
      </w:pPr>
      <w:r>
        <w:t>CHANGE 3 - Qualify the settlement-reference row</w:t>
      </w:r>
    </w:p>
    <w:p>
      <w:r>
        <w:rPr>
          <w:b/>
        </w:rPr>
        <w:t xml:space="preserve">WHERE: </w:t>
      </w:r>
      <w:r>
        <w:t>Section 2 feature table, row labeled “Settlement reference.”</w:t>
      </w:r>
    </w:p>
    <w:p>
      <w:r>
        <w:rPr>
          <w:b/>
        </w:rPr>
        <w:t xml:space="preserve">ACTION: </w:t>
      </w:r>
      <w:r>
        <w:t>REPLACE the current settlement-reference wording.</w:t>
      </w:r>
    </w:p>
    <w:p>
      <w:r>
        <w:rPr>
          <w:b/>
        </w:rPr>
        <w:t xml:space="preserve">WHY: </w:t>
      </w:r>
      <w:r>
        <w:t>Your current draft states a precise settlement calculation. That may be right, but for a March 2020 forensic report it should be supported by the actual XBTM20 contract specification from that period rather than a current BitMEX page.</w:t>
      </w:r>
    </w:p>
    <w:p>
      <w:r>
        <w:rPr>
          <w:b/>
        </w:rPr>
        <w:t>COPY / PASTE THIS TEXT:</w:t>
      </w:r>
    </w:p>
    <w:p>
      <w:pPr>
        <w:ind w:left="360" w:right="360"/>
      </w:pPr>
      <w:r>
        <w:t>Settlement reference: Settlement index and calculation methodology specified in the contemporaneous XBTM20 contract specification. The June 26, 2020 settlement date is established by BitMEX's December 2019 listing notice; the precise settlement-index methodology should be confirmed from the archived XBTM20 specification in effect in March 2020.⁶</w:t>
      </w:r>
    </w:p>
    <w:p>
      <w:r>
        <w:rPr>
          <w:b/>
        </w:rPr>
        <w:t>FOOTNOTE(S) TO INSERT FOR THE TEXT ABOVE:</w:t>
      </w:r>
    </w:p>
    <w:p>
      <w:pPr>
        <w:ind w:left="360"/>
      </w:pPr>
      <w:r>
        <w:rPr>
          <w:b/>
        </w:rPr>
        <w:t xml:space="preserve">Footnote 6: </w:t>
      </w:r>
      <w:r>
        <w:t>BitMEX, “Q1 2020 Quarterly Futures Listings,” 5 December 2019. This source confirms XBTM20 and its 26 June 2020 settlement date. It does not, by itself, establish every settlement-calculation input, so the archived March 2020 contract specification should be obtained before stating the detailed settlement formula as fact. https://www.bitmex.com/blog/q1-2020-quarterly-futures-listings</w:t>
      </w:r>
    </w:p>
    <w:p/>
    <w:p>
      <w:pPr>
        <w:pStyle w:val="Heading1"/>
      </w:pPr>
      <w:r>
        <w:t>CHANGE 4 - Strengthen the Mark Price section</w:t>
      </w:r>
    </w:p>
    <w:p>
      <w:r>
        <w:rPr>
          <w:b/>
        </w:rPr>
        <w:t xml:space="preserve">WHERE: </w:t>
      </w:r>
      <w:r>
        <w:t>Current Section 4.2, “Mark Price, Index Price, and Last Price.”</w:t>
      </w:r>
    </w:p>
    <w:p>
      <w:r>
        <w:rPr>
          <w:b/>
        </w:rPr>
        <w:t xml:space="preserve">ACTION: </w:t>
      </w:r>
      <w:r>
        <w:t>REPLACE the current explanatory paragraph with the text below, or use it as the opening paragraph of a standalone Mark Price section.</w:t>
      </w:r>
    </w:p>
    <w:p>
      <w:r>
        <w:rPr>
          <w:b/>
        </w:rPr>
        <w:t>COPY / PASTE THIS TEXT:</w:t>
      </w:r>
    </w:p>
    <w:p>
      <w:pPr>
        <w:ind w:left="360" w:right="360"/>
      </w:pPr>
      <w:r>
        <w:t>BitMEX distinguished the contract's traded price from the Mark Price used for margin and liquidation purposes. This distinction is essential to a position-specific liquidation analysis because the price visible on a Last Price chart is not necessarily the price that determined whether maintenance margin was breached. BitMEX's own March 2020 explanation stated that bankruptcy loss was calculated using Mark Price and that liquidation occurred when Mark Price breached the Liquidation Price.⁷ Accordingly, an XBTM20 reconstruction should identify the contemporaneous XBTM20 Mark Price and the inputs used to produce it, rather than infer liquidation solely from XBTM20 Last Price or XBTUSD.</w:t>
      </w:r>
    </w:p>
    <w:p>
      <w:r>
        <w:rPr>
          <w:b/>
        </w:rPr>
        <w:t>FOOTNOTE(S) TO INSERT FOR THE TEXT ABOVE:</w:t>
      </w:r>
    </w:p>
    <w:p>
      <w:pPr>
        <w:ind w:left="360"/>
      </w:pPr>
      <w:r>
        <w:rPr>
          <w:b/>
        </w:rPr>
        <w:t xml:space="preserve">Footnote 7: </w:t>
      </w:r>
      <w:r>
        <w:t>BitMEX, “BitMEX Insurance Fund: Your Questions Answered,” 22 March 2020. BitMEX explains that unrealized losses relevant to bankruptcy are calculated using Mark Price and that liquidation occurs when Mark Price breaches Liquidation Price. https://www.bitmex.com/blog/bitmex-insurance-fund-your-questions-answered</w:t>
      </w:r>
    </w:p>
    <w:p/>
    <w:p>
      <w:pPr>
        <w:pStyle w:val="Heading1"/>
      </w:pPr>
      <w:r>
        <w:t>CHANGE 5 - Replace the liquidation-price / bankruptcy-price explanation with BitMEX's March 2020 terminology</w:t>
      </w:r>
    </w:p>
    <w:p>
      <w:r>
        <w:rPr>
          <w:b/>
        </w:rPr>
        <w:t xml:space="preserve">WHERE: </w:t>
      </w:r>
      <w:r>
        <w:t>Current Section 4.3, “Liquidation price and bankruptcy price.”</w:t>
      </w:r>
    </w:p>
    <w:p>
      <w:r>
        <w:rPr>
          <w:b/>
        </w:rPr>
        <w:t xml:space="preserve">ACTION: </w:t>
      </w:r>
      <w:r>
        <w:t>REPLACE the opening paragraph with the text below.</w:t>
      </w:r>
    </w:p>
    <w:p>
      <w:r>
        <w:rPr>
          <w:b/>
        </w:rPr>
        <w:t>COPY / PASTE THIS TEXT:</w:t>
      </w:r>
    </w:p>
    <w:p>
      <w:pPr>
        <w:ind w:left="360" w:right="360"/>
      </w:pPr>
      <w:r>
        <w:t>BitMEX's 22 March 2020 explanation distinguished Bankruptcy Price from Liquidation Price. BitMEX described Bankruptcy Price as the price at which a position has zero equity remaining because all posted margin has been depleted. It described Liquidation Price as the point at which only Maintenance Margin remains; at that point, the Liquidation Engine takes over the position.⁸ BitMEX further stated that when Mark Price breaches the Liquidation Price, the position is liquidated and the remaining Maintenance Margin is taken over by the Liquidation Engine.⁹ Thus, liquidation price, bankruptcy price, and the eventual execution price are analytically distinct.</w:t>
      </w:r>
    </w:p>
    <w:p>
      <w:r>
        <w:rPr>
          <w:b/>
        </w:rPr>
        <w:t>FOOTNOTE(S) TO INSERT FOR THE TEXT ABOVE:</w:t>
      </w:r>
    </w:p>
    <w:p>
      <w:pPr>
        <w:ind w:left="360"/>
      </w:pPr>
      <w:r>
        <w:rPr>
          <w:b/>
        </w:rPr>
        <w:t xml:space="preserve">Footnote 8: </w:t>
      </w:r>
      <w:r>
        <w:t>BitMEX, “BitMEX Insurance Fund: Your Questions Answered,” 22 March 2020, Terms section. BitMEX defines Bankruptcy Price and Liquidation Price and explains the difference between them. https://www.bitmex.com/blog/bitmex-insurance-fund-your-questions-answered</w:t>
      </w:r>
    </w:p>
    <w:p>
      <w:pPr>
        <w:ind w:left="360"/>
      </w:pPr>
      <w:r>
        <w:rPr>
          <w:b/>
        </w:rPr>
        <w:t xml:space="preserve">Footnote 9: </w:t>
      </w:r>
      <w:r>
        <w:t>Id., Liquidation Price discussion. BitMEX states that when Mark Price breaches Liquidation Price, the position is liquidated and Maintenance Margin is taken over by the Liquidation Engine. https://www.bitmex.com/blog/bitmex-insurance-fund-your-questions-answered</w:t>
      </w:r>
    </w:p>
    <w:p/>
    <w:p>
      <w:pPr>
        <w:pStyle w:val="Heading1"/>
      </w:pPr>
      <w:r>
        <w:t>CHANGE 6 - Expand what the Liquidation Engine could do before a full liquidation</w:t>
      </w:r>
    </w:p>
    <w:p>
      <w:r>
        <w:rPr>
          <w:b/>
        </w:rPr>
        <w:t xml:space="preserve">WHERE: </w:t>
      </w:r>
      <w:r>
        <w:t>Current Section 4.4, “What happens after liquidation.”</w:t>
      </w:r>
    </w:p>
    <w:p>
      <w:r>
        <w:rPr>
          <w:b/>
        </w:rPr>
        <w:t xml:space="preserve">ACTION: </w:t>
      </w:r>
      <w:r>
        <w:t>REPLACE or expand the first paragraph.</w:t>
      </w:r>
    </w:p>
    <w:p>
      <w:r>
        <w:rPr>
          <w:b/>
        </w:rPr>
        <w:t>COPY / PASTE THIS TEXT:</w:t>
      </w:r>
    </w:p>
    <w:p>
      <w:pPr>
        <w:ind w:left="360" w:right="360"/>
      </w:pPr>
      <w:r>
        <w:t>BitMEX stated in March 2020 that its Liquidation Engine could first attempt to avoid full liquidation by cancelling open orders to reduce maintenance-margin requirements and, for larger positions, by partially liquidating the position to move it to a lower Risk Limit.¹⁰ If liquidation occurred, the Liquidation Engine assumed control of the position. The price at which the engine ultimately reduced or closed the inherited exposure could differ from both the displayed Liquidation Price and Bankruptcy Price because execution depended on available market liquidity.</w:t>
      </w:r>
    </w:p>
    <w:p>
      <w:r>
        <w:rPr>
          <w:b/>
        </w:rPr>
        <w:t>FOOTNOTE(S) TO INSERT FOR THE TEXT ABOVE:</w:t>
      </w:r>
    </w:p>
    <w:p>
      <w:pPr>
        <w:ind w:left="360"/>
      </w:pPr>
      <w:r>
        <w:rPr>
          <w:b/>
        </w:rPr>
        <w:t xml:space="preserve">Footnote 10: </w:t>
      </w:r>
      <w:r>
        <w:t>BitMEX, “BitMEX Insurance Fund: Your Questions Answered,” 22 March 2020, Liquidation Engine discussion. BitMEX describes cancellation of open orders to reduce maintenance-margin requirements and partial liquidation for larger positions. https://www.bitmex.com/blog/bitmex-insurance-fund-your-questions-answered</w:t>
      </w:r>
    </w:p>
    <w:p/>
    <w:p>
      <w:pPr>
        <w:pStyle w:val="Heading1"/>
      </w:pPr>
      <w:r>
        <w:t>CHANGE 7 - Consolidate the Insurance Fund discussion</w:t>
      </w:r>
    </w:p>
    <w:p>
      <w:r>
        <w:rPr>
          <w:b/>
        </w:rPr>
        <w:t xml:space="preserve">WHERE: </w:t>
      </w:r>
      <w:r>
        <w:t>Current Sections 4.5 and 4.6.</w:t>
      </w:r>
    </w:p>
    <w:p>
      <w:r>
        <w:rPr>
          <w:b/>
        </w:rPr>
        <w:t xml:space="preserve">ACTION: </w:t>
      </w:r>
      <w:r>
        <w:t>DELETE the repetitive portions and replace them with one combined section titled “Liquidation Engine, Insurance Fund and Auto-Deleveraging.”</w:t>
      </w:r>
    </w:p>
    <w:p>
      <w:r>
        <w:rPr>
          <w:b/>
        </w:rPr>
        <w:t>COPY / PASTE THIS TEXT:</w:t>
      </w:r>
    </w:p>
    <w:p>
      <w:pPr>
        <w:ind w:left="360" w:right="360"/>
      </w:pPr>
      <w:r>
        <w:t>BitMEX described the Insurance Fund as a loss-management mechanism intended to reduce the need for Auto-Deleveraging (ADL). In its 22 March 2020 explanation, published specifically in response to questions about 12-13 March, BitMEX characterized the Fund as a last line of defence against ADL and stated that ADL was completely prevented during those events.¹¹ Historically, BitMEX also explained that when a liquidated position was closed at a price better than its bankruptcy price, the result could contribute to the Insurance Fund; when execution was worse than bankruptcy price, the Fund could absorb the resulting shortfall.¹² The Fund therefore should not be described as a reimbursement mechanism for the liquidated trader.</w:t>
      </w:r>
    </w:p>
    <w:p>
      <w:r>
        <w:rPr>
          <w:b/>
        </w:rPr>
        <w:t>FOOTNOTE(S) TO INSERT FOR THE TEXT ABOVE:</w:t>
      </w:r>
    </w:p>
    <w:p>
      <w:pPr>
        <w:ind w:left="360"/>
      </w:pPr>
      <w:r>
        <w:rPr>
          <w:b/>
        </w:rPr>
        <w:t xml:space="preserve">Footnote 11: </w:t>
      </w:r>
      <w:r>
        <w:t>BitMEX, “BitMEX Insurance Fund: Your Questions Answered,” 22 March 2020. BitMEX describes the Insurance Fund as the last line of defence against ADL and states that ADL was completely prevented during 12-13 March. https://www.bitmex.com/blog/bitmex-insurance-fund-your-questions-answered</w:t>
      </w:r>
    </w:p>
    <w:p>
      <w:pPr>
        <w:ind w:left="360"/>
      </w:pPr>
      <w:r>
        <w:rPr>
          <w:b/>
        </w:rPr>
        <w:t xml:space="preserve">Footnote 12: </w:t>
      </w:r>
      <w:r>
        <w:t>BitMEX Research, “The BitMEX Insurance Fund,” 10 February 2019. BitMEX explains the mechanism by which better-than-bankruptcy liquidation outcomes can increase the Fund and worse-than-bankruptcy outcomes can draw on it. https://www.bitmex.com/blog/the-bitmex-insurance-fund</w:t>
      </w:r>
    </w:p>
    <w:p/>
    <w:p>
      <w:pPr>
        <w:pStyle w:val="Heading1"/>
      </w:pPr>
      <w:r>
        <w:t>CHANGE 8 - Add a caution that Insurance Fund balances could be contract-specific</w:t>
      </w:r>
    </w:p>
    <w:p>
      <w:r>
        <w:rPr>
          <w:b/>
        </w:rPr>
        <w:t xml:space="preserve">WHERE: </w:t>
      </w:r>
      <w:r>
        <w:t>Immediately after the revised Insurance Fund paragraph.</w:t>
      </w:r>
    </w:p>
    <w:p>
      <w:r>
        <w:rPr>
          <w:b/>
        </w:rPr>
        <w:t xml:space="preserve">ACTION: </w:t>
      </w:r>
      <w:r>
        <w:t>ADD the following paragraph.</w:t>
      </w:r>
    </w:p>
    <w:p>
      <w:r>
        <w:rPr>
          <w:b/>
        </w:rPr>
        <w:t>COPY / PASTE THIS TEXT:</w:t>
      </w:r>
    </w:p>
    <w:p>
      <w:pPr>
        <w:ind w:left="360" w:right="360"/>
      </w:pPr>
      <w:r>
        <w:t>Historical BitMEX materials indicate that Insurance Fund allocations could be maintained at the individual-contract level. In an April 2019 postmortem concerning XBTU19 and ETHM19, BitMEX described Insurance Fund balances as allocated to individual contracts based on liquidations contributing to those contracts.¹³ Accordingly, the aggregate BitMEX Insurance Fund balance should not, without further evidence, be treated as the amount allocated or available to XBTM20 in March 2020.</w:t>
      </w:r>
    </w:p>
    <w:p>
      <w:r>
        <w:rPr>
          <w:b/>
        </w:rPr>
        <w:t>FOOTNOTE(S) TO INSERT FOR THE TEXT ABOVE:</w:t>
      </w:r>
    </w:p>
    <w:p>
      <w:pPr>
        <w:ind w:left="360"/>
      </w:pPr>
      <w:r>
        <w:rPr>
          <w:b/>
        </w:rPr>
        <w:t xml:space="preserve">Footnote 13: </w:t>
      </w:r>
      <w:r>
        <w:t>BitMEX, “XBTU19 and ETHM19 Auto-Deleveraging Events 2 April 2019,” 2 April 2019. BitMEX discusses Insurance Fund allocation at the individual-contract level. https://www.bitmex.com/blog/xbtu19-and-ethm19-auto-deleveraging-events-2-april-2019</w:t>
      </w:r>
    </w:p>
    <w:p/>
    <w:p>
      <w:pPr>
        <w:pStyle w:val="Heading1"/>
      </w:pPr>
      <w:r>
        <w:t>CHANGE 9 - Add a new March 13, 2020 Platform Disruption section</w:t>
      </w:r>
    </w:p>
    <w:p>
      <w:r>
        <w:rPr>
          <w:b/>
        </w:rPr>
        <w:t xml:space="preserve">WHERE: </w:t>
      </w:r>
      <w:r>
        <w:t>After the Position Lifecycle section and before Liquidation Cascades.</w:t>
      </w:r>
    </w:p>
    <w:p>
      <w:r>
        <w:rPr>
          <w:b/>
        </w:rPr>
        <w:t xml:space="preserve">ACTION: </w:t>
      </w:r>
      <w:r>
        <w:t>ADD a new section titled “March 13, 2020 Platform Disruption.”</w:t>
      </w:r>
    </w:p>
    <w:p>
      <w:r>
        <w:rPr>
          <w:b/>
        </w:rPr>
        <w:t>COPY / PASTE THIS TEXT:</w:t>
      </w:r>
    </w:p>
    <w:p>
      <w:pPr>
        <w:ind w:left="360" w:right="360"/>
      </w:pPr>
      <w:r>
        <w:t>BitMEX's initial status notice stated that a software issue caused requests to be delayed between approximately 02:16 and 02:40 UTC and that normal service resumed at approximately 03:00 UTC.¹⁴ BitMEX subsequently revised and expanded that explanation. On 16 March 2020, BitMEX stated that the platform had been subject to two DDoS attacks, at 02:16 UTC and 12:56 UTC, and that the attacks delayed or prevented requests going to and from the platform.¹⁵</w:t>
      </w:r>
    </w:p>
    <w:p>
      <w:pPr>
        <w:ind w:left="360" w:right="360"/>
      </w:pPr>
      <w:r>
        <w:t>BitMEX attributed the disruption to specially crafted Trollbox queries that caused severe database resource exhaustion. According to BitMEX, database CPU usage reached 100%, with approximately 99.6% reported as I/O wait; in its more detailed technical explanation, BitMEX stated that the database was spending approximately 0.6% of its time servicing requests and 99.4% on I/O wait.¹⁶ The attack slowed processing in the API layer and delayed messages from reaching the trading engine.¹⁷</w:t>
      </w:r>
    </w:p>
    <w:p>
      <w:pPr>
        <w:ind w:left="360" w:right="360"/>
      </w:pPr>
      <w:r>
        <w:t>BitMEX's postmortem also distinguished the trading engine from the authentication and access-control layer. BitMEX stated that the trading engine was operating normally and market data was not disrupted, but that resource exhaustion at the authentication and access-control layer made it nearly impossible for users to reach the engine during the affected periods.¹⁸ This distinction should be preserved in the analysis: a finding that customers could not reliably submit or cancel orders does not, by itself, establish that the trading engine, market-data feed, Mark Price process, or Liquidation Engine stopped operating.</w:t>
      </w:r>
    </w:p>
    <w:p>
      <w:r>
        <w:rPr>
          <w:b/>
        </w:rPr>
        <w:t>FOOTNOTE(S) TO INSERT FOR THE TEXT ABOVE:</w:t>
      </w:r>
    </w:p>
    <w:p>
      <w:pPr>
        <w:ind w:left="360"/>
      </w:pPr>
      <w:r>
        <w:rPr>
          <w:b/>
        </w:rPr>
        <w:t xml:space="preserve">Footnote 14: </w:t>
      </w:r>
      <w:r>
        <w:t>BitMEX, “System Status Update, 13 March 2020,” 13 March 2020. BitMEX reported delayed requests between approximately 02:16 and 02:40 UTC and normal service at approximately 03:00 UTC. https://www.bitmex.com/blog/site-announcement/system-status-update-13-march-2020</w:t>
      </w:r>
    </w:p>
    <w:p>
      <w:pPr>
        <w:ind w:left="360"/>
      </w:pPr>
      <w:r>
        <w:rPr>
          <w:b/>
        </w:rPr>
        <w:t xml:space="preserve">Footnote 15: </w:t>
      </w:r>
      <w:r>
        <w:t>Arthur Hayes / BitMEX, “How We Are Responding to the 13 March DDoS Attacks,” 16 March 2020. BitMEX identifies attacks at 02:16 UTC and 12:56 UTC and describes the effect on requests to and from the platform. https://www.bitmex.com/blog/how-we-are-responding-to-last-weeks-ddos-attacks</w:t>
      </w:r>
    </w:p>
    <w:p>
      <w:pPr>
        <w:ind w:left="360"/>
      </w:pPr>
      <w:r>
        <w:rPr>
          <w:b/>
        </w:rPr>
        <w:t xml:space="preserve">Footnote 16: </w:t>
      </w:r>
      <w:r>
        <w:t>Id. BitMEX reports 100% database CPU with approximately 99.6% I/O wait and later describes the database as spending approximately 0.6% servicing requests and 99.4% on I/O wait. https://www.bitmex.com/blog/how-we-are-responding-to-last-weeks-ddos-attacks</w:t>
      </w:r>
    </w:p>
    <w:p>
      <w:pPr>
        <w:ind w:left="360"/>
      </w:pPr>
      <w:r>
        <w:rPr>
          <w:b/>
        </w:rPr>
        <w:t xml:space="preserve">Footnote 17: </w:t>
      </w:r>
      <w:r>
        <w:t>Id. BitMEX states that the DDoS slowed API-layer message processing and delayed messages from reaching the trading engine. https://www.bitmex.com/blog/how-we-are-responding-to-last-weeks-ddos-attacks</w:t>
      </w:r>
    </w:p>
    <w:p>
      <w:pPr>
        <w:ind w:left="360"/>
      </w:pPr>
      <w:r>
        <w:rPr>
          <w:b/>
        </w:rPr>
        <w:t xml:space="preserve">Footnote 18: </w:t>
      </w:r>
      <w:r>
        <w:t>Id. BitMEX states that the trading engine operated normally and market data was not disrupted, while authentication/access-control resource exhaustion made the engine nearly impossible for users to reach. https://www.bitmex.com/blog/how-we-are-responding-to-last-weeks-ddos-attacks</w:t>
      </w:r>
    </w:p>
    <w:p/>
    <w:p>
      <w:pPr>
        <w:pStyle w:val="Heading1"/>
      </w:pPr>
      <w:r>
        <w:t>CHANGE 10 - Add BitMEX's acknowledgment of delayed-order effects</w:t>
      </w:r>
    </w:p>
    <w:p>
      <w:r>
        <w:rPr>
          <w:b/>
        </w:rPr>
        <w:t xml:space="preserve">WHERE: </w:t>
      </w:r>
      <w:r>
        <w:t>At the end of the new March 13 Platform Disruption section.</w:t>
      </w:r>
    </w:p>
    <w:p>
      <w:r>
        <w:rPr>
          <w:b/>
        </w:rPr>
        <w:t xml:space="preserve">ACTION: </w:t>
      </w:r>
      <w:r>
        <w:t>ADD the paragraph below.</w:t>
      </w:r>
    </w:p>
    <w:p>
      <w:r>
        <w:rPr>
          <w:b/>
        </w:rPr>
        <w:t>COPY / PASTE THIS TEXT:</w:t>
      </w:r>
    </w:p>
    <w:p>
      <w:pPr>
        <w:ind w:left="360" w:right="360"/>
      </w:pPr>
      <w:r>
        <w:t>BitMEX's 16 March postmortem identified 156 accounts in which ETHUSD Last Price stops were, according to BitMEX, erroneously triggered because market orders were processed late following the first period of downtime. BitMEX reported refunds totaling 40.297 XBT.¹⁹ This evidence concerns ETHUSD stop orders and does not establish an error in XBTM20 liquidation processing. It does, however, demonstrate why a forensic reconstruction should compare customer submission times, platform receipt times, queueing or processing times, trading-engine receipt times, and final execution times rather than relying only on the timestamp at which an execution appeared in account history.</w:t>
      </w:r>
    </w:p>
    <w:p>
      <w:r>
        <w:rPr>
          <w:b/>
        </w:rPr>
        <w:t>FOOTNOTE(S) TO INSERT FOR THE TEXT ABOVE:</w:t>
      </w:r>
    </w:p>
    <w:p>
      <w:pPr>
        <w:ind w:left="360"/>
      </w:pPr>
      <w:r>
        <w:rPr>
          <w:b/>
        </w:rPr>
        <w:t xml:space="preserve">Footnote 19: </w:t>
      </w:r>
      <w:r>
        <w:t>Arthur Hayes / BitMEX, “How We Are Responding to the 13 March DDoS Attacks,” 16 March 2020. BitMEX reports 156 ETHUSD accounts affected by late processing of market orders and refunds totaling 40.297 XBT. https://www.bitmex.com/blog/how-we-are-responding-to-last-weeks-ddos-attacks</w:t>
      </w:r>
    </w:p>
    <w:p/>
    <w:p>
      <w:pPr>
        <w:pStyle w:val="Heading1"/>
      </w:pPr>
      <w:r>
        <w:t>CHANGE 11 - Add a system-by-system outage table</w:t>
      </w:r>
    </w:p>
    <w:p>
      <w:r>
        <w:rPr>
          <w:b/>
        </w:rPr>
        <w:t xml:space="preserve">WHERE: </w:t>
      </w:r>
      <w:r>
        <w:t>Immediately after the new Platform Disruption section.</w:t>
      </w:r>
    </w:p>
    <w:p>
      <w:r>
        <w:rPr>
          <w:b/>
        </w:rPr>
        <w:t xml:space="preserve">ACTION: </w:t>
      </w:r>
      <w:r>
        <w:t>ADD the table below. No separate footnote is necessary for every row; use Footnote 18 in the introductory sentence because the table is a framework for questions to test, not a statement that each function failed.</w:t>
      </w:r>
    </w:p>
    <w:p>
      <w:r>
        <w:rPr>
          <w:b/>
        </w:rPr>
        <w:t>COPY / PASTE THIS INTRODUCTORY SENTENCE:</w:t>
      </w:r>
    </w:p>
    <w:p>
      <w:pPr>
        <w:ind w:left="360"/>
      </w:pPr>
      <w:r>
        <w:t>Because BitMEX itself distinguished between the trading engine, market data, and the authentication/access-control layer, the term “outage” should be analyzed by function rather than treated as a single platform-wide condition.¹⁸</w:t>
      </w:r>
    </w:p>
    <w:tbl>
      <w:tblPr>
        <w:tblStyle w:val="TableGrid"/>
        <w:tblW w:type="auto" w:w="0"/>
        <w:jc w:val="center"/>
        <w:tblLook w:firstColumn="1" w:firstRow="1" w:lastColumn="0" w:lastRow="0" w:noHBand="0" w:noVBand="1" w:val="04A0"/>
      </w:tblPr>
      <w:tblGrid>
        <w:gridCol w:w="4968"/>
        <w:gridCol w:w="4968"/>
      </w:tblGrid>
      <w:tr>
        <w:tc>
          <w:tcPr>
            <w:tcW w:type="dxa" w:w="4968"/>
          </w:tcPr>
          <w:p>
            <w:r>
              <w:t>System / Function</w:t>
            </w:r>
          </w:p>
        </w:tc>
        <w:tc>
          <w:tcPr>
            <w:tcW w:type="dxa" w:w="4968"/>
          </w:tcPr>
          <w:p>
            <w:r>
              <w:t>Question to Establish</w:t>
            </w:r>
          </w:p>
        </w:tc>
      </w:tr>
      <w:tr>
        <w:tc>
          <w:tcPr>
            <w:tcW w:type="dxa" w:w="4968"/>
          </w:tcPr>
          <w:p>
            <w:r>
              <w:t>Authentication / login</w:t>
            </w:r>
          </w:p>
        </w:tc>
        <w:tc>
          <w:tcPr>
            <w:tcW w:type="dxa" w:w="4968"/>
          </w:tcPr>
          <w:p>
            <w:r>
              <w:t>Could the customer authenticate and access the account?</w:t>
            </w:r>
          </w:p>
        </w:tc>
      </w:tr>
      <w:tr>
        <w:tc>
          <w:tcPr>
            <w:tcW w:type="dxa" w:w="4968"/>
          </w:tcPr>
          <w:p>
            <w:r>
              <w:t>API / order gateway</w:t>
            </w:r>
          </w:p>
        </w:tc>
        <w:tc>
          <w:tcPr>
            <w:tcW w:type="dxa" w:w="4968"/>
          </w:tcPr>
          <w:p>
            <w:r>
              <w:t>Could orders and cancellations reach BitMEX?</w:t>
            </w:r>
          </w:p>
        </w:tc>
      </w:tr>
      <w:tr>
        <w:tc>
          <w:tcPr>
            <w:tcW w:type="dxa" w:w="4968"/>
          </w:tcPr>
          <w:p>
            <w:r>
              <w:t>Internal queue</w:t>
            </w:r>
          </w:p>
        </w:tc>
        <w:tc>
          <w:tcPr>
            <w:tcW w:type="dxa" w:w="4968"/>
          </w:tcPr>
          <w:p>
            <w:r>
              <w:t>Were requests delayed before reaching the trading engine?</w:t>
            </w:r>
          </w:p>
        </w:tc>
      </w:tr>
      <w:tr>
        <w:tc>
          <w:tcPr>
            <w:tcW w:type="dxa" w:w="4968"/>
          </w:tcPr>
          <w:p>
            <w:r>
              <w:t>Trading engine</w:t>
            </w:r>
          </w:p>
        </w:tc>
        <w:tc>
          <w:tcPr>
            <w:tcW w:type="dxa" w:w="4968"/>
          </w:tcPr>
          <w:p>
            <w:r>
              <w:t>Was order matching continuing?</w:t>
            </w:r>
          </w:p>
        </w:tc>
      </w:tr>
      <w:tr>
        <w:tc>
          <w:tcPr>
            <w:tcW w:type="dxa" w:w="4968"/>
          </w:tcPr>
          <w:p>
            <w:r>
              <w:t>Market data</w:t>
            </w:r>
          </w:p>
        </w:tc>
        <w:tc>
          <w:tcPr>
            <w:tcW w:type="dxa" w:w="4968"/>
          </w:tcPr>
          <w:p>
            <w:r>
              <w:t>Were trades and quotes continuing to publish?</w:t>
            </w:r>
          </w:p>
        </w:tc>
      </w:tr>
      <w:tr>
        <w:tc>
          <w:tcPr>
            <w:tcW w:type="dxa" w:w="4968"/>
          </w:tcPr>
          <w:p>
            <w:r>
              <w:t>Index</w:t>
            </w:r>
          </w:p>
        </w:tc>
        <w:tc>
          <w:tcPr>
            <w:tcW w:type="dxa" w:w="4968"/>
          </w:tcPr>
          <w:p>
            <w:r>
              <w:t>Was the applicable XBT reference index continuing to update?</w:t>
            </w:r>
          </w:p>
        </w:tc>
      </w:tr>
      <w:tr>
        <w:tc>
          <w:tcPr>
            <w:tcW w:type="dxa" w:w="4968"/>
          </w:tcPr>
          <w:p>
            <w:r>
              <w:t>XBTM20 Mark Price</w:t>
            </w:r>
          </w:p>
        </w:tc>
        <w:tc>
          <w:tcPr>
            <w:tcW w:type="dxa" w:w="4968"/>
          </w:tcPr>
          <w:p>
            <w:r>
              <w:t>Was Mark Price continuing to update, and from what inputs?</w:t>
            </w:r>
          </w:p>
        </w:tc>
      </w:tr>
      <w:tr>
        <w:tc>
          <w:tcPr>
            <w:tcW w:type="dxa" w:w="4968"/>
          </w:tcPr>
          <w:p>
            <w:r>
              <w:t>Liquidation Engine</w:t>
            </w:r>
          </w:p>
        </w:tc>
        <w:tc>
          <w:tcPr>
            <w:tcW w:type="dxa" w:w="4968"/>
          </w:tcPr>
          <w:p>
            <w:r>
              <w:t>Was the engine continuing to identify and take over positions?</w:t>
            </w:r>
          </w:p>
        </w:tc>
      </w:tr>
      <w:tr>
        <w:tc>
          <w:tcPr>
            <w:tcW w:type="dxa" w:w="4968"/>
          </w:tcPr>
          <w:p>
            <w:r>
              <w:t>Liquidation execution</w:t>
            </w:r>
          </w:p>
        </w:tc>
        <w:tc>
          <w:tcPr>
            <w:tcW w:type="dxa" w:w="4968"/>
          </w:tcPr>
          <w:p>
            <w:r>
              <w:t>When were liquidation orders submitted and filled?</w:t>
            </w:r>
          </w:p>
        </w:tc>
      </w:tr>
    </w:tbl>
    <w:p>
      <w:r>
        <w:rPr>
          <w:b/>
        </w:rPr>
        <w:t>FOOTNOTE TO INSERT FOR THE INTRODUCTORY SENTENCE:</w:t>
      </w:r>
    </w:p>
    <w:p>
      <w:pPr>
        <w:ind w:left="360"/>
      </w:pPr>
      <w:r>
        <w:rPr>
          <w:b/>
        </w:rPr>
        <w:t xml:space="preserve">Footnote 18: </w:t>
      </w:r>
      <w:r>
        <w:t>Arthur Hayes / BitMEX, “How We Are Responding to the 13 March DDoS Attacks,” 16 March 2020. BitMEX distinguishes the trading engine and market-data systems from the authentication/access-control layer. https://www.bitmex.com/blog/how-we-are-responding-to-last-weeks-ddos-attacks</w:t>
      </w:r>
    </w:p>
    <w:p>
      <w:pPr>
        <w:pStyle w:val="Heading1"/>
      </w:pPr>
      <w:r>
        <w:t>CHANGE 12 - Tighten the liquidation-cascade section</w:t>
      </w:r>
    </w:p>
    <w:p>
      <w:r>
        <w:rPr>
          <w:b/>
        </w:rPr>
        <w:t xml:space="preserve">WHERE: </w:t>
      </w:r>
      <w:r>
        <w:t>At the end of the current Liquidation Cascades section.</w:t>
      </w:r>
    </w:p>
    <w:p>
      <w:r>
        <w:rPr>
          <w:b/>
        </w:rPr>
        <w:t xml:space="preserve">ACTION: </w:t>
      </w:r>
      <w:r>
        <w:t>ADD the paragraph below.</w:t>
      </w:r>
    </w:p>
    <w:p>
      <w:r>
        <w:rPr>
          <w:b/>
        </w:rPr>
        <w:t>COPY / PASTE THIS TEXT:</w:t>
      </w:r>
    </w:p>
    <w:p>
      <w:pPr>
        <w:ind w:left="360" w:right="360"/>
      </w:pPr>
      <w:r>
        <w:t>BitMEX's 22 March 2020 account of the events described substantial liquidation activity and discussed the Liquidation Engine's aggregated XBTUSD exposure during the market decline.²⁰ That evidence establishes important BitMEX-wide and XBTUSD market context, but it should not be treated as proof of the magnitude, timing, direction, or causal effect of XBTM20 liquidations. Those questions require XBTM20-specific liquidation, Mark Price, order-book, and execution data.</w:t>
      </w:r>
    </w:p>
    <w:p>
      <w:r>
        <w:rPr>
          <w:b/>
        </w:rPr>
        <w:t>FOOTNOTE(S) TO INSERT FOR THE TEXT ABOVE:</w:t>
      </w:r>
    </w:p>
    <w:p>
      <w:pPr>
        <w:ind w:left="360"/>
      </w:pPr>
      <w:r>
        <w:rPr>
          <w:b/>
        </w:rPr>
        <w:t xml:space="preserve">Footnote 20: </w:t>
      </w:r>
      <w:r>
        <w:t>BitMEX, “BitMEX Insurance Fund: Your Questions Answered,” 22 March 2020. BitMEX discusses 12-13 March liquidation activity and the Liquidation Engine's aggregated XBTUSD position. https://www.bitmex.com/blog/bitmex-insurance-fund-your-questions-answered</w:t>
      </w:r>
    </w:p>
    <w:p/>
    <w:p>
      <w:pPr>
        <w:pStyle w:val="Heading1"/>
      </w:pPr>
      <w:r>
        <w:t>CHANGE 13 - Replace the Information Required section with a more forensic request</w:t>
      </w:r>
    </w:p>
    <w:p>
      <w:r>
        <w:rPr>
          <w:b/>
        </w:rPr>
        <w:t xml:space="preserve">WHERE: </w:t>
      </w:r>
      <w:r>
        <w:t>Current Section 7, “Information Required for a Position-Specific Review.”</w:t>
      </w:r>
    </w:p>
    <w:p>
      <w:r>
        <w:rPr>
          <w:b/>
        </w:rPr>
        <w:t xml:space="preserve">ACTION: </w:t>
      </w:r>
      <w:r>
        <w:t>REPLACE or expand the current list with the categories below. These are evidence requests rather than factual propositions, so they do not require separate sourcing footnotes.</w:t>
      </w:r>
    </w:p>
    <w:p>
      <w:r>
        <w:rPr>
          <w:b/>
        </w:rPr>
        <w:t>Account and position evidence:</w:t>
      </w:r>
    </w:p>
    <w:p>
      <w:pPr>
        <w:pStyle w:val="ListBullet"/>
      </w:pPr>
      <w:r>
        <w:t>Position side, size, entry price, leverage, margin mode, allocated margin and balance history.</w:t>
      </w:r>
    </w:p>
    <w:p>
      <w:pPr>
        <w:pStyle w:val="ListBullet"/>
      </w:pPr>
      <w:r>
        <w:t>Open orders, amendments, cancellations, rejections and account-level liquidation records.</w:t>
      </w:r>
    </w:p>
    <w:p>
      <w:r>
        <w:rPr>
          <w:b/>
        </w:rPr>
        <w:t>Pricing evidence:</w:t>
      </w:r>
    </w:p>
    <w:p>
      <w:pPr>
        <w:pStyle w:val="ListBullet"/>
      </w:pPr>
      <w:r>
        <w:t>Contemporaneous XBTM20 Last Price, applicable index price, Mark Price, fair-basis inputs, time-to-expiry input, and the mark-method identifier in effect.</w:t>
      </w:r>
    </w:p>
    <w:p>
      <w:pPr>
        <w:pStyle w:val="ListBullet"/>
      </w:pPr>
      <w:r>
        <w:t>XBTM20 order-book data immediately before, during and after the liquidation.</w:t>
      </w:r>
    </w:p>
    <w:p>
      <w:r>
        <w:rPr>
          <w:b/>
        </w:rPr>
        <w:t>Liquidation evidence:</w:t>
      </w:r>
    </w:p>
    <w:p>
      <w:pPr>
        <w:pStyle w:val="ListBullet"/>
      </w:pPr>
      <w:r>
        <w:t>Calculated liquidation price and bankruptcy price, including the exact margin, fee and risk-limit inputs.</w:t>
      </w:r>
    </w:p>
    <w:p>
      <w:pPr>
        <w:pStyle w:val="ListBullet"/>
      </w:pPr>
      <w:r>
        <w:t>Liquidation Engine takeover time, order-cancellation activity, partial-liquidation activity, liquidation orders and executions.</w:t>
      </w:r>
    </w:p>
    <w:p>
      <w:r>
        <w:rPr>
          <w:b/>
        </w:rPr>
        <w:t>System and message-timing evidence:</w:t>
      </w:r>
    </w:p>
    <w:p>
      <w:pPr>
        <w:pStyle w:val="ListBullet"/>
      </w:pPr>
      <w:r>
        <w:t>Client submission time, platform/gateway receipt time, authentication result, internal queue time, trading-engine receipt time, acknowledgement time and execution time.</w:t>
      </w:r>
    </w:p>
    <w:p>
      <w:pPr>
        <w:pStyle w:val="ListBullet"/>
      </w:pPr>
      <w:r>
        <w:t>API errors, login failures, WebSocket events, system-status records and incident logs for the relevant period.</w:t>
      </w:r>
    </w:p>
    <w:p>
      <w:r>
        <w:rPr>
          <w:b/>
        </w:rPr>
        <w:t>Risk-system evidence:</w:t>
      </w:r>
    </w:p>
    <w:p>
      <w:pPr>
        <w:pStyle w:val="ListBullet"/>
      </w:pPr>
      <w:r>
        <w:t>XBTM20 contract specification, maintenance-margin schedule, risk limits and fee schedule in effect on 12-13 March 2020.</w:t>
      </w:r>
    </w:p>
    <w:p>
      <w:pPr>
        <w:pStyle w:val="ListBullet"/>
      </w:pPr>
      <w:r>
        <w:t>XBTM20-specific Insurance Fund allocation records and any ADL records.</w:t>
      </w:r>
    </w:p>
    <w:p>
      <w:r>
        <w:rPr>
          <w:b/>
        </w:rPr>
        <w:t>Market-context evidence:</w:t>
      </w:r>
    </w:p>
    <w:p>
      <w:pPr>
        <w:pStyle w:val="ListBullet"/>
      </w:pPr>
      <w:r>
        <w:t>XBTUSD and relevant spot/index constituent prices for comparison, while keeping those data analytically separate from XBTM20 instrument-level evidence.</w:t>
      </w:r>
    </w:p>
    <w:p>
      <w:pPr>
        <w:pStyle w:val="Heading1"/>
      </w:pPr>
      <w:r>
        <w:t>CHANGE 14 - Add an explicit caveat about the missing historical XBTM20 specification</w:t>
      </w:r>
    </w:p>
    <w:p>
      <w:r>
        <w:rPr>
          <w:b/>
        </w:rPr>
        <w:t xml:space="preserve">WHERE: </w:t>
      </w:r>
      <w:r>
        <w:t>At the end of the sourcing/methodology section or the Information Required section.</w:t>
      </w:r>
    </w:p>
    <w:p>
      <w:r>
        <w:rPr>
          <w:b/>
        </w:rPr>
        <w:t xml:space="preserve">ACTION: </w:t>
      </w:r>
      <w:r>
        <w:t>ADD this paragraph.</w:t>
      </w:r>
    </w:p>
    <w:p>
      <w:r>
        <w:rPr>
          <w:b/>
        </w:rPr>
        <w:t>COPY / PASTE THIS TEXT:</w:t>
      </w:r>
    </w:p>
    <w:p>
      <w:pPr>
        <w:ind w:left="360" w:right="360"/>
      </w:pPr>
      <w:r>
        <w:t>Outstanding Point-in-Time Source. The precise XBTM20 instrument specification and pricing parameters applicable on 12-13 March 2020 should be obtained from an archived BitMEX contract/instrument page or native BitMEX instrument record from that period. Until that source is obtained, the analysis should avoid treating present-day settlement, index, risk-limit, maintenance-margin, or Mark Price parameters as necessarily identical to those in force in March 2020.²¹</w:t>
      </w:r>
    </w:p>
    <w:p>
      <w:r>
        <w:rPr>
          <w:b/>
        </w:rPr>
        <w:t>FOOTNOTE(S) TO INSERT FOR THE TEXT ABOVE:</w:t>
      </w:r>
    </w:p>
    <w:p>
      <w:pPr>
        <w:ind w:left="360"/>
      </w:pPr>
      <w:r>
        <w:rPr>
          <w:b/>
        </w:rPr>
        <w:t xml:space="preserve">Footnote 21: </w:t>
      </w:r>
      <w:r>
        <w:t>See BitMEX, “Q1 2020 Quarterly Futures Listings,” 5 December 2019, which establishes the existence and settlement date of XBTM20 but does not itself set out every instrument-level calculation parameter. The detailed March 2020 XBTM20 contract specification remains a document to obtain. https://www.bitmex.com/blog/q1-2020-quarterly-futures-listings</w:t>
      </w:r>
    </w:p>
    <w:p/>
    <w:p>
      <w:pPr>
        <w:pStyle w:val="Heading1"/>
      </w:pPr>
      <w:r>
        <w:t>Recommended order after making the edits</w:t>
      </w:r>
    </w:p>
    <w:p>
      <w:pPr>
        <w:pStyle w:val="ListNumber"/>
      </w:pPr>
      <w:r>
        <w:t>Executive Summary</w:t>
      </w:r>
    </w:p>
    <w:p>
      <w:pPr>
        <w:pStyle w:val="ListNumber"/>
      </w:pPr>
      <w:r>
        <w:t>Source Period and Methodology (new)</w:t>
      </w:r>
    </w:p>
    <w:p>
      <w:pPr>
        <w:pStyle w:val="ListNumber"/>
      </w:pPr>
      <w:r>
        <w:t>Key Takeaways</w:t>
      </w:r>
    </w:p>
    <w:p>
      <w:pPr>
        <w:pStyle w:val="ListNumber"/>
      </w:pPr>
      <w:r>
        <w:t>What Was XBTM20?</w:t>
      </w:r>
    </w:p>
    <w:p>
      <w:pPr>
        <w:pStyle w:val="ListNumber"/>
      </w:pPr>
      <w:r>
        <w:t>Parties and Market Functions</w:t>
      </w:r>
    </w:p>
    <w:p>
      <w:pPr>
        <w:pStyle w:val="ListNumber"/>
      </w:pPr>
      <w:r>
        <w:t>XBTM20 Mark Price and Fair Price Marking</w:t>
      </w:r>
    </w:p>
    <w:p>
      <w:pPr>
        <w:pStyle w:val="ListNumber"/>
      </w:pPr>
      <w:r>
        <w:t>Margin, Liquidation Price and Bankruptcy Price</w:t>
      </w:r>
    </w:p>
    <w:p>
      <w:pPr>
        <w:pStyle w:val="ListNumber"/>
      </w:pPr>
      <w:r>
        <w:t>Liquidation Engine, Insurance Fund and ADL</w:t>
      </w:r>
    </w:p>
    <w:p>
      <w:pPr>
        <w:pStyle w:val="ListNumber"/>
      </w:pPr>
      <w:r>
        <w:t>Position Lifecycle</w:t>
      </w:r>
    </w:p>
    <w:p>
      <w:pPr>
        <w:pStyle w:val="ListNumber"/>
      </w:pPr>
      <w:r>
        <w:t>March 13, 2020 Platform Disruption (new)</w:t>
      </w:r>
    </w:p>
    <w:p>
      <w:pPr>
        <w:pStyle w:val="ListNumber"/>
      </w:pPr>
      <w:r>
        <w:t>Liquidation Cascades</w:t>
      </w:r>
    </w:p>
    <w:p>
      <w:pPr>
        <w:pStyle w:val="ListNumber"/>
      </w:pPr>
      <w:r>
        <w:t>Information Required for a Position-Specific Review</w:t>
      </w:r>
    </w:p>
    <w:p>
      <w:pPr>
        <w:pStyle w:val="ListNumber"/>
      </w:pPr>
      <w:r>
        <w:t>Outstanding Point-in-Time Source</w:t>
      </w:r>
    </w:p>
    <w:p>
      <w:pPr>
        <w:pStyle w:val="Heading1"/>
      </w:pPr>
      <w:r>
        <w:t>Point-in-Time Sources Used in This Edit Guide</w:t>
      </w:r>
    </w:p>
    <w:p>
      <w:pPr>
        <w:pStyle w:val="ListBullet"/>
      </w:pPr>
      <w:r>
        <w:rPr>
          <w:b/>
        </w:rPr>
        <w:t xml:space="preserve">5 December 2019 - BitMEX, “Q1 2020 Quarterly Futures Listings”. </w:t>
      </w:r>
      <w:r>
        <w:t>https://www.bitmex.com/blog/q1-2020-quarterly-futures-listings</w:t>
      </w:r>
    </w:p>
    <w:p>
      <w:pPr>
        <w:pStyle w:val="ListBullet"/>
      </w:pPr>
      <w:r>
        <w:rPr>
          <w:b/>
        </w:rPr>
        <w:t xml:space="preserve">10 February 2019 - BitMEX Research, “The BitMEX Insurance Fund”. </w:t>
      </w:r>
      <w:r>
        <w:t>https://www.bitmex.com/blog/the-bitmex-insurance-fund</w:t>
      </w:r>
    </w:p>
    <w:p>
      <w:pPr>
        <w:pStyle w:val="ListBullet"/>
      </w:pPr>
      <w:r>
        <w:rPr>
          <w:b/>
        </w:rPr>
        <w:t xml:space="preserve">2 April 2019 - BitMEX, “XBTU19 and ETHM19 Auto-Deleveraging Events 2 April 2019”. </w:t>
      </w:r>
      <w:r>
        <w:t>https://www.bitmex.com/blog/xbtu19-and-ethm19-auto-deleveraging-events-2-april-2019</w:t>
      </w:r>
    </w:p>
    <w:p>
      <w:pPr>
        <w:pStyle w:val="ListBullet"/>
      </w:pPr>
      <w:r>
        <w:rPr>
          <w:b/>
        </w:rPr>
        <w:t xml:space="preserve">13 March 2020 - BitMEX, “System Status Update, 13 March 2020”. </w:t>
      </w:r>
      <w:r>
        <w:t>https://www.bitmex.com/blog/site-announcement/system-status-update-13-march-2020</w:t>
      </w:r>
    </w:p>
    <w:p>
      <w:pPr>
        <w:pStyle w:val="ListBullet"/>
      </w:pPr>
      <w:r>
        <w:rPr>
          <w:b/>
        </w:rPr>
        <w:t xml:space="preserve">16 March 2020 - Arthur Hayes / BitMEX, “How We Are Responding to the 13 March DDoS Attacks”. </w:t>
      </w:r>
      <w:r>
        <w:t>https://www.bitmex.com/blog/how-we-are-responding-to-last-weeks-ddos-attacks</w:t>
      </w:r>
    </w:p>
    <w:p>
      <w:pPr>
        <w:pStyle w:val="ListBullet"/>
      </w:pPr>
      <w:r>
        <w:rPr>
          <w:b/>
        </w:rPr>
        <w:t xml:space="preserve">22 March 2020 - BitMEX, “BitMEX Insurance Fund: Your Questions Answered”. </w:t>
      </w:r>
      <w:r>
        <w:t>https://www.bitmex.com/blog/bitmex-insurance-fund-your-questions-answered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