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Basis for Further Discovery</w:t>
        <w:br/>
      </w:r>
      <w:r>
        <w:rPr>
          <w:sz w:val="30"/>
        </w:rPr>
        <w:t>BitMEX March 12–13, 2020 Platform Disruption</w:t>
      </w:r>
    </w:p>
    <w:p>
      <w:pPr>
        <w:jc w:val="center"/>
      </w:pPr>
      <w:r>
        <w:rPr>
          <w:i/>
          <w:sz w:val="21"/>
        </w:rPr>
        <w:t>Focused factual theory, contemporaneous evidence, and targeted discovery requests</w:t>
      </w:r>
    </w:p>
    <w:tbl>
      <w:tblPr>
        <w:tblW w:type="auto" w:w="0"/>
        <w:jc w:val="center"/>
        <w:tblLook w:firstColumn="1" w:firstRow="1" w:lastColumn="0" w:lastRow="0" w:noHBand="0" w:noVBand="1" w:val="04A0"/>
      </w:tblPr>
      <w:tblGrid>
        <w:gridCol w:w="9936"/>
      </w:tblGrid>
      <w:tr>
        <w:tc>
          <w:tcPr>
            <w:tcW w:type="dxa" w:w="9936"/>
            <w:vAlign w:val="center"/>
            <w:shd w:fill="EAF2F8"/>
            <w:tcMar>
              <w:top w:w="120" w:type="dxa"/>
              <w:left w:w="120" w:type="dxa"/>
              <w:bottom w:w="120" w:type="dxa"/>
              <w:right w:w="120" w:type="dxa"/>
            </w:tcMar>
          </w:tcPr>
          <w:p>
            <w:r>
              <w:rPr>
                <w:b/>
              </w:rPr>
              <w:t xml:space="preserve">Core proposition: </w:t>
            </w:r>
            <w:r>
              <w:t>The strongest discovery theory is not that BitMEX guaranteed uninterrupted service. It is that BitMEX may have allowed an asymmetric-control condition in which affected customers could not reliably reach and manage leveraged positions while exchange-controlled trading, pricing, margin, and/or liquidation processes remained capable of operating. Discovery is needed to determine whether that condition existed for the claimant, what BitMEX knew before it occurred, what safeguards were available, and why they were or were not used.</w:t>
            </w:r>
          </w:p>
        </w:tc>
      </w:tr>
    </w:tbl>
    <w:p>
      <w:pPr>
        <w:pStyle w:val="Heading1"/>
      </w:pPr>
      <w:r>
        <w:t>1. The Argument Should Focus on Reasonableness, Not Perfect Uptime</w:t>
      </w:r>
    </w:p>
    <w:p>
      <w:r>
        <w:t>BitMEX's March 7, 2020 Terms did not promise uninterrupted service and contained substantial liability limitations. That should be acknowledged directly. But the same Terms also stated that BitMEX had a “responsibility to maintain an orderly market,” reserved the ability to halt trading because of market disruption or other relevant external events, and required HDR to make “reasonable efforts” to ensure service availability and “commercially reasonable efforts” to avoid downtime during anticipated peak hours.</w:t>
      </w:r>
      <w:r>
        <w:t/>
      </w:r>
      <w:r>
        <w:footnoteReference w:id="1"/>
      </w:r>
    </w:p>
    <w:p>
      <w:r>
        <w:t>This creates a narrower and more credible question: not whether BitMEX could prevent every outage or cyberattack, but whether its preparation for and response to a known loss of effective customer access was reasonable under the circumstances. The Terms themselves expressly contemplated technical issues and network/system overloads as causes of service disruption.</w:t>
      </w:r>
      <w:r>
        <w:t/>
      </w:r>
      <w:r>
        <w:footnoteReference w:id="2"/>
      </w:r>
    </w:p>
    <w:p>
      <w:pPr>
        <w:pStyle w:val="Heading1"/>
      </w:pPr>
      <w:r>
        <w:t>2. The February 15 Attack Is a Critical Foreseeability Fact</w:t>
      </w:r>
    </w:p>
    <w:p>
      <w:r>
        <w:rPr>
          <w:b/>
        </w:rPr>
        <w:t xml:space="preserve">This point should be emphasized prominently. </w:t>
      </w:r>
      <w:r>
        <w:t>BitMEX's own March 16 postmortem stated that the botnet responsible for the March 13 attack had conducted a “similar, yet unsuccessful” attack on February 15, 2020. BitMEX further said its access logs led it to believe the attackers identified their target in February and waited for a moment when the attack would have maximum market impact.</w:t>
      </w:r>
      <w:r>
        <w:t/>
      </w:r>
      <w:r>
        <w:footnoteReference w:id="3"/>
      </w:r>
    </w:p>
    <w:p>
      <w:r>
        <w:t>That prior event materially strengthens the basis for discovery because it creates a concrete pre-incident notice question. The relevant inquiry becomes: What did BitMEX learn on February 15? What vulnerability, architecture dependency, or capacity risk was identified? What remediation was recommended? Who approved or deferred it? What testing occurred? What residual risk remained? And was a renewed attack during high volatility considered foreseeable?</w:t>
      </w:r>
    </w:p>
    <w:p>
      <w:r>
        <w:t>The public evidence does not answer those questions. It does, however, provide a non-speculative reason to seek the internal incident report, security analysis, engineering tickets, remediation plans, risk acceptances, test results, and management communications created between February 15 and March 13.</w:t>
      </w:r>
    </w:p>
    <w:p>
      <w:pPr>
        <w:pStyle w:val="Heading1"/>
      </w:pPr>
      <w:r>
        <w:t>3. BitMEX Admitted the March Failure Was Inside the Access Path to Trading</w:t>
      </w:r>
    </w:p>
    <w:p>
      <w:r>
        <w:t>BitMEX reported that the March 13 attack used a specially crafted query to the Trollbox feature, drove database resource exhaustion, and slowed processing in the API layer. BitMEX said the trading engine itself was operating normally and market data was not disrupted, but resource exhaustion at the authentication and access-control layer made it “nearly impossible to reach the engine.”</w:t>
      </w:r>
      <w:r>
        <w:t/>
      </w:r>
      <w:r>
        <w:footnoteReference w:id="4"/>
      </w:r>
    </w:p>
    <w:p>
      <w:r>
        <w:t>For a leveraged trader, that distinction is central. A functioning matching engine is not necessarily the same as an effectively available trading service. Effective availability includes a meaningful ability to authenticate, submit or cancel instructions, reduce or close exposure, and otherwise manage a position before an automated liquidation threshold is reached.</w:t>
      </w:r>
    </w:p>
    <w:p>
      <w:r>
        <w:t>BitMEX also acknowledged that delayed processing during the first March incident caused erroneous triggering of Last Price stops for 156 ETHUSD accounts and that BitMEX refunded those accounts. That refund does not establish that XBTM20 liquidations were erroneous, but it confirms that BitMEX identified at least one category in which delayed order processing during the outage produced compensable customer harm.</w:t>
      </w:r>
      <w:r>
        <w:t/>
      </w:r>
      <w:r>
        <w:footnoteReference w:id="5"/>
      </w:r>
    </w:p>
    <w:p>
      <w:pPr>
        <w:pStyle w:val="Heading1"/>
      </w:pPr>
      <w:r>
        <w:t>4. BitMEX Had Already Designed Its Systems to Preserve Risk-Reducing Actions Under Stress</w:t>
      </w:r>
    </w:p>
    <w:p>
      <w:r>
        <w:t>Years before March 2020, BitMEX publicly documented load-shedding controls for high-load periods. In November 2017 it stated that when trading-engine queue depth reached a critical level, new requests could be refused, but order cancellations were exempt. In February 2018 BitMEX reiterated that Order Cancel and the Close instruction remained exempt from shedding.</w:t>
      </w:r>
      <w:r>
        <w:t/>
      </w:r>
      <w:r>
        <w:footnoteReference w:id="6"/>
      </w:r>
    </w:p>
    <w:p>
      <w:r>
        <w:t>This is significant because it is BitMEX's own pre-incident engineering practice, not a standard borrowed from another exchange. It shows that BitMEX had already recognized a risk-management principle: when systems are stressed, customers' ability to cancel or close risk can warrant preferential treatment. Discovery should determine whether those protections functioned on March 13, whether the authentication/access failure bypassed them, and whether any alternative risk-reduction path existed.</w:t>
      </w:r>
    </w:p>
    <w:p>
      <w:r>
        <w:t>BitMEX also had historical experience suspending trading during system problems. In July 2017 it announced that trading would be halted on all products because of network issues. This demonstrates that market suspension was an operational tool BitMEX had used years before the March 2020 event.</w:t>
      </w:r>
      <w:r>
        <w:t/>
      </w:r>
      <w:r>
        <w:footnoteReference w:id="7"/>
      </w:r>
    </w:p>
    <w:p>
      <w:pPr>
        <w:pStyle w:val="Heading1"/>
      </w:pPr>
      <w:r>
        <w:t>5. The Terms Support a Focused Inquiry Into Orderly Markets and Availability</w:t>
      </w:r>
    </w:p>
    <w:p>
      <w:r>
        <w:t>The March 7 Terms are particularly useful because they were captured only five days before the incident. Section 1.12 stated that maintaining an orderly market was BitMEX's responsibility and expressly authorized a trading halt due to market disruption or other relevant external events. Section 7.3 separately imposed reasonable- and commercially-reasonable-efforts language concerning service availability.</w:t>
      </w:r>
      <w:r>
        <w:t/>
      </w:r>
      <w:r>
        <w:footnoteReference w:id="8"/>
      </w:r>
    </w:p>
    <w:p>
      <w:r>
        <w:t>Those provisions do not establish negligence by themselves, especially because the Terms also contain broad disclaimers. They do, however, support discovery into what BitMEX understood “orderly market,” “reasonable efforts,” and “commercially reasonable efforts” to require operationally: incident severity thresholds, suspension criteria, business-continuity procedures, high-availability targets, capacity testing, escalation rules, and decision authority.</w:t>
      </w:r>
    </w:p>
    <w:p>
      <w:pPr>
        <w:pStyle w:val="Heading1"/>
      </w:pPr>
      <w:r>
        <w:t>6. The May 19 Response Demonstrates a Materially Different Protective Procedure</w:t>
      </w:r>
    </w:p>
    <w:p>
      <w:r>
        <w:t>BitMEX's May 19, 2020 outage provides a particularly important comparison. BitMEX stated that no liquidations occurred while the exchange was offline. After trading-engine services were restored, BitMEX brought the platform online in “Market Suspended and Cancel-Only mode,” notified customers that full trading would resume at 13:40 UTC, and only then resumed trading.</w:t>
      </w:r>
      <w:r>
        <w:t/>
      </w:r>
      <w:r>
        <w:footnoteReference w:id="9"/>
      </w:r>
    </w:p>
    <w:p>
      <w:r>
        <w:t>BitMEX further stated that, after reviewing previous downtime events and customer feedback, it had amended its procedures for reopening after unscheduled events. It reported 38,437 cancel-order instructions during the 17-minute period before full functionality resumed and described the process as a significant improvement over previous unscheduled events.</w:t>
      </w:r>
      <w:r>
        <w:t/>
      </w:r>
      <w:r>
        <w:footnoteReference w:id="10"/>
      </w:r>
    </w:p>
    <w:p>
      <w:r>
        <w:t>Most importantly for the March investigation, BitMEX said a May 14 infrastructure change was made “in direct response to the March 13 degradation of service” after weeks of design, cloud-provider consultation, and production-like load testing. The change replaced technology behind the primary user database, improved recovery time fourfold, and opened opportunities to scale it fifteenfold.</w:t>
      </w:r>
      <w:r>
        <w:t/>
      </w:r>
      <w:r>
        <w:footnoteReference w:id="11"/>
      </w:r>
    </w:p>
    <w:p>
      <w:r>
        <w:t>The May response is not proof that the March response was negligent, and a later procedure should not automatically be treated as the legal standard for March. It is nevertheless highly relevant to feasibility and discovery: what suspension, liquidation-pause, cancel-only, failover, or customer-notification capabilities existed on March 13; when were the May procedures first proposed; and what March lessons drove the changes?</w:t>
      </w:r>
    </w:p>
    <w:p>
      <w:pPr>
        <w:pStyle w:val="Heading1"/>
      </w:pPr>
      <w:r>
        <w:t>7. Pre-March Industry Practice Shows Protective Responses Were Not Novel</w:t>
      </w:r>
    </w:p>
    <w:p>
      <w:r>
        <w:t>Other exchanges had used protective reopening and liquidation controls before March 2020. Following Kraken's January 2018 upgrade outage, Kraken cancelled prior orders, reopened with empty order books, and paused margin liquidations for at least 48 hours. This is not a binding standard for BitMEX, but it demonstrates that pausing liquidation after impaired access was an established crypto-market practice before March 2020.</w:t>
      </w:r>
      <w:r>
        <w:t/>
      </w:r>
      <w:r>
        <w:footnoteReference w:id="12"/>
      </w:r>
    </w:p>
    <w:p>
      <w:r>
        <w:t>Binance's May 2019 system-upgrade notice likewise provided a 30-minute period in which users could cancel open orders before trading resumed. Again, this is comparative practice rather than a legal rule, but it shows that controlled reopening with a cancellation window was not a post-March invention.</w:t>
      </w:r>
      <w:r>
        <w:t/>
      </w:r>
      <w:r>
        <w:footnoteReference w:id="13"/>
      </w:r>
    </w:p>
    <w:p>
      <w:r>
        <w:t>Deribit also publicly accepted responsibility after an October 2019 index-calculation failure caused invalid liquidations and stated that affected traders would be compensated. That event is not factually identical to an access outage, but it demonstrates a pre-March industry recognition that exchange-caused technology failures affecting liquidation outcomes could warrant remediation.</w:t>
      </w:r>
      <w:r>
        <w:t/>
      </w:r>
      <w:r>
        <w:footnoteReference w:id="14"/>
      </w:r>
    </w:p>
    <w:p>
      <w:pPr>
        <w:pStyle w:val="Heading1"/>
      </w:pPr>
      <w:r>
        <w:t>8. The June Risk Disclosure Reinforces the Risk Theory - With an Important Timing Limitation</w:t>
      </w:r>
    </w:p>
    <w:p>
      <w:r>
        <w:t>The June 8, 2020 archived Risk Disclosure should not presently be treated as proof of the disclosure governing on March 13. Its value is different. By June, BitMEX expressly identified denial-of-service attacks as a threat that could affect platform operation and service availability, and expressly recognized that technical issues with attempted orders could leave a leveraged trader unable to manage risk on an open position.</w:t>
      </w:r>
      <w:r>
        <w:t/>
      </w:r>
      <w:r>
        <w:footnoteReference w:id="15"/>
      </w:r>
    </w:p>
    <w:p>
      <w:r>
        <w:t>That language makes the drafting history itself discoverable and potentially important. Discovery should determine when this risk language was drafted, what internal risk assessments supported it, whether similar assessments existed before March, and whether the disclosure was created or modified in response to the March or May incidents.</w:t>
      </w:r>
    </w:p>
    <w:p>
      <w:pPr>
        <w:pStyle w:val="Heading1"/>
      </w:pPr>
      <w:r>
        <w:t>9. The Most Persuasive Causation Theory Is Loss of a Meaningful Opportunity to Act</w:t>
      </w:r>
    </w:p>
    <w:p>
      <w:r>
        <w:t>The claim should avoid suggesting that BitMEX caused the broader Bitcoin price collapse. The more precise causation theory is that a platform-side access impairment may have deprived the claimant of a meaningful opportunity to take a specific risk-reducing action before liquidation.</w:t>
      </w:r>
    </w:p>
    <w:p>
      <w:r>
        <w:t>For the claimant, the evidentiary chain should be tested account-by-account: attempted login/API access; the exact failure or delay; the specific action the trader intended and was financially capable of taking; available market liquidity; the time remaining before liquidation; the Mark Price and liquidation trigger; the Liquidation Engine's actions; and whether the proposed action would probably have prevented or reduced the loss.</w:t>
      </w:r>
    </w:p>
    <w:p>
      <w:r>
        <w:t>This is why authentication logs, OTP records, API gateway logs, order/cancel/amend attempts, margin records, Mark Price records, liquidation-engine records, and execution timestamps are not peripheral. They are central to testing causation.</w:t>
      </w:r>
    </w:p>
    <w:p>
      <w:pPr>
        <w:pStyle w:val="Heading1"/>
      </w:pPr>
      <w:r>
        <w:t>10. Targeted Discovery Necessary to Test the Theory</w:t>
      </w:r>
    </w:p>
    <w:p>
      <w:pPr>
        <w:ind w:left="259" w:hanging="259"/>
      </w:pPr>
      <w:r>
        <w:rPr>
          <w:b/>
        </w:rPr>
        <w:t xml:space="preserve">• February 15 prior attack and notice: </w:t>
      </w:r>
      <w:r>
        <w:t>All incident reports, access logs, security analyses, engineering tickets, remediation plans, risk acceptances, test results, and internal communications concerning the February 15, 2020 attack or substantially similar activity.</w:t>
      </w:r>
    </w:p>
    <w:p>
      <w:pPr>
        <w:ind w:left="259" w:hanging="259"/>
      </w:pPr>
      <w:r>
        <w:rPr>
          <w:b/>
        </w:rPr>
        <w:t xml:space="preserve">• March 13 access failure: </w:t>
      </w:r>
      <w:r>
        <w:t>Authentication, OTP, API gateway, queue-depth, user-database, access-control, and incident-response logs sufficient to establish when customers could and could not effectively reach trading functions.</w:t>
      </w:r>
    </w:p>
    <w:p>
      <w:pPr>
        <w:ind w:left="259" w:hanging="259"/>
      </w:pPr>
      <w:r>
        <w:rPr>
          <w:b/>
        </w:rPr>
        <w:t xml:space="preserve">• Liquidation continuity: </w:t>
      </w:r>
      <w:r>
        <w:t>Mark Price, margin, liquidation-trigger, Liquidation Engine, order, execution, and insurance-fund records sufficient to determine what exchange-controlled processes continued while customer access was impaired.</w:t>
      </w:r>
    </w:p>
    <w:p>
      <w:pPr>
        <w:ind w:left="259" w:hanging="259"/>
      </w:pPr>
      <w:r>
        <w:rPr>
          <w:b/>
        </w:rPr>
        <w:t xml:space="preserve">• Emergency controls: </w:t>
      </w:r>
      <w:r>
        <w:t>Policies, runbooks, technical specifications, permissions, and decision records concerning market suspension, liquidation suspension, Cancel-Only mode, Close/cancel prioritization, reduce-only functionality, failover, and emergency restart.</w:t>
      </w:r>
    </w:p>
    <w:p>
      <w:pPr>
        <w:ind w:left="259" w:hanging="259"/>
      </w:pPr>
      <w:r>
        <w:rPr>
          <w:b/>
        </w:rPr>
        <w:t xml:space="preserve">• Decision-making: </w:t>
      </w:r>
      <w:r>
        <w:t>Internal communications identifying whether suspension or liquidation protection was considered on March 13, who had authority to order it, what information was available to decision-makers, and why particular actions were taken or rejected.</w:t>
      </w:r>
    </w:p>
    <w:p>
      <w:pPr>
        <w:ind w:left="259" w:hanging="259"/>
      </w:pPr>
      <w:r>
        <w:rPr>
          <w:b/>
        </w:rPr>
        <w:t xml:space="preserve">• May 19 changes: </w:t>
      </w:r>
      <w:r>
        <w:t>Drafts, tickets, tests, approvals, meeting notes, and communications showing when the no-liquidation, Market Suspended, Cancel-Only, failover, and reopening procedures were designed and whether they resulted from lessons learned in March.</w:t>
      </w:r>
    </w:p>
    <w:p>
      <w:pPr>
        <w:ind w:left="259" w:hanging="259"/>
      </w:pPr>
      <w:r>
        <w:rPr>
          <w:b/>
        </w:rPr>
        <w:t xml:space="preserve">• Customer complaints: </w:t>
      </w:r>
      <w:r>
        <w:t>Support tickets, incident complaints, and other contemporaneous reports of inability to log in, cancel, close, amend, add margin, or otherwise manage positions during the incident.</w:t>
      </w:r>
    </w:p>
    <w:p>
      <w:pPr>
        <w:ind w:left="259" w:hanging="259"/>
      </w:pPr>
      <w:r>
        <w:rPr>
          <w:b/>
        </w:rPr>
        <w:t xml:space="preserve">• Affiliated trading access: </w:t>
      </w:r>
      <w:r>
        <w:t>Records sufficient to determine whether BitMEX's affiliated trading arm had the same practical access limitations as ordinary users during the disruption, consistent with the Terms' equal-access representation.</w:t>
      </w:r>
    </w:p>
    <w:p>
      <w:pPr>
        <w:ind w:left="259" w:hanging="259"/>
      </w:pPr>
      <w:r>
        <w:rPr>
          <w:b/>
        </w:rPr>
        <w:t xml:space="preserve">• Internal availability standards: </w:t>
      </w:r>
      <w:r>
        <w:t>Service-level objectives, uptime/latency thresholds, recovery-time objectives, capacity and stress-testing standards, incident severity classifications, and business-continuity or disaster-recovery procedures in force before March 13.</w:t>
      </w:r>
    </w:p>
    <w:p>
      <w:pPr>
        <w:ind w:left="259" w:hanging="259"/>
      </w:pPr>
      <w:r>
        <w:rPr>
          <w:b/>
        </w:rPr>
        <w:t xml:space="preserve">• Risk-disclosure drafting history: </w:t>
      </w:r>
      <w:r>
        <w:t>All drafts, redlines, approvals, legal/compliance reviews, and communications concerning the Risk Disclosure's treatment of DDoS, downtime, inability to trade, and inability to manage leveraged positions from January through June 2020.</w:t>
      </w:r>
    </w:p>
    <w:p>
      <w:pPr>
        <w:pStyle w:val="Heading1"/>
      </w:pPr>
      <w:r>
        <w:t>11. Proposed Closing Argument for Discovery</w:t>
      </w:r>
    </w:p>
    <w:tbl>
      <w:tblPr>
        <w:tblW w:type="auto" w:w="0"/>
        <w:tblLook w:firstColumn="1" w:firstRow="1" w:lastColumn="0" w:lastRow="0" w:noHBand="0" w:noVBand="1" w:val="04A0"/>
      </w:tblPr>
      <w:tblGrid>
        <w:gridCol w:w="9936"/>
      </w:tblGrid>
      <w:tr>
        <w:tc>
          <w:tcPr>
            <w:tcW w:type="dxa" w:w="9936"/>
            <w:shd w:fill="F3F3F3"/>
          </w:tcPr>
          <w:p>
            <w:r>
              <w:t>The available public evidence does not establish negligence as a final matter; it establishes a concrete and testable basis for discovery. BitMEX had advance notice of substantially similar attack activity approximately one month before March 13. Its own pre-incident Terms contemplated system overload, required reasonable efforts concerning availability, characterized maintaining an orderly market as its responsibility, and gave it authority to halt trading. Its pre-incident engineering practices already protected cancellation and Close instructions from ordinary load shedding. Yet BitMEX later acknowledged that on March 13 its trading engine remained operational while customers could find it nearly impossible to reach that engine. Two months later, BitMEX used a materially different outage procedure: no liquidations while offline, Market Suspended and Cancel-Only mode, customer notice, and only then resumption of full trading. BitMEX also expressly stated that a May infrastructure change was made in direct response to the March degradation of service. These facts justify discovery into what BitMEX knew after the February attack, what controls were available on March 13, whether exchange-controlled liquidation processes continued while customers lacked effective control, why protective measures were or were not used, and whether the claimant's inability to act caused or materially increased the liquidation loss.</w:t>
            </w:r>
          </w:p>
        </w:tc>
      </w:tr>
    </w:tbl>
    <w:p/>
    <w:p>
      <w:r>
        <w:rPr>
          <w:b/>
        </w:rPr>
        <w:t xml:space="preserve">Important limitation: </w:t>
      </w:r>
      <w:r>
        <w:t>This memorandum is framed as a factual basis for further investigation and discovery. It does not assume that comparative exchange practices were legally binding on BitMEX, that later May procedures establish the March legal standard, or that the June Risk Disclosure governed the March incident. Those distinctions should be preserved to keep the argument credible and focused.</w:t>
      </w:r>
    </w:p>
    <w:p>
      <w:pPr>
        <w:pStyle w:val="Heading1"/>
      </w:pPr>
      <w:r>
        <w:t>12. Contemporaneous Binance Terms Reinforce Industry Recognition of Exchange-Side Technical Risk</w:t>
      </w:r>
    </w:p>
    <w:p>
      <w:r>
        <w:t>A contemporaneous comparison with Binance strengthens the basis for discovery without suggesting that Binance's contract governed BitMEX. The Binance Terms captured by the Wayback Machine on March 12, 2020 - the first day of the market crash - state that the Terms were last revised on August 15, 2019. In the section specifically addressing margin trading and futures, Binance warned that under certain market conditions a trader could find it difficult or impossible to liquidate a position, including because of “technical issues on Binance.”</w:t>
      </w:r>
      <w:r>
        <w:t/>
      </w:r>
      <w:r>
        <w:footnoteReference w:id="16"/>
      </w:r>
    </w:p>
    <w:p>
      <w:r>
        <w:t>That language is important because it is contemporaneous evidence that a major cryptocurrency venue expressly recognized, before the BitMEX March 13 incident, the precise category of risk at issue here: an exchange-side technical problem can interfere with a leveraged trader's ability to exit a position. It does not establish BitMEX's legal duty, but it makes the risk substantially less susceptible to characterization as novel or unforeseeable.</w:t>
      </w:r>
    </w:p>
    <w:p>
      <w:r>
        <w:t>The same Binance futures and margin provisions went further. Binance expressly reserved discretion to take measures “to mitigate potential losses” on a customer's behalf, including transfers between exchange and margin/futures accounts. Binance also described measures intended to minimize counterparty liquidations. These provisions show that exchange-level intervention to reduce liquidation-related harm was an expressly contemplated operational concept within the cryptocurrency derivatives industry before March 13, 2020.</w:t>
      </w:r>
      <w:r>
        <w:t/>
      </w:r>
      <w:r>
        <w:footnoteReference w:id="17"/>
      </w:r>
    </w:p>
    <w:p>
      <w:r>
        <w:t>Binance's pre-existing Terms also prohibited conduct directed at vulnerabilities, authentication controls, and infrastructure capacity. They prohibited probing or testing vulnerabilities, breaching security or authentication measures, imposing an unreasonable or disproportionately large load on Binance infrastructure, and using software or other means to interfere with the proper operation of the service or transactions. Because the same captured Terms state that they were last revised in August 2019, this provides additional contemporaneous evidence that vulnerability exploitation, authentication attacks, infrastructure overload, and transaction interference were recognized operational threats before the BitMEX March event.</w:t>
      </w:r>
      <w:r>
        <w:t/>
      </w:r>
      <w:r>
        <w:footnoteReference w:id="18"/>
      </w:r>
    </w:p>
    <w:p>
      <w:r>
        <w:rPr>
          <w:b/>
        </w:rPr>
        <w:t xml:space="preserve">Why this matters when combined with the February 15 BitMEX attack. </w:t>
      </w:r>
      <w:r>
        <w:t>The Binance evidence is most useful when paired with BitMEX's own admission that the botnet responsible for the March 13 attack had conducted a similar, unsuccessful attack on BitMEX on February 15. General industry recognition of exchange-side technical and infrastructure risks therefore existed alongside BitMEX-specific notice of substantially similar attack activity approximately one month before the outage. This combination provides a concrete basis to seek discovery into what BitMEX learned in February, what vulnerability or capacity risk it identified, what remediation was recommended, whether remediation was implemented or deferred, and what contingency measures were available if the attack recurred during extreme volatility.</w:t>
      </w:r>
      <w:r>
        <w:t/>
      </w:r>
      <w:r>
        <w:footnoteReference w:id="19"/>
      </w:r>
    </w:p>
    <w:p>
      <w:r>
        <w:t>The comparison should be presented carefully. Binance also imposed substantial responsibility on margin and futures customers and stated that, during Binance system maintenance, customers remained responsible for managing their positions. That language prevents the comparison from being portrayed as a one-sided industry rule requiring exchanges to eliminate all outage risk. The more defensible inference is narrower: by March 2020, major crypto venues expressly recognized that exchange-side technical failures could prevent liquidation and that exchange-level loss-mitigation measures were operationally conceivable.</w:t>
      </w:r>
      <w:r>
        <w:t/>
      </w:r>
      <w:r>
        <w:footnoteReference w:id="20"/>
      </w:r>
    </w:p>
    <w:p>
      <w:pPr>
        <w:pStyle w:val="Heading1"/>
      </w:pPr>
      <w:r>
        <w:t>13. Updated Discovery Proposition</w:t>
      </w:r>
    </w:p>
    <w:p>
      <w:r>
        <w:t>The combined evidence now supports a focused, non-speculative discovery proposition: BitMEX did not face March 13 without warning or without recognized risk-control concepts. Its own Terms contemplated system overload and imposed reasonable-efforts language concerning availability; its own engineering practices had previously protected Cancel and Close instructions during overload; it had used trading suspension before; another major venue's pre-existing futures terms expressly recognized that exchange-side technical issues could make liquidation difficult or impossible; and, most importantly, BitMEX itself had experienced a similar attack on February 15. The March incident then produced the unusual condition in which BitMEX said its trading engine remained operational while customers could find it nearly impossible to reach that engine. These facts are sufficient to justify targeted discovery into notice, remediation, emergency controls, liquidation continuity, and claimant-specific causation.</w:t>
      </w:r>
    </w:p>
    <w:p>
      <w:r>
        <w:rPr>
          <w:b/>
        </w:rPr>
        <w:t xml:space="preserve">Critical discovery question: </w:t>
      </w:r>
      <w:r>
        <w:t>After the February 15 warning, what did BitMEX know about the vulnerability and the risk that customers could lose effective access during a renewed attack, and what reasonable measures did it take - or decide not to take - to ensure that customers would not remain exposed to exchange-controlled liquidation while unable to manage their positions?</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BitMEX March 2020 — Basis for Further Discovery</w:t>
    </w:r>
  </w:p>
</w:ftr>
</file>

<file path=word/footnotes.xml><?xml version="1.0" encoding="utf-8"?>
<w:footnotes xmlns:w="http://schemas.openxmlformats.org/wordprocessingml/2006/main" xmlns:r="http://schemas.openxmlformats.org/officeDocument/2006/relationships">
  <w:footnote w:id="-1" w:type="separator">
    <w:p>
      <w:r>
        <w:separator/>
      </w:r>
    </w:p>
  </w:footnote>
  <w:footnote w:id="0" w:type="continuationSeparator">
    <w:p>
      <w:r>
        <w:continuationSeparator/>
      </w:r>
    </w:p>
  </w:footnote>
  <w:footnote w:id="1">
    <w:p>
      <w:r>
        <w:footnoteRef/>
      </w:r>
      <w:r>
        <w:t> BitMEX Terms of Service, archived Mar. 7, 2020, §§ 1.12, 7.2–7.4. Section 1.12 states that maintaining an orderly market is BitMEX’s responsibility and permits a trading halt due to market disruption or other relevant external events; § 7.3 states that HDR shall make reasonable efforts to ensure availability and commercially reasonable efforts to avoid downtime during anticipated peak hours. https://web.archive.org/web/20200307112344/https://www.bitmex.com/app/terms</w:t>
      </w:r>
    </w:p>
  </w:footnote>
  <w:footnote w:id="2">
    <w:p>
      <w:r>
        <w:footnoteRef/>
      </w:r>
      <w:r>
        <w:t> Id. § 7.3 (expressly identifying necessary maintenance, technical issues, and network and system overloads as possible causes of disruption); see also §§ 7.2–7.4 for BitMEX’s broad “as available” and availability/liability disclaimers.</w:t>
      </w:r>
    </w:p>
  </w:footnote>
  <w:footnote w:id="3">
    <w:p>
      <w:r>
        <w:footnoteRef/>
      </w:r>
      <w:r>
        <w:t> Arthur Hayes, “How We Are Responding to the 13 March DDoS Attacks,” BitMEX Blog (Mar. 16, 2020). BitMEX stated that the botnet responsible for the March 13 attack had conducted a similar but unsuccessful attack on Feb. 15, and that BitMEX believed the attackers identified their target in February and waited for a moment of maximum market impact. https://www.bitmex.com/blog/how-we-are-responding-to-last-weeks-ddos-attacks</w:t>
      </w:r>
    </w:p>
  </w:footnote>
  <w:footnote w:id="4">
    <w:p>
      <w:r>
        <w:footnoteRef/>
      </w:r>
      <w:r>
        <w:t> Id. BitMEX reported that the attack exploited a specially crafted Trollbox query; database resource exhaustion affected the authentication/access-control layer in front of the trading engine. BitMEX stated that the trading engine operated normally and market data was not disrupted, but it became nearly impossible to reach the engine during the affected periods.</w:t>
      </w:r>
    </w:p>
  </w:footnote>
  <w:footnote w:id="5">
    <w:p>
      <w:r>
        <w:footnoteRef/>
      </w:r>
      <w:r>
        <w:t> Id. BitMEX reported identifying 156 ETHUSD accounts whose Last Price stops were erroneously triggered by unintended late processing of market orders during the first downtime and stated that 40.297 XBT was refunded. This evidence concerns ETHUSD Last Price stops and should not be presented as proof that XBTM20 liquidations were erroneous.</w:t>
      </w:r>
    </w:p>
  </w:footnote>
  <w:footnote w:id="6">
    <w:p>
      <w:r>
        <w:footnoteRef/>
      </w:r>
      <w:r>
        <w:t> BitMEX API Changelog, entries dated Nov. 9, 2017 and Feb. 26, 2018. The Nov. 9 entry states that load shedding at critical queue depth did not apply to order cancellations; the Feb. 26 entry states that Order Cancel and the Close execInst remained exempt from shedding. https://www.bitmex.com/app/static/md/en-US/apiChangelog. See also BitMEX, “Summary of Completed Maintenance” (Nov. 10, 2017), stating that order cancellations were not subject to the load-shedding restriction and that capacity on the user-authorization/API-key subsystem had been quadrupled.</w:t>
      </w:r>
    </w:p>
  </w:footnote>
  <w:footnote w:id="7">
    <w:p>
      <w:r>
        <w:footnoteRef/>
      </w:r>
      <w:r>
        <w:t> Arthur Hayes, “Trading Will Be Suspended at 23:30 UTC Until Further Notice,” BitMEX Blog (July 5, 2017), announcing that trading would be halted on all BitMEX products because of network issues. https://www.bitmex.com/blog/trading-will-be-suspended-at-2330-utc-until-further-notice</w:t>
      </w:r>
    </w:p>
  </w:footnote>
  <w:footnote w:id="8">
    <w:p>
      <w:r>
        <w:footnoteRef/>
      </w:r>
      <w:r>
        <w:t> BitMEX Terms of Service, archived Mar. 7, 2020, §§ 1.12 and 7.3. https://web.archive.org/web/20200307112344/https://www.bitmex.com/app/terms</w:t>
      </w:r>
    </w:p>
  </w:footnote>
  <w:footnote w:id="9">
    <w:p>
      <w:r>
        <w:footnoteRef/>
      </w:r>
      <w:r>
        <w:t> BitMEX, “Postmortem: Downtime, 19 May 2020” (May 22, 2020). BitMEX stated that no liquidations occurred while the exchange was offline; at 13:23 UTC the platform returned in Market Suspended and Cancel-Only mode, customers were notified that all trading would resume at 13:40, and trading resumed at that time. https://www.bitmex.com/blog/postmortem-downtime-19-may-2020</w:t>
      </w:r>
    </w:p>
  </w:footnote>
  <w:footnote w:id="10">
    <w:p>
      <w:r>
        <w:footnoteRef/>
      </w:r>
      <w:r>
        <w:t> Id. BitMEX stated that following review of previous downtime events and customer feedback it amended reopening procedures for unscheduled events, including an updated Cancel-Only protocol; it reported 38,437 cancel-order instructions during the 17-minute period before full functionality resumed.</w:t>
      </w:r>
    </w:p>
  </w:footnote>
  <w:footnote w:id="11">
    <w:p>
      <w:r>
        <w:footnoteRef/>
      </w:r>
      <w:r>
        <w:t> Id. BitMEX stated that a May 14 infrastructure change was made “in direct response to the March 13 degradation of service” after weeks of design sessions, cloud-provider consultation, and production-like load testing; BitMEX said the primary user-database technology replacement improved recovery time 4x and created opportunities to scale it 15x.</w:t>
      </w:r>
    </w:p>
  </w:footnote>
  <w:footnote w:id="12">
    <w:p>
      <w:r>
        <w:footnoteRef/>
      </w:r>
      <w:r>
        <w:t> Kraken, “Kraken Returns with Free Trading” (Jan. 2018). Kraken stated that all orders were cancelled before trading resumed and that margin liquidations and creation of new margin positions would be paused for at least 48 hours. https://blog.kraken.com/news/kraken-returns-with-free-trading</w:t>
      </w:r>
    </w:p>
  </w:footnote>
  <w:footnote w:id="13">
    <w:p>
      <w:r>
        <w:footnoteRef/>
      </w:r>
      <w:r>
        <w:t> Binance, “System Upgrade Notice” (May 14, 2019). Binance announced that trading would be suspended during the upgrade and that after completion users would receive a 30-minute window to cancel open orders before trading resumed. https://www.binance.com/en/support/announcement/detail/360028054052</w:t>
      </w:r>
    </w:p>
  </w:footnote>
  <w:footnote w:id="14">
    <w:p>
      <w:r>
        <w:footnoteRef/>
      </w:r>
      <w:r>
        <w:t> Deribit, “Deribit Flash Crash – A Letter from the Founders” (Nov. 2019), discussing an index-calculation issue that caused invalid liquidations and the exchange’s decision to compensate affected traders. https://insights.deribit.com/exchange-updates/deribit-flash-crash-a-letter-from-the-founders/</w:t>
      </w:r>
    </w:p>
  </w:footnote>
  <w:footnote w:id="15">
    <w:p>
      <w:r>
        <w:footnoteRef/>
      </w:r>
      <w:r>
        <w:t> BitMEX Risk Disclosure, archived June 8, 2020, Cyber Risk and Risks Relating to Leveraged Trading. The disclosure identifies denial-of-service attacks as capable of affecting platform operation/availability and states that technical issues with attempted orders may leave a trader unable to manage risk on open positions. Because this archive post-dates March 13, it is used here as a discovery lead and evidence of BitMEX’s articulated risk understanding by June, not as proof of the disclosure governing the March incident. https://web.archive.org/web/20200608042715/https://www.bitmex.com/app/riskDisclosure</w:t>
      </w:r>
    </w:p>
  </w:footnote>
  <w:footnote w:id="16">
    <w:p>
      <w:r>
        <w:footnoteRef/>
      </w:r>
      <w:r>
        <w:t> Binance Terms of Use, archived Mar. 12, 2020 (Terms state “Last revised: 15 August 2019”), § 8(a)(4), Wayback Machine: https://web.archive.org/web/20200312220614/https://www.binance.com/en/terms. Section 8(a)(4) states that under certain market conditions it may be difficult or impossible to liquidate a position, including due to technical issues on Binance.</w:t>
      </w:r>
    </w:p>
  </w:footnote>
  <w:footnote w:id="17">
    <w:p>
      <w:r>
        <w:footnoteRef/>
      </w:r>
      <w:r>
        <w:t> Binance Terms of Use, archived Mar. 12, 2020, § 8(b)(6), (9), Wayback Machine: https://web.archive.org/web/20200312220614/https://www.binance.com/en/terms. Binance reserved discretion to perform measures to mitigate potential losses to a customer and described mechanisms intended to minimize counterparty liquidation.</w:t>
      </w:r>
    </w:p>
  </w:footnote>
  <w:footnote w:id="18">
    <w:p>
      <w:r>
        <w:footnoteRef/>
      </w:r>
      <w:r>
        <w:t> Binance Terms of Use, archived Mar. 12, 2020, § 6(b)(6), Wayback Machine: https://web.archive.org/web/20200312220614/https://www.binance.com/en/terms. The Terms prohibited vulnerability testing, breaching security or authentication measures, imposing unreasonable or disproportionately large infrastructure loads, and interference with the proper working of the Services or transactions.</w:t>
      </w:r>
    </w:p>
  </w:footnote>
  <w:footnote w:id="19">
    <w:p>
      <w:r>
        <w:footnoteRef/>
      </w:r>
      <w:r>
        <w:t> Arthur Hayes, “How We Are Responding to the 13 March DDoS Attacks,” BitMEX Blog (Mar. 16, 2020). BitMEX stated that the botnet responsible for the March 13 attack had conducted a similar, unsuccessful attack on Feb. 15, 2020 and that BitMEX believed the attackers waited for a moment of maximum market impact. https://www.bitmex.com/blog/how-we-are-responding-to-last-weeks-ddos-attacks.</w:t>
      </w:r>
    </w:p>
  </w:footnote>
  <w:footnote w:id="20">
    <w:p>
      <w:r>
        <w:footnoteRef/>
      </w:r>
      <w:r>
        <w:t> Binance Terms of Use, archived Mar. 12, 2020, § 8(b)(7), Wayback Machine: https://web.archive.org/web/20200312220614/https://www.binance.com/en/terms. The Terms stated that during Binance system maintenance customers remained responsible for managing margin or futures accounts, including keeping or closing positions and repaying loans.</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