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1F9D92"/>
          <w:sz w:val="20"/>
        </w:rPr>
        <w:t>ESPECIFICACIÓN CLÍNICO-FUNCIONAL</w:t>
      </w:r>
    </w:p>
    <w:p>
      <w:pPr>
        <w:spacing w:before="240" w:after="160"/>
        <w:jc w:val="center"/>
      </w:pPr>
      <w:r>
        <w:rPr>
          <w:rFonts w:ascii="Calibri" w:hAnsi="Calibri"/>
          <w:b/>
          <w:i w:val="0"/>
          <w:color w:val="171A3B"/>
          <w:sz w:val="60"/>
        </w:rPr>
        <w:t>MORPHEO</w:t>
      </w:r>
    </w:p>
    <w:p>
      <w:pPr>
        <w:spacing w:after="480"/>
        <w:jc w:val="center"/>
      </w:pPr>
      <w:r>
        <w:rPr>
          <w:rFonts w:ascii="Calibri" w:hAnsi="Calibri"/>
          <w:b w:val="0"/>
          <w:i w:val="0"/>
          <w:color w:val="6D5CE7"/>
          <w:sz w:val="30"/>
        </w:rPr>
        <w:t>Algoritmos de orientación inicial, seguridad y gobernanza de claims</w:t>
      </w:r>
    </w:p>
    <w:p>
      <w:pPr>
        <w:jc w:val="center"/>
      </w:pPr>
      <w:r>
        <w:rPr>
          <w:rFonts w:ascii="Calibri" w:hAnsi="Calibri"/>
          <w:b w:val="0"/>
          <w:i w:val="0"/>
          <w:color w:val="61657A"/>
          <w:sz w:val="21"/>
        </w:rPr>
        <w:t>Versión 1.0 · 19 de julio de 2026</w:t>
      </w:r>
    </w:p>
    <w:p>
      <w:pPr>
        <w:jc w:val="center"/>
      </w:pPr>
      <w:r>
        <w:rPr>
          <w:rFonts w:ascii="Calibri" w:hAnsi="Calibri"/>
          <w:b w:val="0"/>
          <w:i w:val="0"/>
          <w:color w:val="61657A"/>
          <w:sz w:val="21"/>
        </w:rPr>
        <w:t>The Somnus · Documento para diseño, desarrollo, revisión clínica y validación</w:t>
      </w:r>
    </w:p>
    <w:p/>
    <w:p/>
    <w:p/>
    <w:p/>
    <w:p>
      <w:pPr>
        <w:spacing w:before="60" w:after="180"/>
        <w:ind w:left="115" w:right="115"/>
        <w:shd w:fill="E8F6F4"/>
        <w:pBdr>
          <w:left w:val="single" w:sz="18" w:space="6" w:color="1F9D92"/>
        </w:pBdr>
      </w:pPr>
      <w:r>
        <w:rPr>
          <w:rFonts w:ascii="Calibri" w:hAnsi="Calibri"/>
          <w:b/>
          <w:i w:val="0"/>
          <w:color w:val="1F9D92"/>
          <w:sz w:val="21"/>
        </w:rPr>
        <w:t xml:space="preserve">Límite esencial: </w:t>
      </w:r>
      <w:r>
        <w:rPr>
          <w:rFonts w:ascii="Calibri" w:hAnsi="Calibri"/>
          <w:b w:val="0"/>
          <w:i w:val="0"/>
          <w:color w:val="20243A"/>
          <w:sz w:val="21"/>
        </w:rPr>
        <w:t>Morpheo organiza información, reconoce señales comunicadas y orienta el siguiente paso. No confirma ni excluye diagnósticos, no prescribe y no sustituye a un profesional. El modo familiar se dirige únicamente a padres, madres o tutores; el menor de 18 años no conversa con el chatbot.</w:t>
      </w:r>
    </w:p>
    <w:p>
      <w:r>
        <w:br w:type="page"/>
      </w:r>
    </w:p>
    <w:p>
      <w:pPr>
        <w:pStyle w:val="Heading1"/>
      </w:pPr>
      <w:r>
        <w:t>Decisión ejecutiva</w:t>
      </w:r>
    </w:p>
    <w:p>
      <w:r>
        <w:rPr>
          <w:rFonts w:ascii="Calibri" w:hAnsi="Calibri"/>
          <w:b w:val="0"/>
          <w:i w:val="0"/>
          <w:color w:val="20243A"/>
          <w:sz w:val="22"/>
        </w:rPr>
        <w:t>La versión web inicial debe implementarse como un motor híbrido. Las decisiones de seguridad, elegibilidad, prioridad asistencial y frases prohibidas son reglas deterministas y versionadas. La IA generativa solo resume hechos ya recogidos y los explica mediante plantillas aprobadas. Esta separación hace el sistema más auditable y reduce la posibilidad de que una respuesta fluida contradiga una regla clínica.</w:t>
      </w:r>
    </w:p>
    <w:tbl>
      <w:tblPr>
        <w:tblStyle w:val="TableGrid"/>
        <w:tblW w:type="dxa" w:w="95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6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Componente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Decisión de diseño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Producto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Un único Morpheo con tres accesos: profesional, adulto y padre/madre/tutor de menor de 18 años.</w:t>
            </w:r>
          </w:p>
        </w:tc>
      </w:tr>
      <w:tr>
        <w:trPr>
          <w:cantSplit/>
        </w:trPr>
        <w:tc>
          <w:tcPr>
            <w:tcW w:type="dxa" w:w="19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Alcance</w:t>
            </w:r>
          </w:p>
        </w:tc>
        <w:tc>
          <w:tcPr>
            <w:tcW w:type="dxa" w:w="76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Orientación clínica básica previa a una clínica o unidad especializada de sueño.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Salida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Patrones descriptivos, información faltante, nivel de atención y preparación de consulta.</w:t>
            </w:r>
          </w:p>
        </w:tc>
      </w:tr>
      <w:tr>
        <w:trPr>
          <w:cantSplit/>
        </w:trPr>
        <w:tc>
          <w:tcPr>
            <w:tcW w:type="dxa" w:w="19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Núcleo seguro</w:t>
            </w:r>
          </w:p>
        </w:tc>
        <w:tc>
          <w:tcPr>
            <w:tcW w:type="dxa" w:w="76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Reglas deterministas con prioridad absoluta sobre el texto generativo.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Validación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Por versión, rol, edad y ruta clínica; no extrapolar resultados entre modos.</w:t>
            </w:r>
          </w:p>
        </w:tc>
      </w:tr>
      <w:tr>
        <w:trPr>
          <w:cantSplit/>
        </w:trPr>
        <w:tc>
          <w:tcPr>
            <w:tcW w:type="dxa" w:w="19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Claims</w:t>
            </w:r>
          </w:p>
        </w:tc>
        <w:tc>
          <w:tcPr>
            <w:tcW w:type="dxa" w:w="76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Registro único para web, anuncios, SEO, producto, dossier e IA conversacional.</w:t>
            </w:r>
          </w:p>
        </w:tc>
      </w:tr>
    </w:tbl>
    <w:p>
      <w:pPr>
        <w:spacing w:after="40"/>
      </w:pPr>
    </w:p>
    <w:p>
      <w:pPr>
        <w:spacing w:before="60" w:after="180"/>
        <w:ind w:left="115" w:right="115"/>
        <w:shd w:fill="EFEDFC"/>
        <w:pBdr>
          <w:left w:val="single" w:sz="18" w:space="6" w:color="6D5CE7"/>
        </w:pBdr>
      </w:pPr>
      <w:r>
        <w:rPr>
          <w:rFonts w:ascii="Calibri" w:hAnsi="Calibri"/>
          <w:b/>
          <w:i w:val="0"/>
          <w:color w:val="6D5CE7"/>
          <w:sz w:val="21"/>
        </w:rPr>
        <w:t xml:space="preserve">Entrega a desarrollo: </w:t>
      </w:r>
      <w:r>
        <w:rPr>
          <w:rFonts w:ascii="Calibri" w:hAnsi="Calibri"/>
          <w:b w:val="0"/>
          <w:i w:val="0"/>
          <w:color w:val="20243A"/>
          <w:sz w:val="21"/>
        </w:rPr>
        <w:t>El archivo JSON adjunto contiene estados, preguntas mínimas, módulos, reglas, salidas y casos de prueba. El CSV adjunto es el registro inicial de claims. Este documento explica las decisiones clínicas y de producto.</w:t>
      </w:r>
    </w:p>
    <w:p>
      <w:pPr>
        <w:pStyle w:val="Heading1"/>
      </w:pPr>
      <w:r>
        <w:t>Índice funcional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1. Propósito previsto y límites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2. Arquitectura del motor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3. Algoritmo universal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4. Reglas de seguridad y prioridad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5. Algoritmos por rol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6. Rutas clínicas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7. Contrato de salida y lenguaje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8. Esquema de claims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9. Especificación para la web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10. Validación, pruebas y criterios de salida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11. Fuentes</w:t>
      </w:r>
    </w:p>
    <w:p>
      <w:pPr>
        <w:sectPr>
          <w:headerReference w:type="default" r:id="rId9"/>
          <w:footerReference w:type="default" r:id="rId10"/>
          <w:pgSz w:w="12240" w:h="15840"/>
          <w:pgMar w:top="1296" w:right="1224" w:bottom="1224" w:left="1224" w:header="605" w:footer="605" w:gutter="0"/>
          <w:cols w:space="720"/>
          <w:docGrid w:linePitch="360"/>
        </w:sectPr>
      </w:pPr>
    </w:p>
    <w:p>
      <w:pPr>
        <w:pStyle w:val="Heading1"/>
      </w:pPr>
      <w:r>
        <w:t>1. Propósito previsto y límites</w:t>
      </w:r>
    </w:p>
    <w:p>
      <w:pPr>
        <w:spacing w:before="60" w:after="180"/>
        <w:ind w:left="115" w:right="115"/>
        <w:shd w:fill="E8F6F4"/>
        <w:pBdr>
          <w:left w:val="single" w:sz="18" w:space="6" w:color="1F9D92"/>
        </w:pBdr>
      </w:pPr>
      <w:r>
        <w:rPr>
          <w:rFonts w:ascii="Calibri" w:hAnsi="Calibri"/>
          <w:b/>
          <w:i w:val="0"/>
          <w:color w:val="1F9D92"/>
          <w:sz w:val="21"/>
        </w:rPr>
        <w:t xml:space="preserve">Propósito previsto propuesto: </w:t>
      </w:r>
      <w:r>
        <w:rPr>
          <w:rFonts w:ascii="Calibri" w:hAnsi="Calibri"/>
          <w:b w:val="0"/>
          <w:i w:val="0"/>
          <w:color w:val="20243A"/>
          <w:sz w:val="21"/>
        </w:rPr>
        <w:t>Morpheo es una herramienta digital que estructura información comunicada sobre el sueño, realiza preguntas estandarizadas, reconoce señales de alarma predefinidas y genera un resumen orientativo para ayudar a decidir qué nivel de atención conviene solicitar. En profesionales, apoya la anamnesis y presenta hipótesis revisables; la decisión clínica permanece en el profesional.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Incluido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Excluido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Educación y preparación de consulta.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Diagnóstico definitivo o exclusión de enfermedad.</w:t>
            </w:r>
          </w:p>
        </w:tc>
      </w:tr>
      <w:tr>
        <w:trPr>
          <w:cantSplit/>
        </w:trPr>
        <w:tc>
          <w:tcPr>
            <w:tcW w:type="dxa" w:w="468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Resumen de hechos aportados.</w:t>
            </w:r>
          </w:p>
        </w:tc>
        <w:tc>
          <w:tcPr>
            <w:tcW w:type="dxa" w:w="468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Prescripción, dosis, deprescripción o ajuste farmacológico.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Señales de alarma con acciones predefinidas.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Interpretación autónoma de pruebas, wearables o historia clínica.</w:t>
            </w:r>
          </w:p>
        </w:tc>
      </w:tr>
      <w:tr>
        <w:trPr>
          <w:cantSplit/>
        </w:trPr>
        <w:tc>
          <w:tcPr>
            <w:tcW w:type="dxa" w:w="468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Patrones que conviene valorar.</w:t>
            </w:r>
          </w:p>
        </w:tc>
        <w:tc>
          <w:tcPr>
            <w:tcW w:type="dxa" w:w="468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Decisión autónoma de prueba o derivación.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Sugerencia de información/instrumentos para el profesional.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Interacción directa con menores de 18 años.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color w:val="20243A"/>
          <w:sz w:val="22"/>
        </w:rPr>
        <w:t>El propósito previsto debe ser idéntico en la interfaz, instrucciones, prompts, anuncios, SEO, notas de prensa y materiales comerciales. Según la guía europea MDCG, la finalidad declarada y las afirmaciones promocionales forman parte del análisis regulatorio; un descargo de responsabilidad no neutraliza una función médica real.</w:t>
      </w:r>
    </w:p>
    <w:p>
      <w:pPr>
        <w:pStyle w:val="Heading2"/>
      </w:pPr>
      <w:r>
        <w:t>1.1. Tres modos, tres validaciones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00"/>
        <w:gridCol w:w="3100"/>
        <w:gridCol w:w="1960"/>
      </w:tblGrid>
      <w:tr>
        <w:trPr>
          <w:cantSplit/>
          <w:tblHeader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Quién responde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Resultado permitido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Control adicional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Adulto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Persona de 18 años o más sobre sí misma.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Resumen, patrones descriptivos y nivel de consulta.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Comprensión, no falsa tranquilidad y seguridad en conducción.</w:t>
            </w:r>
          </w:p>
        </w:tc>
      </w:tr>
      <w:tr>
        <w:trPr>
          <w:cantSplit/>
        </w:trPr>
        <w:tc>
          <w:tcPr>
            <w:tcW w:type="dxa" w:w="15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Familiar</w:t>
            </w:r>
          </w:p>
        </w:tc>
        <w:tc>
          <w:tcPr>
            <w:tcW w:type="dxa" w:w="28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Padre, madre o tutor adulto sobre un menor de 18 años.</w:t>
            </w:r>
          </w:p>
        </w:tc>
        <w:tc>
          <w:tcPr>
            <w:tcW w:type="dxa" w:w="31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Resumen parental y recomendación de Pediatría/AP.</w:t>
            </w:r>
          </w:p>
        </w:tc>
        <w:tc>
          <w:tcPr>
            <w:tcW w:type="dxa" w:w="19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Edad, tutela, lenguaje pediátrico y sin cuenta autónoma del menor.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Profesional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Profesional sanitario.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Anamnesis, diferenciales revisables, preguntas y criterios a considerar.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Privacidad, trazabilidad, intended use y posible MDSW.</w:t>
            </w:r>
          </w:p>
        </w:tc>
      </w:tr>
    </w:tbl>
    <w:p>
      <w:pPr>
        <w:spacing w:after="40"/>
      </w:pPr>
    </w:p>
    <w:p>
      <w:pPr>
        <w:pStyle w:val="Heading1"/>
      </w:pPr>
      <w:r>
        <w:t>2. Arquitectura del motor</w:t>
      </w:r>
    </w:p>
    <w:p>
      <w:pPr>
        <w:jc w:val="center"/>
      </w:pPr>
      <w:r>
        <w:rPr>
          <w:rFonts w:ascii="Calibri" w:hAnsi="Calibri"/>
          <w:b/>
          <w:i w:val="0"/>
          <w:color w:val="171A3B"/>
          <w:sz w:val="22"/>
        </w:rPr>
        <w:t>Esquema A · Flujo universal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blHeader/>
        </w:trPr>
        <w:tc>
          <w:tcPr>
            <w:tcW w:type="dxa" w:w="8856"/>
            <w:tcMar>
              <w:top w:w="110" w:type="dxa"/>
              <w:start w:w="160" w:type="dxa"/>
              <w:bottom w:w="110" w:type="dxa"/>
              <w:end w:w="160" w:type="dxa"/>
            </w:tcMar>
            <w:shd w:fill="E8F6F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9D92"/>
                <w:sz w:val="20"/>
              </w:rPr>
              <w:t>1 · Selección de rol</w:t>
              <w:br/>
            </w: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Adulto · Padre/madre/tutor · Profesional</w:t>
            </w:r>
          </w:p>
        </w:tc>
      </w:tr>
      <w:tr>
        <w:tc>
          <w:tcPr>
            <w:tcW w:type="dxa" w:w="9792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1657A"/>
                <w:sz w:val="28"/>
              </w:rPr>
              <w:t>↓</w:t>
            </w:r>
          </w:p>
        </w:tc>
      </w:tr>
      <w:tr>
        <w:tc>
          <w:tcPr>
            <w:tcW w:type="dxa" w:w="8856"/>
            <w:tcMar>
              <w:top w:w="110" w:type="dxa"/>
              <w:start w:w="160" w:type="dxa"/>
              <w:bottom w:w="110" w:type="dxa"/>
              <w:end w:w="160" w:type="dxa"/>
            </w:tcMar>
            <w:shd w:fill="EFED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D5CE7"/>
                <w:sz w:val="20"/>
              </w:rPr>
              <w:t>2 · Elegibilidad y consentimiento</w:t>
              <w:br/>
            </w: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Edad, tutela, límites del producto y privacidad</w:t>
            </w:r>
          </w:p>
        </w:tc>
      </w:tr>
      <w:tr>
        <w:tc>
          <w:tcPr>
            <w:tcW w:type="dxa" w:w="9792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1657A"/>
                <w:sz w:val="28"/>
              </w:rPr>
              <w:t>↓</w:t>
            </w:r>
          </w:p>
        </w:tc>
      </w:tr>
      <w:tr>
        <w:tc>
          <w:tcPr>
            <w:tcW w:type="dxa" w:w="8856"/>
            <w:tcMar>
              <w:top w:w="110" w:type="dxa"/>
              <w:start w:w="160" w:type="dxa"/>
              <w:bottom w:w="110" w:type="dxa"/>
              <w:end w:w="160" w:type="dxa"/>
            </w:tcMar>
            <w:shd w:fill="E8F6F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9D92"/>
                <w:sz w:val="20"/>
              </w:rPr>
              <w:t>3 · Safety gate</w:t>
              <w:br/>
            </w: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Emergencia, urgencia, conducción, respiración, crisis, violencia, autolesión</w:t>
            </w:r>
          </w:p>
        </w:tc>
      </w:tr>
      <w:tr>
        <w:tc>
          <w:tcPr>
            <w:tcW w:type="dxa" w:w="9792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1657A"/>
                <w:sz w:val="28"/>
              </w:rPr>
              <w:t>↓</w:t>
            </w:r>
          </w:p>
        </w:tc>
      </w:tr>
      <w:tr>
        <w:tc>
          <w:tcPr>
            <w:tcW w:type="dxa" w:w="8856"/>
            <w:tcMar>
              <w:top w:w="110" w:type="dxa"/>
              <w:start w:w="160" w:type="dxa"/>
              <w:bottom w:w="110" w:type="dxa"/>
              <w:end w:w="160" w:type="dxa"/>
            </w:tcMar>
            <w:shd w:fill="EFED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D5CE7"/>
                <w:sz w:val="20"/>
              </w:rPr>
              <w:t>4 · Núcleo mínimo</w:t>
              <w:br/>
            </w: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Queja, cronología, frecuencia, impacto, horarios, sustancias, comorbilidad</w:t>
            </w:r>
          </w:p>
        </w:tc>
      </w:tr>
      <w:tr>
        <w:tc>
          <w:tcPr>
            <w:tcW w:type="dxa" w:w="9792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1657A"/>
                <w:sz w:val="28"/>
              </w:rPr>
              <w:t>↓</w:t>
            </w:r>
          </w:p>
        </w:tc>
      </w:tr>
      <w:tr>
        <w:tc>
          <w:tcPr>
            <w:tcW w:type="dxa" w:w="8856"/>
            <w:tcMar>
              <w:top w:w="110" w:type="dxa"/>
              <w:start w:w="160" w:type="dxa"/>
              <w:bottom w:w="110" w:type="dxa"/>
              <w:end w:w="160" w:type="dxa"/>
            </w:tcMar>
            <w:shd w:fill="E8F6F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9D92"/>
                <w:sz w:val="20"/>
              </w:rPr>
              <w:t>5 · Enrutador multietiqueta</w:t>
              <w:br/>
            </w: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Insomnio · Respiración · Somnolencia · Ritmo · Piernas · Conductas</w:t>
            </w:r>
          </w:p>
        </w:tc>
      </w:tr>
      <w:tr>
        <w:tc>
          <w:tcPr>
            <w:tcW w:type="dxa" w:w="9792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1657A"/>
                <w:sz w:val="28"/>
              </w:rPr>
              <w:t>↓</w:t>
            </w:r>
          </w:p>
        </w:tc>
      </w:tr>
      <w:tr>
        <w:tc>
          <w:tcPr>
            <w:tcW w:type="dxa" w:w="8856"/>
            <w:tcMar>
              <w:top w:w="110" w:type="dxa"/>
              <w:start w:w="160" w:type="dxa"/>
              <w:bottom w:w="110" w:type="dxa"/>
              <w:end w:w="160" w:type="dxa"/>
            </w:tcMar>
            <w:shd w:fill="EFED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D5CE7"/>
                <w:sz w:val="20"/>
              </w:rPr>
              <w:t>6 · Cruces obligatorios</w:t>
              <w:br/>
            </w: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Todo módulo reevalúa respiración, somnolencia, medicación, salud mental y seguridad</w:t>
            </w:r>
          </w:p>
        </w:tc>
      </w:tr>
      <w:tr>
        <w:tc>
          <w:tcPr>
            <w:tcW w:type="dxa" w:w="9792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1657A"/>
                <w:sz w:val="28"/>
              </w:rPr>
              <w:t>↓</w:t>
            </w:r>
          </w:p>
        </w:tc>
      </w:tr>
      <w:tr>
        <w:tc>
          <w:tcPr>
            <w:tcW w:type="dxa" w:w="8856"/>
            <w:tcMar>
              <w:top w:w="110" w:type="dxa"/>
              <w:start w:w="160" w:type="dxa"/>
              <w:bottom w:w="110" w:type="dxa"/>
              <w:end w:w="160" w:type="dxa"/>
            </w:tcMar>
            <w:shd w:fill="E8F6F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9D92"/>
                <w:sz w:val="20"/>
              </w:rPr>
              <w:t>7 · Salida explicable</w:t>
              <w:br/>
            </w: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Hechos → reglas activadas → nivel asistencial → preparación de consulta</w:t>
            </w:r>
          </w:p>
        </w:tc>
      </w:tr>
    </w:tbl>
    <w:p/>
    <w:p>
      <w:pPr>
        <w:spacing w:before="60" w:after="180"/>
        <w:ind w:left="115" w:right="115"/>
        <w:shd w:fill="EFEDFC"/>
        <w:pBdr>
          <w:left w:val="single" w:sz="18" w:space="6" w:color="6D5CE7"/>
        </w:pBdr>
      </w:pPr>
      <w:r>
        <w:rPr>
          <w:rFonts w:ascii="Calibri" w:hAnsi="Calibri"/>
          <w:b/>
          <w:i w:val="0"/>
          <w:color w:val="6D5CE7"/>
          <w:sz w:val="21"/>
        </w:rPr>
        <w:t xml:space="preserve">Regla técnica: </w:t>
      </w:r>
      <w:r>
        <w:rPr>
          <w:rFonts w:ascii="Calibri" w:hAnsi="Calibri"/>
          <w:b w:val="0"/>
          <w:i w:val="0"/>
          <w:color w:val="20243A"/>
          <w:sz w:val="21"/>
        </w:rPr>
        <w:t>El modelo generativo no decide la urgencia ni la ruta. Recibe un objeto estructurado ya resuelto y únicamente redacta un resumen con bloques aprobados. Si el resumen contradice el objeto, se descarta y se usa la plantilla determinista.</w:t>
      </w:r>
    </w:p>
    <w:p>
      <w:pPr>
        <w:pStyle w:val="Heading2"/>
      </w:pPr>
      <w:r>
        <w:t>2.1. Prioridad de reglas</w:t>
      </w:r>
    </w:p>
    <w:p>
      <w:pPr>
        <w:pStyle w:val="ListNumber"/>
      </w:pPr>
      <w:r>
        <w:rPr>
          <w:rFonts w:ascii="Calibri" w:hAnsi="Calibri"/>
          <w:b w:val="0"/>
          <w:i w:val="0"/>
          <w:color w:val="20243A"/>
          <w:sz w:val="22"/>
        </w:rPr>
        <w:t>Seguridad y protección de la persona.</w:t>
      </w:r>
    </w:p>
    <w:p>
      <w:pPr>
        <w:pStyle w:val="ListNumber"/>
      </w:pPr>
      <w:r>
        <w:rPr>
          <w:rFonts w:ascii="Calibri" w:hAnsi="Calibri"/>
          <w:b w:val="0"/>
          <w:i w:val="0"/>
          <w:color w:val="20243A"/>
          <w:sz w:val="22"/>
        </w:rPr>
        <w:t>Elegibilidad por rol, edad y consentimiento.</w:t>
      </w:r>
    </w:p>
    <w:p>
      <w:pPr>
        <w:pStyle w:val="ListNumber"/>
      </w:pPr>
      <w:r>
        <w:rPr>
          <w:rFonts w:ascii="Calibri" w:hAnsi="Calibri"/>
          <w:b w:val="0"/>
          <w:i w:val="0"/>
          <w:color w:val="20243A"/>
          <w:sz w:val="22"/>
        </w:rPr>
        <w:t>Completitud del conjunto mínimo de datos.</w:t>
      </w:r>
    </w:p>
    <w:p>
      <w:pPr>
        <w:pStyle w:val="ListNumber"/>
      </w:pPr>
      <w:r>
        <w:rPr>
          <w:rFonts w:ascii="Calibri" w:hAnsi="Calibri"/>
          <w:b w:val="0"/>
          <w:i w:val="0"/>
          <w:color w:val="20243A"/>
          <w:sz w:val="22"/>
        </w:rPr>
        <w:t>Enrutamiento clínico multietiqueta; una queja puede activar varios módulos.</w:t>
      </w:r>
    </w:p>
    <w:p>
      <w:pPr>
        <w:pStyle w:val="ListNumber"/>
      </w:pPr>
      <w:r>
        <w:rPr>
          <w:rFonts w:ascii="Calibri" w:hAnsi="Calibri"/>
          <w:b w:val="0"/>
          <w:i w:val="0"/>
          <w:color w:val="20243A"/>
          <w:sz w:val="22"/>
        </w:rPr>
        <w:t>Cruces y conflictos: por ejemplo, insomnio más ronquido no debe quedar solo en insomnio.</w:t>
      </w:r>
    </w:p>
    <w:p>
      <w:pPr>
        <w:pStyle w:val="ListNumber"/>
      </w:pPr>
      <w:r>
        <w:rPr>
          <w:rFonts w:ascii="Calibri" w:hAnsi="Calibri"/>
          <w:b w:val="0"/>
          <w:i w:val="0"/>
          <w:color w:val="20243A"/>
          <w:sz w:val="22"/>
        </w:rPr>
        <w:t>Redacción y educación.</w:t>
      </w:r>
    </w:p>
    <w:p>
      <w:pPr>
        <w:spacing w:before="60" w:after="180"/>
        <w:ind w:left="115" w:right="115"/>
        <w:shd w:fill="F1F2F8"/>
        <w:pBdr>
          <w:left w:val="single" w:sz="18" w:space="6" w:color="171A3B"/>
        </w:pBdr>
      </w:pPr>
      <w:r>
        <w:rPr>
          <w:rFonts w:ascii="Calibri" w:hAnsi="Calibri"/>
          <w:b/>
          <w:i w:val="0"/>
          <w:color w:val="171A3B"/>
          <w:sz w:val="21"/>
        </w:rPr>
        <w:t xml:space="preserve">Dato desconocido: </w:t>
      </w:r>
      <w:r>
        <w:rPr>
          <w:rFonts w:ascii="Calibri" w:hAnsi="Calibri"/>
          <w:b w:val="0"/>
          <w:i w:val="0"/>
          <w:color w:val="20243A"/>
          <w:sz w:val="21"/>
        </w:rPr>
        <w:t>«No lo sé» se conserva como desconocido. Nunca debe convertirse en «no», especialmente en pausas respiratorias, medicación, consumo, violencia nocturna o riesgo emocional.</w:t>
      </w:r>
    </w:p>
    <w:p>
      <w:pPr>
        <w:sectPr>
          <w:pgSz w:w="12240" w:h="15840"/>
          <w:pgMar w:top="1296" w:right="1224" w:bottom="1224" w:left="1224" w:header="605" w:footer="605" w:gutter="0"/>
          <w:cols w:space="720"/>
          <w:docGrid w:linePitch="360"/>
        </w:sectPr>
      </w:pPr>
    </w:p>
    <w:p>
      <w:pPr>
        <w:pStyle w:val="Heading1"/>
      </w:pPr>
      <w:r>
        <w:t>3. Algoritmo universal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250"/>
        <w:gridCol w:w="3200"/>
        <w:gridCol w:w="3060"/>
      </w:tblGrid>
      <w:tr>
        <w:trPr>
          <w:cantSplit/>
          <w:tblHeader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Paso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Entrada mínima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Regla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Salida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U1 Rol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Elección explícita.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Sin rol no se inicia clínica.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Experiencia y lenguaje correspondientes.</w:t>
            </w:r>
          </w:p>
        </w:tc>
      </w:tr>
      <w:tr>
        <w:trPr>
          <w:cantSplit/>
        </w:trPr>
        <w:tc>
          <w:tcPr>
            <w:tcW w:type="dxa" w:w="8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U2 Elegibilidad</w:t>
            </w:r>
          </w:p>
        </w:tc>
        <w:tc>
          <w:tcPr>
            <w:tcW w:type="dxa" w:w="22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Edad; tutela si menor; confirmación profesional.</w:t>
            </w:r>
          </w:p>
        </w:tc>
        <w:tc>
          <w:tcPr>
            <w:tcW w:type="dxa" w:w="32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Menor directo → detener y pedir participación de adulto responsable.</w:t>
            </w:r>
          </w:p>
        </w:tc>
        <w:tc>
          <w:tcPr>
            <w:tcW w:type="dxa" w:w="30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Consentimiento válido o salida.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U3 Seguridad inicial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Respiración actual, respuesta, crisis, autolesión, conducción, lesión.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Primera coincidencia de mayor prioridad domina.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L0-L4 y posible parada.</w:t>
            </w:r>
          </w:p>
        </w:tc>
      </w:tr>
      <w:tr>
        <w:trPr>
          <w:cantSplit/>
        </w:trPr>
        <w:tc>
          <w:tcPr>
            <w:tcW w:type="dxa" w:w="8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U4 Perfil</w:t>
            </w:r>
          </w:p>
        </w:tc>
        <w:tc>
          <w:tcPr>
            <w:tcW w:type="dxa" w:w="22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Queja, duración/frecuencia, impacto, oportunidad, horarios, medicación/sustancias, contexto.</w:t>
            </w:r>
          </w:p>
        </w:tc>
        <w:tc>
          <w:tcPr>
            <w:tcW w:type="dxa" w:w="32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No generar orientación si faltan campos críticos.</w:t>
            </w:r>
          </w:p>
        </w:tc>
        <w:tc>
          <w:tcPr>
            <w:tcW w:type="dxa" w:w="30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Objeto clínico mínimo.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U5 Rutas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Síntomas por dominio.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Multietiqueta; no usar puntuación global opaca.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Uno o más módulos.</w:t>
            </w:r>
          </w:p>
        </w:tc>
      </w:tr>
      <w:tr>
        <w:trPr>
          <w:cantSplit/>
        </w:trPr>
        <w:tc>
          <w:tcPr>
            <w:tcW w:type="dxa" w:w="8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U6 Cruce</w:t>
            </w:r>
          </w:p>
        </w:tc>
        <w:tc>
          <w:tcPr>
            <w:tcW w:type="dxa" w:w="22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Respuestas nuevas.</w:t>
            </w:r>
          </w:p>
        </w:tc>
        <w:tc>
          <w:tcPr>
            <w:tcW w:type="dxa" w:w="32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Reejecutar safety gate en cada respuesta relevante.</w:t>
            </w:r>
          </w:p>
        </w:tc>
        <w:tc>
          <w:tcPr>
            <w:tcW w:type="dxa" w:w="30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Escalada o continuidad.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U7 Salida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Hechos y reglas.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Máximo tres patrones; sin probabilidades de enfermedad.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Resumen y siguiente paso.</w:t>
            </w:r>
          </w:p>
        </w:tc>
      </w:tr>
    </w:tbl>
    <w:p>
      <w:pPr>
        <w:spacing w:after="40"/>
      </w:pPr>
    </w:p>
    <w:p>
      <w:pPr>
        <w:pStyle w:val="Heading2"/>
      </w:pPr>
      <w:r>
        <w:t>3.1. Pseudocódigo de referencia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role = require_role_and_eligibility()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safety = run_deterministic_safety_gate(all_known_answers)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if safety.stop: render_approved_safety_message(); log(); end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profile = collect_minimum_dataset(role)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routes = activate_all_matching_modules(profile)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for each new answer: rerun_safety_gate()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result = compile_facts_rules_unknowns_and_next_step()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summary = constrained_generation(result) or deterministic_template(result)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scan_forbidden_phrases(summary); render; log_version_and_rules()</w:t>
      </w:r>
    </w:p>
    <w:p>
      <w:pPr>
        <w:pStyle w:val="Heading1"/>
      </w:pPr>
      <w:r>
        <w:t>4. Reglas de seguridad y prioridad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920"/>
        <w:gridCol w:w="2940"/>
      </w:tblGrid>
      <w:tr>
        <w:trPr>
          <w:cantSplit/>
          <w:tblHeader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Nivel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Cuándo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Conducta del sistema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L0 · Emergencia actual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Dificultad respiratoria intensa presente, coloración azulada, pérdida de respuesta o crisis convulsiva en curso.; Riesgo inmediato de autolesión o de dañar a otra persona.; En un menor: pausas respiratorias acompañadas de coloración azulada, gran esfuerzo respiratorio o mala respuesta.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Interrumpir el flujo ordinario. Indicar atención de emergencia local ahora y no mostrar hipótesis tranquilizadoras.</w:t>
            </w:r>
          </w:p>
        </w:tc>
      </w:tr>
      <w:tr>
        <w:trPr>
          <w:cantSplit/>
        </w:trPr>
        <w:tc>
          <w:tcPr>
            <w:tcW w:type="dxa" w:w="15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L1 · Valoración urgente / mismo día</w:t>
            </w:r>
          </w:p>
        </w:tc>
        <w:tc>
          <w:tcPr>
            <w:tcW w:type="dxa" w:w="492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Primer episodio compatible con crisis nocturna ya finalizada o nuevo déficit neurológico.; Somnolencia que ha provocado quedarse dormido al volante, accidente o casi accidente.; Conducta nocturna violenta o lesiva reciente con riesgo de repetición.; Pausas respiratorias repetidas con somnolencia marcada o deterioro clínico relevante.</w:t>
            </w:r>
          </w:p>
        </w:tc>
        <w:tc>
          <w:tcPr>
            <w:tcW w:type="dxa" w:w="294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Recomendar no conducir ni realizar tareas de riesgo y buscar valoración clínica urgente según el contexto local.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L2 · Consulta prioritaria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Ronquido habitual con pausas, jadeos o somnolencia diurna.; Somnolencia excesiva persistente o sospecha de cataplejía/narcolepsia.; Parasomnia compleja, de nueva aparición en adulto, con salidas del domicilio o lesiones.; Menor con ronquido habitual y signos respiratorios, conductuales, escolares o de crecimiento preocupantes.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Preparar una consulta prioritaria en Atención Primaria/Pediatría, que decidirá pruebas o derivación.</w:t>
            </w:r>
          </w:p>
        </w:tc>
      </w:tr>
      <w:tr>
        <w:trPr>
          <w:cantSplit/>
        </w:trPr>
        <w:tc>
          <w:tcPr>
            <w:tcW w:type="dxa" w:w="15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L3 · Consulta programada</w:t>
            </w:r>
          </w:p>
        </w:tc>
        <w:tc>
          <w:tcPr>
            <w:tcW w:type="dxa" w:w="492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Síntomas persistentes, repetidos o con repercusión diurna sin señales de urgencia.; Dificultad de sueño de tres meses o más, o varios problemas coexistentes.; Necesidad de revisar medicación, sustancias, salud mental o enfermedades asociadas.</w:t>
            </w:r>
          </w:p>
        </w:tc>
        <w:tc>
          <w:tcPr>
            <w:tcW w:type="dxa" w:w="294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Preparar una consulta programada con un resumen, diario de sueño y lista de medicación/sustancias.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L4 · Información y observación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Molestia leve, reciente, sin deterioro funcional ni señales de alarma.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Ofrecer educación general y observación limitada; explicar qué cambios justificarían consulta.</w:t>
            </w:r>
          </w:p>
        </w:tc>
      </w:tr>
    </w:tbl>
    <w:p>
      <w:pPr>
        <w:spacing w:after="40"/>
      </w:pPr>
    </w:p>
    <w:p>
      <w:pPr>
        <w:spacing w:before="60" w:after="180"/>
        <w:ind w:left="115" w:right="115"/>
        <w:shd w:fill="EFEDFC"/>
        <w:pBdr>
          <w:left w:val="single" w:sz="18" w:space="6" w:color="6D5CE7"/>
        </w:pBdr>
      </w:pPr>
      <w:r>
        <w:rPr>
          <w:rFonts w:ascii="Calibri" w:hAnsi="Calibri"/>
          <w:b/>
          <w:i w:val="0"/>
          <w:color w:val="6D5CE7"/>
          <w:sz w:val="21"/>
        </w:rPr>
        <w:t xml:space="preserve">No falsa tranquilidad: </w:t>
      </w:r>
      <w:r>
        <w:rPr>
          <w:rFonts w:ascii="Calibri" w:hAnsi="Calibri"/>
          <w:b w:val="0"/>
          <w:i w:val="0"/>
          <w:color w:val="20243A"/>
          <w:sz w:val="21"/>
        </w:rPr>
        <w:t>Una salida L3 o L4 solo significa que no se ha comunicado una señal de mayor prioridad. No significa que no exista enfermedad. La interfaz debe mostrar «con la información disponible» y qué cambios obligan a consultar antes.</w:t>
      </w:r>
    </w:p>
    <w:p>
      <w:pPr>
        <w:pStyle w:val="Heading2"/>
      </w:pPr>
      <w:r>
        <w:t>4.1. Reglas críticas implementables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5200"/>
        <w:gridCol w:w="1000"/>
        <w:gridCol w:w="1910"/>
      </w:tblGrid>
      <w:tr>
        <w:trPr>
          <w:cantSplit/>
          <w:tblHeader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Disparador resumido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Nivel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Parada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SAFE-001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current_severe_breathing_problem OR cyanosis OR unresponsive OR seizure_in_progress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L0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Sí</w:t>
            </w:r>
          </w:p>
        </w:tc>
      </w:tr>
      <w:tr>
        <w:trPr>
          <w:cantSplit/>
        </w:trPr>
        <w:tc>
          <w:tcPr>
            <w:tcW w:type="dxa" w:w="12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SAFE-002</w:t>
            </w:r>
          </w:p>
        </w:tc>
        <w:tc>
          <w:tcPr>
            <w:tcW w:type="dxa" w:w="52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immediate_self_harm_or_harm_to_others</w:t>
            </w:r>
          </w:p>
        </w:tc>
        <w:tc>
          <w:tcPr>
            <w:tcW w:type="dxa" w:w="10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L0</w:t>
            </w:r>
          </w:p>
        </w:tc>
        <w:tc>
          <w:tcPr>
            <w:tcW w:type="dxa" w:w="191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Sí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SAFE-003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fell_asleep_driving OR sleepiness_accident OR sleepiness_near_miss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L1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Sí</w:t>
            </w:r>
          </w:p>
        </w:tc>
      </w:tr>
      <w:tr>
        <w:trPr>
          <w:cantSplit/>
        </w:trPr>
        <w:tc>
          <w:tcPr>
            <w:tcW w:type="dxa" w:w="12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SAFE-004</w:t>
            </w:r>
          </w:p>
        </w:tc>
        <w:tc>
          <w:tcPr>
            <w:tcW w:type="dxa" w:w="52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first_suspected_nocturnal_seizure OR new_neurological_deficit</w:t>
            </w:r>
          </w:p>
        </w:tc>
        <w:tc>
          <w:tcPr>
            <w:tcW w:type="dxa" w:w="10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L1</w:t>
            </w:r>
          </w:p>
        </w:tc>
        <w:tc>
          <w:tcPr>
            <w:tcW w:type="dxa" w:w="191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Sí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SAFE-005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recent_violent_or_injurious_sleep_behavior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L1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No; continúa tras mostrar alerta</w:t>
            </w:r>
          </w:p>
        </w:tc>
      </w:tr>
      <w:tr>
        <w:trPr>
          <w:cantSplit/>
        </w:trPr>
        <w:tc>
          <w:tcPr>
            <w:tcW w:type="dxa" w:w="12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SAFE-006</w:t>
            </w:r>
          </w:p>
        </w:tc>
        <w:tc>
          <w:tcPr>
            <w:tcW w:type="dxa" w:w="52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witnessed_apneas AND (marked_sleepiness OR significant_deterioration)</w:t>
            </w:r>
          </w:p>
        </w:tc>
        <w:tc>
          <w:tcPr>
            <w:tcW w:type="dxa" w:w="10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L1</w:t>
            </w:r>
          </w:p>
        </w:tc>
        <w:tc>
          <w:tcPr>
            <w:tcW w:type="dxa" w:w="191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No; continúa tras mostrar alerta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SAFE-007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possible_cataplexy OR persistent_irresistible_sleep_attacks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L2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No; continúa tras mostrar alerta</w:t>
            </w:r>
          </w:p>
        </w:tc>
      </w:tr>
      <w:tr>
        <w:trPr>
          <w:cantSplit/>
        </w:trPr>
        <w:tc>
          <w:tcPr>
            <w:tcW w:type="dxa" w:w="12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SAFE-008</w:t>
            </w:r>
          </w:p>
        </w:tc>
        <w:tc>
          <w:tcPr>
            <w:tcW w:type="dxa" w:w="52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minor_habitual_snoring AND (witnessed_apneas OR gasping OR labored_breathing OR daytime_behavior_learning_growth_concern)</w:t>
            </w:r>
          </w:p>
        </w:tc>
        <w:tc>
          <w:tcPr>
            <w:tcW w:type="dxa" w:w="10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L2</w:t>
            </w:r>
          </w:p>
        </w:tc>
        <w:tc>
          <w:tcPr>
            <w:tcW w:type="dxa" w:w="191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No; continúa tras mostrar alerta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SAFE-009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sedative_medication_or_substance AND breathing_concern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L2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No; continúa tras mostrar alerta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color w:val="20243A"/>
          <w:sz w:val="22"/>
        </w:rPr>
        <w:t>La redacción exacta de emergencia debe adaptarse al país de despliegue y revisarse con el circuito asistencial local. No se deben incorporar teléfonos o recursos concretos sin geolocalización y mantenimiento verificado.</w:t>
      </w:r>
    </w:p>
    <w:p>
      <w:pPr>
        <w:sectPr>
          <w:pgSz w:w="12240" w:h="15840"/>
          <w:pgMar w:top="1296" w:right="1224" w:bottom="1224" w:left="1224" w:header="605" w:footer="605" w:gutter="0"/>
          <w:cols w:space="720"/>
          <w:docGrid w:linePitch="360"/>
        </w:sectPr>
      </w:pPr>
    </w:p>
    <w:p>
      <w:pPr>
        <w:pStyle w:val="Heading1"/>
      </w:pPr>
      <w:r>
        <w:t>5. Algoritmos por rol</w:t>
      </w:r>
    </w:p>
    <w:p>
      <w:pPr>
        <w:pStyle w:val="Heading2"/>
      </w:pPr>
      <w:r>
        <w:t>5.1. Paciente adulto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blHeader/>
        </w:trPr>
        <w:tc>
          <w:tcPr>
            <w:tcW w:type="dxa" w:w="8856"/>
            <w:tcMar>
              <w:top w:w="110" w:type="dxa"/>
              <w:start w:w="160" w:type="dxa"/>
              <w:bottom w:w="110" w:type="dxa"/>
              <w:end w:w="160" w:type="dxa"/>
            </w:tcMar>
            <w:shd w:fill="E8F6F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9D92"/>
                <w:sz w:val="20"/>
              </w:rPr>
              <w:t>A1</w:t>
              <w:br/>
            </w: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Confirmar ≥18 años y aceptación de límites</w:t>
            </w:r>
          </w:p>
        </w:tc>
      </w:tr>
      <w:tr>
        <w:tc>
          <w:tcPr>
            <w:tcW w:type="dxa" w:w="9792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1657A"/>
                <w:sz w:val="28"/>
              </w:rPr>
              <w:t>↓</w:t>
            </w:r>
          </w:p>
        </w:tc>
      </w:tr>
      <w:tr>
        <w:tc>
          <w:tcPr>
            <w:tcW w:type="dxa" w:w="8856"/>
            <w:tcMar>
              <w:top w:w="110" w:type="dxa"/>
              <w:start w:w="160" w:type="dxa"/>
              <w:bottom w:w="110" w:type="dxa"/>
              <w:end w:w="160" w:type="dxa"/>
            </w:tcMar>
            <w:shd w:fill="EFED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D5CE7"/>
                <w:sz w:val="20"/>
              </w:rPr>
              <w:t>A2</w:t>
              <w:br/>
            </w: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Safety gate</w:t>
            </w:r>
          </w:p>
        </w:tc>
      </w:tr>
      <w:tr>
        <w:tc>
          <w:tcPr>
            <w:tcW w:type="dxa" w:w="9792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1657A"/>
                <w:sz w:val="28"/>
              </w:rPr>
              <w:t>↓</w:t>
            </w:r>
          </w:p>
        </w:tc>
      </w:tr>
      <w:tr>
        <w:tc>
          <w:tcPr>
            <w:tcW w:type="dxa" w:w="8856"/>
            <w:tcMar>
              <w:top w:w="110" w:type="dxa"/>
              <w:start w:w="160" w:type="dxa"/>
              <w:bottom w:w="110" w:type="dxa"/>
              <w:end w:w="160" w:type="dxa"/>
            </w:tcMar>
            <w:shd w:fill="E8F6F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9D92"/>
                <w:sz w:val="20"/>
              </w:rPr>
              <w:t>A3</w:t>
              <w:br/>
            </w: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Motivo principal y repercusión</w:t>
            </w:r>
          </w:p>
        </w:tc>
      </w:tr>
      <w:tr>
        <w:tc>
          <w:tcPr>
            <w:tcW w:type="dxa" w:w="9792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1657A"/>
                <w:sz w:val="28"/>
              </w:rPr>
              <w:t>↓</w:t>
            </w:r>
          </w:p>
        </w:tc>
      </w:tr>
      <w:tr>
        <w:tc>
          <w:tcPr>
            <w:tcW w:type="dxa" w:w="8856"/>
            <w:tcMar>
              <w:top w:w="110" w:type="dxa"/>
              <w:start w:w="160" w:type="dxa"/>
              <w:bottom w:w="110" w:type="dxa"/>
              <w:end w:w="160" w:type="dxa"/>
            </w:tcMar>
            <w:shd w:fill="EFED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D5CE7"/>
                <w:sz w:val="20"/>
              </w:rPr>
              <w:t>A4</w:t>
              <w:br/>
            </w: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Activar módulos y cruces</w:t>
            </w:r>
          </w:p>
        </w:tc>
      </w:tr>
      <w:tr>
        <w:tc>
          <w:tcPr>
            <w:tcW w:type="dxa" w:w="9792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1657A"/>
                <w:sz w:val="28"/>
              </w:rPr>
              <w:t>↓</w:t>
            </w:r>
          </w:p>
        </w:tc>
      </w:tr>
      <w:tr>
        <w:tc>
          <w:tcPr>
            <w:tcW w:type="dxa" w:w="8856"/>
            <w:tcMar>
              <w:top w:w="110" w:type="dxa"/>
              <w:start w:w="160" w:type="dxa"/>
              <w:bottom w:w="110" w:type="dxa"/>
              <w:end w:w="160" w:type="dxa"/>
            </w:tcMar>
            <w:shd w:fill="E8F6F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9D92"/>
                <w:sz w:val="20"/>
              </w:rPr>
              <w:t>A5</w:t>
              <w:br/>
            </w: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Resumen descriptivo + nivel de consulta + preparación</w:t>
            </w:r>
          </w:p>
        </w:tc>
      </w:tr>
    </w:tbl>
    <w:p/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Hablar en segunda persona y repetir únicamente hechos comunicados.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No mostrar listas largas de diagnósticos ni porcentajes de riesgo.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Si coexisten quejas, priorizar seguridad y después el motivo con mayor repercusión.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Ofrecer diario de sueño y lista de medicación/sustancias como preparación, no como tratamiento.</w:t>
      </w:r>
    </w:p>
    <w:p>
      <w:pPr>
        <w:pStyle w:val="Heading2"/>
      </w:pPr>
      <w:r>
        <w:t>5.2. Padre, madre o tutor</w:t>
      </w:r>
    </w:p>
    <w:p>
      <w:pPr>
        <w:spacing w:before="60" w:after="180"/>
        <w:ind w:left="115" w:right="115"/>
        <w:shd w:fill="E8F6F4"/>
        <w:pBdr>
          <w:left w:val="single" w:sz="18" w:space="6" w:color="1F9D92"/>
        </w:pBdr>
      </w:pPr>
      <w:r>
        <w:rPr>
          <w:rFonts w:ascii="Calibri" w:hAnsi="Calibri"/>
          <w:b/>
          <w:i w:val="0"/>
          <w:color w:val="1F9D92"/>
          <w:sz w:val="21"/>
        </w:rPr>
        <w:t xml:space="preserve">Decisión de producto: </w:t>
      </w:r>
      <w:r>
        <w:rPr>
          <w:rFonts w:ascii="Calibri" w:hAnsi="Calibri"/>
          <w:b w:val="0"/>
          <w:i w:val="0"/>
          <w:color w:val="20243A"/>
          <w:sz w:val="21"/>
        </w:rPr>
        <w:t>No existe una marca ni un chatbot pediátrico independiente. Toda consulta sobre menores entra por Morpheo y la conversación la mantiene un adulto responsable. La salida se dirige al adulto y evita responsabilizar al menor.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960"/>
        <w:gridCol w:w="4950"/>
      </w:tblGrid>
      <w:tr>
        <w:trPr>
          <w:cantSplit/>
          <w:tblHeader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Edad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Referencia de duración de sueño AASM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Foco adicional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0-3 meses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Sin rango recomendado por variabilidad.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Respiración, alimentación, ganancia ponderal y respuesta; umbral bajo de valoración.</w:t>
            </w:r>
          </w:p>
        </w:tc>
      </w:tr>
      <w:tr>
        <w:trPr>
          <w:cantSplit/>
        </w:trPr>
        <w:tc>
          <w:tcPr>
            <w:tcW w:type="dxa" w:w="14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4-11 meses</w:t>
            </w:r>
          </w:p>
        </w:tc>
        <w:tc>
          <w:tcPr>
            <w:tcW w:type="dxa" w:w="29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12-16 h/24 h, incluidas siestas.</w:t>
            </w:r>
          </w:p>
        </w:tc>
        <w:tc>
          <w:tcPr>
            <w:tcW w:type="dxa" w:w="49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Seguridad respiratoria, despertares y contexto familiar.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1-2 años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11-14 h/24 h, incluidas siestas.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Rutinas, siestas, ronquido y conductas.</w:t>
            </w:r>
          </w:p>
        </w:tc>
      </w:tr>
      <w:tr>
        <w:trPr>
          <w:cantSplit/>
        </w:trPr>
        <w:tc>
          <w:tcPr>
            <w:tcW w:type="dxa" w:w="14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3-5 años</w:t>
            </w:r>
          </w:p>
        </w:tc>
        <w:tc>
          <w:tcPr>
            <w:tcW w:type="dxa" w:w="29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10-13 h/24 h, incluidas siestas.</w:t>
            </w:r>
          </w:p>
        </w:tc>
        <w:tc>
          <w:tcPr>
            <w:tcW w:type="dxa" w:w="49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Ronquido, parasomnias, conducta diurna.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6-12 años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9-12 h/24 h.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Escuela, hiperactividad/somnolencia, respiración y horarios.</w:t>
            </w:r>
          </w:p>
        </w:tc>
      </w:tr>
      <w:tr>
        <w:trPr>
          <w:cantSplit/>
        </w:trPr>
        <w:tc>
          <w:tcPr>
            <w:tcW w:type="dxa" w:w="14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13-17 años</w:t>
            </w:r>
          </w:p>
        </w:tc>
        <w:tc>
          <w:tcPr>
            <w:tcW w:type="dxa" w:w="29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8-10 h/24 h.</w:t>
            </w:r>
          </w:p>
        </w:tc>
        <w:tc>
          <w:tcPr>
            <w:tcW w:type="dxa" w:w="49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Privación, ritmo tardío, salud mental, sustancias y conducción.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Los rangos son una referencia poblacional, no un diagnóstico de sueño insuficiente.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Ronquido habitual más pausas, jadeos, esfuerzo respiratorio o problemas diurnos activa valoración pediátrica.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No usar STOP-Bang adulto ni extrapolar umbrales de adultos.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No recomendar melatonina, antihistamínicos, suplementos o cambios de medicación.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Si el adulto no es padre/madre/tutor o no acepta el circuito, limitarse a información general.</w:t>
      </w:r>
    </w:p>
    <w:p>
      <w:pPr>
        <w:pStyle w:val="Heading2"/>
      </w:pPr>
      <w:r>
        <w:t>5.3. Profesional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Bloque de salida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Resumen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Edad, queja, cronología, repercusión, oportunidad de sueño y datos positivos/negativos/desconocidos.</w:t>
            </w:r>
          </w:p>
        </w:tc>
      </w:tr>
      <w:tr>
        <w:trPr>
          <w:cantSplit/>
        </w:trPr>
        <w:tc>
          <w:tcPr>
            <w:tcW w:type="dxa" w:w="21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Seguridad</w:t>
            </w:r>
          </w:p>
        </w:tc>
        <w:tc>
          <w:tcPr>
            <w:tcW w:type="dxa" w:w="72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Banderas rojas, regla exacta y urgencia. Sin texto generativo libre.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Orientación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Hipótesis principal y diferenciales revisables, con hechos a favor/en contra.</w:t>
            </w:r>
          </w:p>
        </w:tc>
      </w:tr>
      <w:tr>
        <w:trPr>
          <w:cantSplit/>
        </w:trPr>
        <w:tc>
          <w:tcPr>
            <w:tcW w:type="dxa" w:w="21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Pendientes</w:t>
            </w:r>
          </w:p>
        </w:tc>
        <w:tc>
          <w:tcPr>
            <w:tcW w:type="dxa" w:w="72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Preguntas que pueden cambiar prioridad o diferencial.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Instrumentos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Qué escala/diario podría ayudar y qué no puede concluir; comprobar licencia.</w:t>
            </w:r>
          </w:p>
        </w:tc>
      </w:tr>
      <w:tr>
        <w:trPr>
          <w:cantSplit/>
        </w:trPr>
        <w:tc>
          <w:tcPr>
            <w:tcW w:type="dxa" w:w="21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Siguiente paso</w:t>
            </w:r>
          </w:p>
        </w:tc>
        <w:tc>
          <w:tcPr>
            <w:tcW w:type="dxa" w:w="72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Opciones a considerar según guía y contexto local; decisión del profesional.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Trazabilidad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Versión, fuentes, reglas y fecha.</w:t>
            </w:r>
          </w:p>
        </w:tc>
      </w:tr>
    </w:tbl>
    <w:p>
      <w:pPr>
        <w:spacing w:after="40"/>
      </w:pPr>
    </w:p>
    <w:p>
      <w:pPr>
        <w:spacing w:before="60" w:after="180"/>
        <w:ind w:left="115" w:right="115"/>
        <w:shd w:fill="EFEDFC"/>
        <w:pBdr>
          <w:left w:val="single" w:sz="18" w:space="6" w:color="6D5CE7"/>
        </w:pBdr>
      </w:pPr>
      <w:r>
        <w:rPr>
          <w:rFonts w:ascii="Calibri" w:hAnsi="Calibri"/>
          <w:b/>
          <w:i w:val="0"/>
          <w:color w:val="6D5CE7"/>
          <w:sz w:val="21"/>
        </w:rPr>
        <w:t xml:space="preserve">Privacidad del beta: </w:t>
      </w:r>
      <w:r>
        <w:rPr>
          <w:rFonts w:ascii="Calibri" w:hAnsi="Calibri"/>
          <w:b w:val="0"/>
          <w:i w:val="0"/>
          <w:color w:val="20243A"/>
          <w:sz w:val="21"/>
        </w:rPr>
        <w:t>El modo profesional de validación debe usar casos simulados o anonimizados. No se solicitarán nombres, identificadores, direcciones ni fragmentos de historia clínica real hasta disponer de base jurídica, seguridad y gobernanza aprobadas.</w:t>
      </w:r>
    </w:p>
    <w:p>
      <w:pPr>
        <w:pStyle w:val="Heading1"/>
      </w:pPr>
      <w:r>
        <w:t>6. Rutas clínicas</w:t>
      </w:r>
    </w:p>
    <w:p>
      <w:pPr>
        <w:pStyle w:val="Heading2"/>
      </w:pPr>
      <w:r>
        <w:t>6.1. Dificultad para dormir · INS</w:t>
      </w:r>
    </w:p>
    <w:p>
      <w:r>
        <w:rPr>
          <w:rFonts w:ascii="Calibri" w:hAnsi="Calibri"/>
          <w:b w:val="0"/>
          <w:i w:val="0"/>
          <w:color w:val="20243A"/>
          <w:sz w:val="22"/>
        </w:rPr>
        <w:t>Entrada: dificultad para conciliar; despertares; despertar precoz; sueño no reparador.</w:t>
      </w:r>
    </w:p>
    <w:p>
      <w:pPr>
        <w:pStyle w:val="Heading3"/>
      </w:pPr>
      <w:r>
        <w:t>Preguntas mínimas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¿Qué ocurre exactamente: inicio, mantenimiento, despertar precoz o sueño no reparador?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¿Desde cuándo, cuántas noches por semana y con qué variación?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¿Existe oportunidad y condiciones suficientes para dormir?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¿Qué repercusión diurna tiene?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¿Cuáles son los horarios en días laborales y libres, siestas y tiempo en cama?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¿Hay ronquido/pausas, piernas inquietas, dolor, síntomas afectivos, sustancias o medicación relacionados?</w:t>
      </w:r>
    </w:p>
    <w:p>
      <w:pPr>
        <w:pStyle w:val="Heading3"/>
      </w:pPr>
      <w:r>
        <w:t>Reglas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Usar duración ≥3 meses y frecuencia ≥3 noches/semana solo como marcadores de cronicidad para revisión clínica, nunca como diagnóstico automático.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Si hay somnolencia marcada, ronquido/pausas, movimientos o conductas, activar también el módulo correspondiente.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No recomendar iniciar, suspender o ajustar hipnóticos, benzodiacepinas, fármacos Z, melatonina u otros medicamentos.</w:t>
      </w:r>
    </w:p>
    <w:p>
      <w:pPr>
        <w:spacing w:before="60" w:after="180"/>
        <w:ind w:left="115" w:right="115"/>
        <w:shd w:fill="F1F2F8"/>
        <w:pBdr>
          <w:left w:val="single" w:sz="18" w:space="6" w:color="171A3B"/>
        </w:pBdr>
      </w:pPr>
      <w:r>
        <w:rPr>
          <w:rFonts w:ascii="Calibri" w:hAnsi="Calibri"/>
          <w:b/>
          <w:i w:val="0"/>
          <w:color w:val="171A3B"/>
          <w:sz w:val="21"/>
        </w:rPr>
        <w:t xml:space="preserve">Salida aprobada: </w:t>
      </w:r>
      <w:r>
        <w:rPr>
          <w:rFonts w:ascii="Calibri" w:hAnsi="Calibri"/>
          <w:b w:val="0"/>
          <w:i w:val="0"/>
          <w:color w:val="20243A"/>
          <w:sz w:val="21"/>
        </w:rPr>
        <w:t>«Has comunicado un patrón de dificultad para dormir con [repercusión]. Conviene valorar factores que lo mantienen y descartar otros problemas coexistentes.»</w:t>
      </w:r>
    </w:p>
    <w:p>
      <w:r>
        <w:rPr>
          <w:rFonts w:ascii="Calibri" w:hAnsi="Calibri"/>
          <w:b w:val="0"/>
          <w:i w:val="0"/>
          <w:color w:val="20243A"/>
          <w:sz w:val="22"/>
        </w:rPr>
        <w:t>Base: SRC-01, SRC-14.</w:t>
      </w:r>
    </w:p>
    <w:p>
      <w:pPr>
        <w:pStyle w:val="Heading2"/>
      </w:pPr>
      <w:r>
        <w:t>6.2. Respiración durante el sueño · BRE</w:t>
      </w:r>
    </w:p>
    <w:p>
      <w:r>
        <w:rPr>
          <w:rFonts w:ascii="Calibri" w:hAnsi="Calibri"/>
          <w:b w:val="0"/>
          <w:i w:val="0"/>
          <w:color w:val="20243A"/>
          <w:sz w:val="22"/>
        </w:rPr>
        <w:t>Entrada: ronquido; pausas presenciadas; jadeos/ahogos; sueño no reparador; cefalea matutina.</w:t>
      </w:r>
    </w:p>
    <w:p>
      <w:pPr>
        <w:pStyle w:val="Heading3"/>
      </w:pPr>
      <w:r>
        <w:t>Preguntas mínimas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¿Hay ronquido habitual y pausas, jadeos o ahogos presenciados?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¿Existe sueño no reparador, cefalea matutina, nocturia, fragmentación o somnolencia?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En adultos: ¿hay obesidad, hipertensión resistente, diabetes tipo 2, fibrilación auricular, ictus/AIT o insuficiencia cardiaca?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En menores: ¿hay esfuerzo respiratorio, respiración oral, postura extraña, hiperactividad, dificultad escolar o problemas de crecimiento?</w:t>
      </w:r>
    </w:p>
    <w:p>
      <w:pPr>
        <w:pStyle w:val="Heading3"/>
      </w:pPr>
      <w:r>
        <w:t>Reglas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En adultos, dos o más características clínicas de NICE justifican elevar la sospecha y recomendar evaluación; no equivalen a diagnóstico.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Epworth estima somnolencia y STOP-Bang cribado de AOS; ninguno confirma ni excluye AOS.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En menores, ronquido habitual más síntomas o signos requiere valoración pediátrica; la prueba diagnóstica la decide el clínico.</w:t>
      </w:r>
    </w:p>
    <w:p>
      <w:pPr>
        <w:spacing w:before="60" w:after="180"/>
        <w:ind w:left="115" w:right="115"/>
        <w:shd w:fill="F1F2F8"/>
        <w:pBdr>
          <w:left w:val="single" w:sz="18" w:space="6" w:color="171A3B"/>
        </w:pBdr>
      </w:pPr>
      <w:r>
        <w:rPr>
          <w:rFonts w:ascii="Calibri" w:hAnsi="Calibri"/>
          <w:b/>
          <w:i w:val="0"/>
          <w:color w:val="171A3B"/>
          <w:sz w:val="21"/>
        </w:rPr>
        <w:t xml:space="preserve">Salida aprobada: </w:t>
      </w:r>
      <w:r>
        <w:rPr>
          <w:rFonts w:ascii="Calibri" w:hAnsi="Calibri"/>
          <w:b w:val="0"/>
          <w:i w:val="0"/>
          <w:color w:val="20243A"/>
          <w:sz w:val="21"/>
        </w:rPr>
        <w:t>«Las señales respiratorias que describes justifican una valoración clínica para decidir si son necesarias pruebas de sueño.»</w:t>
      </w:r>
    </w:p>
    <w:p>
      <w:r>
        <w:rPr>
          <w:rFonts w:ascii="Calibri" w:hAnsi="Calibri"/>
          <w:b w:val="0"/>
          <w:i w:val="0"/>
          <w:color w:val="20243A"/>
          <w:sz w:val="22"/>
        </w:rPr>
        <w:t>Base: SRC-02, SRC-03, SRC-05, SRC-11, SRC-12.</w:t>
      </w:r>
    </w:p>
    <w:p>
      <w:pPr>
        <w:pStyle w:val="Heading2"/>
      </w:pPr>
      <w:r>
        <w:t>6.3. Somnolencia diurna · SLP</w:t>
      </w:r>
    </w:p>
    <w:p>
      <w:r>
        <w:rPr>
          <w:rFonts w:ascii="Calibri" w:hAnsi="Calibri"/>
          <w:b w:val="0"/>
          <w:i w:val="0"/>
          <w:color w:val="20243A"/>
          <w:sz w:val="22"/>
        </w:rPr>
        <w:t>Entrada: quedarse dormido; cabeceos; necesidad irresistible de dormir; somnolencia al volante.</w:t>
      </w:r>
    </w:p>
    <w:p>
      <w:pPr>
        <w:pStyle w:val="Heading3"/>
      </w:pPr>
      <w:r>
        <w:t>Preguntas mínimas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¿Es somnolencia (posibilidad de dormirse) o cansancio sin sueño?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¿Cuánto tiempo real se duerme y hay privación, turnos o horarios irregulares?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¿Hay episodios al conducir, trabajar en altura o manejar maquinaria?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¿Hay ronquido/pausas, medicación sedante, alcohol u otras sustancias?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¿Hay debilidad muscular breve con emociones, parálisis del sueño o alucinaciones al dormir/despertar?</w:t>
      </w:r>
    </w:p>
    <w:p>
      <w:pPr>
        <w:pStyle w:val="Heading3"/>
      </w:pPr>
      <w:r>
        <w:t>Reglas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Cualquier riesgo de conducción activa una salida de seguridad antes del resto.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La somnolencia es un síntoma; Morpheo no atribuye automáticamente la causa.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Somnolencia persistente con cataplejía posible u otros rasgos de narcolepsia requiere evaluación especializada.</w:t>
      </w:r>
    </w:p>
    <w:p>
      <w:pPr>
        <w:spacing w:before="60" w:after="180"/>
        <w:ind w:left="115" w:right="115"/>
        <w:shd w:fill="F1F2F8"/>
        <w:pBdr>
          <w:left w:val="single" w:sz="18" w:space="6" w:color="171A3B"/>
        </w:pBdr>
      </w:pPr>
      <w:r>
        <w:rPr>
          <w:rFonts w:ascii="Calibri" w:hAnsi="Calibri"/>
          <w:b/>
          <w:i w:val="0"/>
          <w:color w:val="171A3B"/>
          <w:sz w:val="21"/>
        </w:rPr>
        <w:t xml:space="preserve">Salida aprobada: </w:t>
      </w:r>
      <w:r>
        <w:rPr>
          <w:rFonts w:ascii="Calibri" w:hAnsi="Calibri"/>
          <w:b w:val="0"/>
          <w:i w:val="0"/>
          <w:color w:val="20243A"/>
          <w:sz w:val="21"/>
        </w:rPr>
        <w:t>«Has comunicado somnolencia diurna. Es importante distinguir su gravedad, la oportunidad de sueño y posibles causas respiratorias, farmacológicas o neurológicas.»</w:t>
      </w:r>
    </w:p>
    <w:p>
      <w:r>
        <w:rPr>
          <w:rFonts w:ascii="Calibri" w:hAnsi="Calibri"/>
          <w:b w:val="0"/>
          <w:i w:val="0"/>
          <w:color w:val="20243A"/>
          <w:sz w:val="22"/>
        </w:rPr>
        <w:t>Base: SRC-03, SRC-04, SRC-09, SRC-11.</w:t>
      </w:r>
    </w:p>
    <w:p>
      <w:pPr>
        <w:pStyle w:val="Heading2"/>
      </w:pPr>
      <w:r>
        <w:t>6.4. Horario y ritmo sueño-vigilia · CIR</w:t>
      </w:r>
    </w:p>
    <w:p>
      <w:r>
        <w:rPr>
          <w:rFonts w:ascii="Calibri" w:hAnsi="Calibri"/>
          <w:b w:val="0"/>
          <w:i w:val="0"/>
          <w:color w:val="20243A"/>
          <w:sz w:val="22"/>
        </w:rPr>
        <w:t>Entrada: dormirse muy tarde; despertarse muy pronto; turnos; jet lag; horario irregular.</w:t>
      </w:r>
    </w:p>
    <w:p>
      <w:pPr>
        <w:pStyle w:val="Heading3"/>
      </w:pPr>
      <w:r>
        <w:t>Preguntas mínimas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¿A qué hora aparece el sueño y a qué hora se duerme/despierta en días laborales y libres?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¿Se duerme bien cuando se permite seguir el horario preferido?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¿Hay turnos, viajes, obligaciones escolares/laborales o exposición nocturna a luz/pantallas?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¿Durante cuánto tiempo se mantiene el patrón y qué impacto tiene?</w:t>
      </w:r>
    </w:p>
    <w:p>
      <w:pPr>
        <w:pStyle w:val="Heading3"/>
      </w:pPr>
      <w:r>
        <w:t>Reglas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Solicitar un diario de sueño de 14 días cuando sea viable.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La actigrafía puede apoyar la evaluación profesional; Morpheo no interpreta un wearable como diagnóstico.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Diferenciar tiempo insuficiente para dormir de un posible desajuste circadiano.</w:t>
      </w:r>
    </w:p>
    <w:p>
      <w:pPr>
        <w:spacing w:before="60" w:after="180"/>
        <w:ind w:left="115" w:right="115"/>
        <w:shd w:fill="F1F2F8"/>
        <w:pBdr>
          <w:left w:val="single" w:sz="18" w:space="6" w:color="171A3B"/>
        </w:pBdr>
      </w:pPr>
      <w:r>
        <w:rPr>
          <w:rFonts w:ascii="Calibri" w:hAnsi="Calibri"/>
          <w:b/>
          <w:i w:val="0"/>
          <w:color w:val="171A3B"/>
          <w:sz w:val="21"/>
        </w:rPr>
        <w:t xml:space="preserve">Salida aprobada: </w:t>
      </w:r>
      <w:r>
        <w:rPr>
          <w:rFonts w:ascii="Calibri" w:hAnsi="Calibri"/>
          <w:b w:val="0"/>
          <w:i w:val="0"/>
          <w:color w:val="20243A"/>
          <w:sz w:val="21"/>
        </w:rPr>
        <w:t>«El horario comunicado podría reflejar un desajuste entre el reloj biológico y las obligaciones; un diario permite comprobar el patrón.»</w:t>
      </w:r>
    </w:p>
    <w:p>
      <w:r>
        <w:rPr>
          <w:rFonts w:ascii="Calibri" w:hAnsi="Calibri"/>
          <w:b w:val="0"/>
          <w:i w:val="0"/>
          <w:color w:val="20243A"/>
          <w:sz w:val="22"/>
        </w:rPr>
        <w:t>Base: SRC-01, SRC-07.</w:t>
      </w:r>
    </w:p>
    <w:p>
      <w:pPr>
        <w:pStyle w:val="Heading2"/>
      </w:pPr>
      <w:r>
        <w:t>6.5. Sensaciones y movimiento de piernas · RLS</w:t>
      </w:r>
    </w:p>
    <w:p>
      <w:r>
        <w:rPr>
          <w:rFonts w:ascii="Calibri" w:hAnsi="Calibri"/>
          <w:b w:val="0"/>
          <w:i w:val="0"/>
          <w:color w:val="20243A"/>
          <w:sz w:val="22"/>
        </w:rPr>
        <w:t>Entrada: necesidad de mover las piernas; sensación desagradable; empeora en reposo; alivio al moverse.</w:t>
      </w:r>
    </w:p>
    <w:p>
      <w:pPr>
        <w:pStyle w:val="Heading3"/>
      </w:pPr>
      <w:r>
        <w:t>Preguntas mínimas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¿Hay una necesidad de mover las piernas acompañada de sensaciones desagradables?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¿Empieza o empeora en reposo, mejora con movimiento y es peor por la tarde/noche?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¿Podría explicarse por calambres, dolor articular, neuropatía, edema, postura u otra causa?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¿Hay embarazo, ferropenia conocida, enfermedad renal o medicación asociada?</w:t>
      </w:r>
    </w:p>
    <w:p>
      <w:pPr>
        <w:pStyle w:val="Heading3"/>
      </w:pPr>
      <w:r>
        <w:t>Reglas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Solo si aparecen las características cardinales y no hay un imitador evidente se muestra «rasgos compatibles».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No indicar hierro, dosis ni cambios farmacológicos; sugerir revisión clínica de causas.</w:t>
      </w:r>
    </w:p>
    <w:p>
      <w:pPr>
        <w:spacing w:before="60" w:after="180"/>
        <w:ind w:left="115" w:right="115"/>
        <w:shd w:fill="F1F2F8"/>
        <w:pBdr>
          <w:left w:val="single" w:sz="18" w:space="6" w:color="171A3B"/>
        </w:pBdr>
      </w:pPr>
      <w:r>
        <w:rPr>
          <w:rFonts w:ascii="Calibri" w:hAnsi="Calibri"/>
          <w:b/>
          <w:i w:val="0"/>
          <w:color w:val="171A3B"/>
          <w:sz w:val="21"/>
        </w:rPr>
        <w:t xml:space="preserve">Salida aprobada: </w:t>
      </w:r>
      <w:r>
        <w:rPr>
          <w:rFonts w:ascii="Calibri" w:hAnsi="Calibri"/>
          <w:b w:val="0"/>
          <w:i w:val="0"/>
          <w:color w:val="20243A"/>
          <w:sz w:val="21"/>
        </w:rPr>
        <w:t>«Las características descritas son compatibles con un patrón de piernas inquietas, pero existen imitadores y causas tratables que debe revisar un profesional.»</w:t>
      </w:r>
    </w:p>
    <w:p>
      <w:r>
        <w:rPr>
          <w:rFonts w:ascii="Calibri" w:hAnsi="Calibri"/>
          <w:b w:val="0"/>
          <w:i w:val="0"/>
          <w:color w:val="20243A"/>
          <w:sz w:val="22"/>
        </w:rPr>
        <w:t>Base: SRC-08.</w:t>
      </w:r>
    </w:p>
    <w:p>
      <w:pPr>
        <w:pStyle w:val="Heading2"/>
      </w:pPr>
      <w:r>
        <w:t>6.6. Conductas o episodios nocturnos · PAR</w:t>
      </w:r>
    </w:p>
    <w:p>
      <w:r>
        <w:rPr>
          <w:rFonts w:ascii="Calibri" w:hAnsi="Calibri"/>
          <w:b w:val="0"/>
          <w:i w:val="0"/>
          <w:color w:val="20243A"/>
          <w:sz w:val="22"/>
        </w:rPr>
        <w:t>Entrada: sonambulismo; terrores; gritos; golpes; actuar sueños; episodios estereotipados.</w:t>
      </w:r>
    </w:p>
    <w:p>
      <w:pPr>
        <w:pStyle w:val="Heading3"/>
      </w:pPr>
      <w:r>
        <w:t>Preguntas mínimas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¿Qué observa otra persona, cuándo ocurre y cuánto dura?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¿Hay recuerdo, confusión, movimientos estereotipados o lesión?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¿Es de nueva aparición, aumenta o se asocia a fiebre, alcohol, sustancias o medicación?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¿Ha habido violencia, salidas del domicilio, peligro o señales compatibles con crisis?</w:t>
      </w:r>
    </w:p>
    <w:p>
      <w:pPr>
        <w:pStyle w:val="Heading3"/>
      </w:pPr>
      <w:r>
        <w:t>Reglas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Crisis en curso o falta de respuesta: emergencia. Primer episodio compatible con crisis ya finalizado: valoración urgente.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Violencia, lesiones, conductas complejas o aparición nueva en adulto elevan prioridad.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No etiquetar un episodio como parasomnia si puede ser crisis, trastorno respiratorio o efecto de sustancias.</w:t>
      </w:r>
    </w:p>
    <w:p>
      <w:pPr>
        <w:spacing w:before="60" w:after="180"/>
        <w:ind w:left="115" w:right="115"/>
        <w:shd w:fill="F1F2F8"/>
        <w:pBdr>
          <w:left w:val="single" w:sz="18" w:space="6" w:color="171A3B"/>
        </w:pBdr>
      </w:pPr>
      <w:r>
        <w:rPr>
          <w:rFonts w:ascii="Calibri" w:hAnsi="Calibri"/>
          <w:b/>
          <w:i w:val="0"/>
          <w:color w:val="171A3B"/>
          <w:sz w:val="21"/>
        </w:rPr>
        <w:t xml:space="preserve">Salida aprobada: </w:t>
      </w:r>
      <w:r>
        <w:rPr>
          <w:rFonts w:ascii="Calibri" w:hAnsi="Calibri"/>
          <w:b w:val="0"/>
          <w:i w:val="0"/>
          <w:color w:val="20243A"/>
          <w:sz w:val="21"/>
        </w:rPr>
        <w:t>«El episodio nocturno necesita describirse con detalle porque diferentes problemas pueden parecerse; el riesgo de lesión y los rasgos neurológicos determinan la prioridad.»</w:t>
      </w:r>
    </w:p>
    <w:p>
      <w:r>
        <w:rPr>
          <w:rFonts w:ascii="Calibri" w:hAnsi="Calibri"/>
          <w:b w:val="0"/>
          <w:i w:val="0"/>
          <w:color w:val="20243A"/>
          <w:sz w:val="22"/>
        </w:rPr>
        <w:t>Base: SRC-04, SRC-10.</w:t>
      </w:r>
    </w:p>
    <w:p>
      <w:pPr>
        <w:sectPr>
          <w:pgSz w:w="12240" w:h="15840"/>
          <w:pgMar w:top="1296" w:right="1224" w:bottom="1224" w:left="1224" w:header="605" w:footer="605" w:gutter="0"/>
          <w:cols w:space="720"/>
          <w:docGrid w:linePitch="360"/>
        </w:sectPr>
      </w:pPr>
    </w:p>
    <w:p>
      <w:pPr>
        <w:pStyle w:val="Heading1"/>
      </w:pPr>
      <w:r>
        <w:t>7. Contrato de salida y lenguaje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5860"/>
      </w:tblGrid>
      <w:tr>
        <w:trPr>
          <w:cantSplit/>
          <w:tblHeader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Orden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Bloque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Regla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Lo que has comunicado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Hechos, sin reinterpretar ni completar datos.</w:t>
            </w:r>
          </w:p>
        </w:tc>
      </w:tr>
      <w:tr>
        <w:trPr>
          <w:cantSplit/>
        </w:trPr>
        <w:tc>
          <w:tcPr>
            <w:tcW w:type="dxa" w:w="9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2</w:t>
            </w:r>
          </w:p>
        </w:tc>
        <w:tc>
          <w:tcPr>
            <w:tcW w:type="dxa" w:w="26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Seguridad y prioridad</w:t>
            </w:r>
          </w:p>
        </w:tc>
        <w:tc>
          <w:tcPr>
            <w:tcW w:type="dxa" w:w="58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Nivel L0-L4, acción concreta y regla activada.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Patrones a valorar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Máximo tres; usar «compatible con», «podría» o «conviene valorar».</w:t>
            </w:r>
          </w:p>
        </w:tc>
      </w:tr>
      <w:tr>
        <w:trPr>
          <w:cantSplit/>
        </w:trPr>
        <w:tc>
          <w:tcPr>
            <w:tcW w:type="dxa" w:w="9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4</w:t>
            </w:r>
          </w:p>
        </w:tc>
        <w:tc>
          <w:tcPr>
            <w:tcW w:type="dxa" w:w="26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Por qué aparece</w:t>
            </w:r>
          </w:p>
        </w:tc>
        <w:tc>
          <w:tcPr>
            <w:tcW w:type="dxa" w:w="58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Relacionar cada patrón con respuestas concretas.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Qué falta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Mostrar desconocidos relevantes.</w:t>
            </w:r>
          </w:p>
        </w:tc>
      </w:tr>
      <w:tr>
        <w:trPr>
          <w:cantSplit/>
        </w:trPr>
        <w:tc>
          <w:tcPr>
            <w:tcW w:type="dxa" w:w="9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6</w:t>
            </w:r>
          </w:p>
        </w:tc>
        <w:tc>
          <w:tcPr>
            <w:tcW w:type="dxa" w:w="26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Siguiente paso</w:t>
            </w:r>
          </w:p>
        </w:tc>
        <w:tc>
          <w:tcPr>
            <w:tcW w:type="dxa" w:w="58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Preparar consulta, diario, observación o atención urgente; sin prescripción.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7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Límites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No diagnóstico, no descarte y no sustitución profesional.</w:t>
            </w:r>
          </w:p>
        </w:tc>
      </w:tr>
    </w:tbl>
    <w:p>
      <w:pPr>
        <w:spacing w:after="40"/>
      </w:pPr>
    </w:p>
    <w:p>
      <w:pPr>
        <w:pStyle w:val="Heading2"/>
      </w:pPr>
      <w:r>
        <w:t>7.1. Frases permitidas y bloqueadas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Permitido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Bloqueado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«Las señales descritas justifican valoración clínica.»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«Tienes apnea del sueño.»</w:t>
            </w:r>
          </w:p>
        </w:tc>
      </w:tr>
      <w:tr>
        <w:trPr>
          <w:cantSplit/>
        </w:trPr>
        <w:tc>
          <w:tcPr>
            <w:tcW w:type="dxa" w:w="468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«El patrón podría estar relacionado con el horario.»</w:t>
            </w:r>
          </w:p>
        </w:tc>
        <w:tc>
          <w:tcPr>
            <w:tcW w:type="dxa" w:w="468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«Padeces un trastorno de fase retrasada.»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«No se ha comunicado una señal de urgencia.»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«No hay nada preocupante.»</w:t>
            </w:r>
          </w:p>
        </w:tc>
      </w:tr>
      <w:tr>
        <w:trPr>
          <w:cantSplit/>
        </w:trPr>
        <w:tc>
          <w:tcPr>
            <w:tcW w:type="dxa" w:w="468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«Un profesional puede decidir si hacen falta pruebas.»</w:t>
            </w:r>
          </w:p>
        </w:tc>
        <w:tc>
          <w:tcPr>
            <w:tcW w:type="dxa" w:w="468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«Necesitas una polisomnografía.»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«No cambies la medicación por tu cuenta.»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«Reduce la benzodiacepina a…»</w:t>
            </w:r>
          </w:p>
        </w:tc>
      </w:tr>
      <w:tr>
        <w:trPr>
          <w:cantSplit/>
        </w:trPr>
        <w:tc>
          <w:tcPr>
            <w:tcW w:type="dxa" w:w="468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«Un resultado de cribado no confirma ni descarta.»</w:t>
            </w:r>
          </w:p>
        </w:tc>
        <w:tc>
          <w:tcPr>
            <w:tcW w:type="dxa" w:w="468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«STOP-Bang bajo descarta apnea.»</w:t>
            </w:r>
          </w:p>
        </w:tc>
      </w:tr>
    </w:tbl>
    <w:p>
      <w:pPr>
        <w:spacing w:after="40"/>
      </w:pPr>
    </w:p>
    <w:p>
      <w:pPr>
        <w:spacing w:before="60" w:after="180"/>
        <w:ind w:left="115" w:right="115"/>
        <w:shd w:fill="EFEDFC"/>
        <w:pBdr>
          <w:left w:val="single" w:sz="18" w:space="6" w:color="6D5CE7"/>
        </w:pBdr>
      </w:pPr>
      <w:r>
        <w:rPr>
          <w:rFonts w:ascii="Calibri" w:hAnsi="Calibri"/>
          <w:b/>
          <w:i w:val="0"/>
          <w:color w:val="6D5CE7"/>
          <w:sz w:val="21"/>
        </w:rPr>
        <w:t xml:space="preserve">Escalas: </w:t>
      </w:r>
      <w:r>
        <w:rPr>
          <w:rFonts w:ascii="Calibri" w:hAnsi="Calibri"/>
          <w:b w:val="0"/>
          <w:i w:val="0"/>
          <w:color w:val="20243A"/>
          <w:sz w:val="21"/>
        </w:rPr>
        <w:t>Morpheo puede sugerir ISI, Epworth, STOP-Bang u otros instrumentos cuando sean apropiados, pero antes de reproducir ítems, puntuaciones o logotipos debe comprobar propiedad intelectual, licencia, versión, población y traducción. La escala nunca reemplaza la evaluación clínica ni una prueba diagnóstica.</w:t>
      </w:r>
    </w:p>
    <w:p>
      <w:pPr>
        <w:sectPr>
          <w:pgSz w:w="12240" w:h="15840"/>
          <w:pgMar w:top="1296" w:right="1224" w:bottom="1224" w:left="1224" w:header="605" w:footer="605" w:gutter="0"/>
          <w:cols w:space="720"/>
          <w:docGrid w:linePitch="360"/>
        </w:sectPr>
      </w:pPr>
    </w:p>
    <w:p>
      <w:pPr>
        <w:pStyle w:val="Heading1"/>
      </w:pPr>
      <w:r>
        <w:t>8. Esquema de claims</w:t>
      </w:r>
    </w:p>
    <w:p>
      <w:pPr>
        <w:jc w:val="center"/>
      </w:pPr>
      <w:r>
        <w:rPr>
          <w:rFonts w:ascii="Calibri" w:hAnsi="Calibri"/>
          <w:b/>
          <w:i w:val="0"/>
          <w:color w:val="171A3B"/>
          <w:sz w:val="22"/>
        </w:rPr>
        <w:t>Esquema B · Puerta de aprobación de claims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blHeader/>
        </w:trPr>
        <w:tc>
          <w:tcPr>
            <w:tcW w:type="dxa" w:w="8856"/>
            <w:tcMar>
              <w:top w:w="110" w:type="dxa"/>
              <w:start w:w="160" w:type="dxa"/>
              <w:bottom w:w="110" w:type="dxa"/>
              <w:end w:w="160" w:type="dxa"/>
            </w:tcMar>
            <w:shd w:fill="E8F6F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9D92"/>
                <w:sz w:val="20"/>
              </w:rPr>
              <w:t>C1 · Texto exacto</w:t>
              <w:br/>
            </w: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Revisar palabra por palabra y también el significado implícito</w:t>
            </w:r>
          </w:p>
        </w:tc>
      </w:tr>
      <w:tr>
        <w:tc>
          <w:tcPr>
            <w:tcW w:type="dxa" w:w="9792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1657A"/>
                <w:sz w:val="28"/>
              </w:rPr>
              <w:t>↓</w:t>
            </w:r>
          </w:p>
        </w:tc>
      </w:tr>
      <w:tr>
        <w:tc>
          <w:tcPr>
            <w:tcW w:type="dxa" w:w="8856"/>
            <w:tcMar>
              <w:top w:w="110" w:type="dxa"/>
              <w:start w:w="160" w:type="dxa"/>
              <w:bottom w:w="110" w:type="dxa"/>
              <w:end w:w="160" w:type="dxa"/>
            </w:tcMar>
            <w:shd w:fill="EFED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D5CE7"/>
                <w:sz w:val="20"/>
              </w:rPr>
              <w:t>C2 · Finalidad</w:t>
              <w:br/>
            </w: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¿Educa/organiza o detecta/diagnostica/predice/trata?</w:t>
            </w:r>
          </w:p>
        </w:tc>
      </w:tr>
      <w:tr>
        <w:tc>
          <w:tcPr>
            <w:tcW w:type="dxa" w:w="9792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1657A"/>
                <w:sz w:val="28"/>
              </w:rPr>
              <w:t>↓</w:t>
            </w:r>
          </w:p>
        </w:tc>
      </w:tr>
      <w:tr>
        <w:tc>
          <w:tcPr>
            <w:tcW w:type="dxa" w:w="8856"/>
            <w:tcMar>
              <w:top w:w="110" w:type="dxa"/>
              <w:start w:w="160" w:type="dxa"/>
              <w:bottom w:w="110" w:type="dxa"/>
              <w:end w:w="160" w:type="dxa"/>
            </w:tcMar>
            <w:shd w:fill="E8F6F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9D92"/>
                <w:sz w:val="20"/>
              </w:rPr>
              <w:t>C3 · Consecuencia</w:t>
              <w:br/>
            </w: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¿Puede cambiar una decisión clínica, una prueba, una derivación o un tratamiento?</w:t>
            </w:r>
          </w:p>
        </w:tc>
      </w:tr>
      <w:tr>
        <w:tc>
          <w:tcPr>
            <w:tcW w:type="dxa" w:w="9792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1657A"/>
                <w:sz w:val="28"/>
              </w:rPr>
              <w:t>↓</w:t>
            </w:r>
          </w:p>
        </w:tc>
      </w:tr>
      <w:tr>
        <w:tc>
          <w:tcPr>
            <w:tcW w:type="dxa" w:w="8856"/>
            <w:tcMar>
              <w:top w:w="110" w:type="dxa"/>
              <w:start w:w="160" w:type="dxa"/>
              <w:bottom w:w="110" w:type="dxa"/>
              <w:end w:w="160" w:type="dxa"/>
            </w:tcMar>
            <w:shd w:fill="EFED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D5CE7"/>
                <w:sz w:val="20"/>
              </w:rPr>
              <w:t>C4 · Evidencia</w:t>
              <w:br/>
            </w: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Fuente externa + validación propia de esta versión, población y contexto</w:t>
            </w:r>
          </w:p>
        </w:tc>
      </w:tr>
      <w:tr>
        <w:tc>
          <w:tcPr>
            <w:tcW w:type="dxa" w:w="9792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1657A"/>
                <w:sz w:val="28"/>
              </w:rPr>
              <w:t>↓</w:t>
            </w:r>
          </w:p>
        </w:tc>
      </w:tr>
      <w:tr>
        <w:tc>
          <w:tcPr>
            <w:tcW w:type="dxa" w:w="8856"/>
            <w:tcMar>
              <w:top w:w="110" w:type="dxa"/>
              <w:start w:w="160" w:type="dxa"/>
              <w:bottom w:w="110" w:type="dxa"/>
              <w:end w:w="160" w:type="dxa"/>
            </w:tcMar>
            <w:shd w:fill="E8F6F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9D92"/>
                <w:sz w:val="20"/>
              </w:rPr>
              <w:t>C5 · Regulación</w:t>
              <w:br/>
            </w: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Intended purpose, MDSW, Rule 11, protección de datos y menores</w:t>
            </w:r>
          </w:p>
        </w:tc>
      </w:tr>
      <w:tr>
        <w:tc>
          <w:tcPr>
            <w:tcW w:type="dxa" w:w="9792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1657A"/>
                <w:sz w:val="28"/>
              </w:rPr>
              <w:t>↓</w:t>
            </w:r>
          </w:p>
        </w:tc>
      </w:tr>
      <w:tr>
        <w:tc>
          <w:tcPr>
            <w:tcW w:type="dxa" w:w="8856"/>
            <w:tcMar>
              <w:top w:w="110" w:type="dxa"/>
              <w:start w:w="160" w:type="dxa"/>
              <w:bottom w:w="110" w:type="dxa"/>
              <w:end w:w="160" w:type="dxa"/>
            </w:tcMar>
            <w:shd w:fill="EFED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D5CE7"/>
                <w:sz w:val="20"/>
              </w:rPr>
              <w:t>C6 · Coherencia</w:t>
              <w:br/>
            </w: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Web, SEO, anuncios, chatbot, PDFs, inversión y prensa</w:t>
            </w:r>
          </w:p>
        </w:tc>
      </w:tr>
      <w:tr>
        <w:tc>
          <w:tcPr>
            <w:tcW w:type="dxa" w:w="9792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1657A"/>
                <w:sz w:val="28"/>
              </w:rPr>
              <w:t>↓</w:t>
            </w:r>
          </w:p>
        </w:tc>
      </w:tr>
      <w:tr>
        <w:tc>
          <w:tcPr>
            <w:tcW w:type="dxa" w:w="8856"/>
            <w:tcMar>
              <w:top w:w="110" w:type="dxa"/>
              <w:start w:w="160" w:type="dxa"/>
              <w:bottom w:w="110" w:type="dxa"/>
              <w:end w:w="160" w:type="dxa"/>
            </w:tcMar>
            <w:shd w:fill="E8F6F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9D92"/>
                <w:sz w:val="20"/>
              </w:rPr>
              <w:t>C7 · Decisión</w:t>
              <w:br/>
            </w: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APROBABLE · CONDICIONAL · BLOQUEAR, con propietario y caducidad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000"/>
        <w:gridCol w:w="3760"/>
      </w:tblGrid>
      <w:tr>
        <w:trPr>
          <w:cantSplit/>
          <w:tblHeader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Condición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APROBABLE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Funcional, educativo o descriptivo.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Comprobación funcional y revisión clínica.</w:t>
            </w:r>
          </w:p>
        </w:tc>
      </w:tr>
      <w:tr>
        <w:trPr>
          <w:cantSplit/>
        </w:trPr>
        <w:tc>
          <w:tcPr>
            <w:tcW w:type="dxa" w:w="16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CONDICIONAL</w:t>
            </w:r>
          </w:p>
        </w:tc>
        <w:tc>
          <w:tcPr>
            <w:tcW w:type="dxa" w:w="40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Cribado, seguridad, apoyo diagnóstico o mejora de rendimiento.</w:t>
            </w:r>
          </w:p>
        </w:tc>
        <w:tc>
          <w:tcPr>
            <w:tcW w:type="dxa" w:w="37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Evidencia propia, alcance preciso y revisión regulatoria.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BLOQUEAR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Diagnostica, descarta, trata, sustituye o presume validación inexistente.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No publicar; reemplazar o cambiar producto/evidencia/regulación.</w:t>
            </w:r>
          </w:p>
        </w:tc>
      </w:tr>
    </w:tbl>
    <w:p>
      <w:pPr>
        <w:spacing w:after="40"/>
      </w:pPr>
    </w:p>
    <w:p>
      <w:pPr>
        <w:pStyle w:val="Heading2"/>
      </w:pPr>
      <w:r>
        <w:t>8.1. Registro inicial de claims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400"/>
        <w:gridCol w:w="1450"/>
        <w:gridCol w:w="3510"/>
      </w:tblGrid>
      <w:tr>
        <w:trPr>
          <w:cantSplit/>
          <w:tblHeader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Claim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Alternativa aprobable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CLM-001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Morpheo ayuda a ordenar la información sobre el sueño y a preparar una consulta.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APROBABLE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0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CLM-002</w:t>
            </w:r>
          </w:p>
        </w:tc>
        <w:tc>
          <w:tcPr>
            <w:tcW w:type="dxa" w:w="34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Morpheo reconoce señales comunicadas por el usuario que aconsejan atención urgente.</w:t>
            </w:r>
          </w:p>
        </w:tc>
        <w:tc>
          <w:tcPr>
            <w:tcW w:type="dxa" w:w="14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CONDICIONAL</w:t>
            </w:r>
          </w:p>
        </w:tc>
        <w:tc>
          <w:tcPr>
            <w:tcW w:type="dxa" w:w="351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Morpheo pregunta por señales de alarma predefinidas y, si aparecen, muestra una recomendación de atención prioritaria.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CLM-003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Orientación sobre patrones de sueño, sin diagnóstico.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APROBABLE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0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CLM-004</w:t>
            </w:r>
          </w:p>
        </w:tc>
        <w:tc>
          <w:tcPr>
            <w:tcW w:type="dxa" w:w="34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Cribado de apnea del sueño.</w:t>
            </w:r>
          </w:p>
        </w:tc>
        <w:tc>
          <w:tcPr>
            <w:tcW w:type="dxa" w:w="14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CONDICIONAL</w:t>
            </w:r>
          </w:p>
        </w:tc>
        <w:tc>
          <w:tcPr>
            <w:tcW w:type="dxa" w:w="351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Ayuda a reconocer síntomas respiratorios que conviene comentar con un profesional.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CLM-005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Morpheo apoya el razonamiento diagnóstico del profesional.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CONDICIONAL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Estructura la anamnesis y genera un resumen revisable por el profesional.</w:t>
            </w:r>
          </w:p>
        </w:tc>
      </w:tr>
      <w:tr>
        <w:trPr>
          <w:cantSplit/>
        </w:trPr>
        <w:tc>
          <w:tcPr>
            <w:tcW w:type="dxa" w:w="10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CLM-006</w:t>
            </w:r>
          </w:p>
        </w:tc>
        <w:tc>
          <w:tcPr>
            <w:tcW w:type="dxa" w:w="34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Morpheo diagnostica insomnio, apnea, narcolepsia u otros trastornos del sueño.</w:t>
            </w:r>
          </w:p>
        </w:tc>
        <w:tc>
          <w:tcPr>
            <w:tcW w:type="dxa" w:w="14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BLOQUEAR</w:t>
            </w:r>
          </w:p>
        </w:tc>
        <w:tc>
          <w:tcPr>
            <w:tcW w:type="dxa" w:w="351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Morpheo organiza los síntomas y propone qué conviene valorar con un profesional.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CLM-007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Morpheo descarta apnea del sueño si el riesgo es bajo.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BLOQUEAR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Un resultado orientativo bajo no descarta un trastorno; consulta si los síntomas persisten o preocupan.</w:t>
            </w:r>
          </w:p>
        </w:tc>
      </w:tr>
      <w:tr>
        <w:trPr>
          <w:cantSplit/>
        </w:trPr>
        <w:tc>
          <w:tcPr>
            <w:tcW w:type="dxa" w:w="10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CLM-008</w:t>
            </w:r>
          </w:p>
        </w:tc>
        <w:tc>
          <w:tcPr>
            <w:tcW w:type="dxa" w:w="34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Recomendaciones de tratamiento personalizadas.</w:t>
            </w:r>
          </w:p>
        </w:tc>
        <w:tc>
          <w:tcPr>
            <w:tcW w:type="dxa" w:w="14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BLOQUEAR</w:t>
            </w:r>
          </w:p>
        </w:tc>
        <w:tc>
          <w:tcPr>
            <w:tcW w:type="dxa" w:w="351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Información general y preguntas para comentar con tu profesional.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CLM-009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Morpheo está clínicamente validado.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BLOQUEAR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Morpheo está en proceso de validación clínica [solo mientras sea cierto y se explique el alcance].</w:t>
            </w:r>
          </w:p>
        </w:tc>
      </w:tr>
      <w:tr>
        <w:trPr>
          <w:cantSplit/>
        </w:trPr>
        <w:tc>
          <w:tcPr>
            <w:tcW w:type="dxa" w:w="10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CLM-010</w:t>
            </w:r>
          </w:p>
        </w:tc>
        <w:tc>
          <w:tcPr>
            <w:tcW w:type="dxa" w:w="34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Morpheo detecta al menos el 90% de las banderas rojas.</w:t>
            </w:r>
          </w:p>
        </w:tc>
        <w:tc>
          <w:tcPr>
            <w:tcW w:type="dxa" w:w="14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BLOQUEAR</w:t>
            </w:r>
          </w:p>
        </w:tc>
        <w:tc>
          <w:tcPr>
            <w:tcW w:type="dxa" w:w="351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El estudio de validación evaluará la detección de banderas rojas con un objetivo predefinido.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CLM-011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Morpheo sustituye una consulta médica o pediátrica.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BLOQUEAR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Morpheo no sustituye a un profesional y ayuda a preparar el siguiente paso.</w:t>
            </w:r>
          </w:p>
        </w:tc>
      </w:tr>
      <w:tr>
        <w:trPr>
          <w:cantSplit/>
        </w:trPr>
        <w:tc>
          <w:tcPr>
            <w:tcW w:type="dxa" w:w="10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CLM-012</w:t>
            </w:r>
          </w:p>
        </w:tc>
        <w:tc>
          <w:tcPr>
            <w:tcW w:type="dxa" w:w="34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Morpheo adapta sus preguntas al rol del usuario y a la edad comunicada.</w:t>
            </w:r>
          </w:p>
        </w:tc>
        <w:tc>
          <w:tcPr>
            <w:tcW w:type="dxa" w:w="14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APROBABLE</w:t>
            </w:r>
          </w:p>
        </w:tc>
        <w:tc>
          <w:tcPr>
            <w:tcW w:type="dxa" w:w="351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60" w:after="180"/>
        <w:ind w:left="115" w:right="115"/>
        <w:shd w:fill="F1F2F8"/>
        <w:pBdr>
          <w:left w:val="single" w:sz="18" w:space="6" w:color="171A3B"/>
        </w:pBdr>
      </w:pPr>
      <w:r>
        <w:rPr>
          <w:rFonts w:ascii="Calibri" w:hAnsi="Calibri"/>
          <w:b/>
          <w:i w:val="0"/>
          <w:color w:val="171A3B"/>
          <w:sz w:val="21"/>
        </w:rPr>
        <w:t xml:space="preserve">Regla de oro: </w:t>
      </w:r>
      <w:r>
        <w:rPr>
          <w:rFonts w:ascii="Calibri" w:hAnsi="Calibri"/>
          <w:b w:val="0"/>
          <w:i w:val="0"/>
          <w:color w:val="20243A"/>
          <w:sz w:val="21"/>
        </w:rPr>
        <w:t>Un objetivo del protocolo («alcanzar 90%») no es un resultado. «En validación» tampoco equivale a «validado». Todo claim cuantitativo debe incluir población, versión, comparador, conjunto de casos, intervalo de confianza y limitaciones.</w:t>
      </w:r>
    </w:p>
    <w:p>
      <w:pPr>
        <w:sectPr>
          <w:pgSz w:w="12240" w:h="15840"/>
          <w:pgMar w:top="1296" w:right="1224" w:bottom="1224" w:left="1224" w:header="605" w:footer="605" w:gutter="0"/>
          <w:cols w:space="720"/>
          <w:docGrid w:linePitch="360"/>
        </w:sectPr>
      </w:pPr>
    </w:p>
    <w:p>
      <w:pPr>
        <w:pStyle w:val="Heading1"/>
      </w:pPr>
      <w:r>
        <w:t>9. Especificación para la web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90"/>
        <w:gridCol w:w="3470"/>
      </w:tblGrid>
      <w:tr>
        <w:trPr>
          <w:cantSplit/>
          <w:tblHeader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Capa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Responsabilidad</w:t>
            </w:r>
          </w:p>
        </w:tc>
        <w:tc>
          <w:tcPr>
            <w:tcW w:type="dxa" w:w="3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 debe hacer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Interfaz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Rol, edad, consentimiento, preguntas claras, opciones «no sé», accesibilidad.</w:t>
            </w:r>
          </w:p>
        </w:tc>
        <w:tc>
          <w:tcPr>
            <w:tcW w:type="dxa" w:w="3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Ocultar límites o preseleccionar respuestas clínicas.</w:t>
            </w:r>
          </w:p>
        </w:tc>
      </w:tr>
      <w:tr>
        <w:trPr>
          <w:cantSplit/>
        </w:trPr>
        <w:tc>
          <w:tcPr>
            <w:tcW w:type="dxa" w:w="15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Motor de reglas</w:t>
            </w:r>
          </w:p>
        </w:tc>
        <w:tc>
          <w:tcPr>
            <w:tcW w:type="dxa" w:w="439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Safety gate, rutas, prioridad, campos obligatorios, salida estructurada.</w:t>
            </w:r>
          </w:p>
        </w:tc>
        <w:tc>
          <w:tcPr>
            <w:tcW w:type="dxa" w:w="347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Delegar urgencia al LLM.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Contenido clínico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Preguntas y textos aprobados, fuentes, versión y caducidad.</w:t>
            </w:r>
          </w:p>
        </w:tc>
        <w:tc>
          <w:tcPr>
            <w:tcW w:type="dxa" w:w="3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Cambiar sin revisión y registro.</w:t>
            </w:r>
          </w:p>
        </w:tc>
      </w:tr>
      <w:tr>
        <w:trPr>
          <w:cantSplit/>
        </w:trPr>
        <w:tc>
          <w:tcPr>
            <w:tcW w:type="dxa" w:w="15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LLM</w:t>
            </w:r>
          </w:p>
        </w:tc>
        <w:tc>
          <w:tcPr>
            <w:tcW w:type="dxa" w:w="439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Resumir y explicar hechos/reglas dentro de un esquema cerrado.</w:t>
            </w:r>
          </w:p>
        </w:tc>
        <w:tc>
          <w:tcPr>
            <w:tcW w:type="dxa" w:w="347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Inferir datos, diagnosticar, prescribir o reducir prioridad.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Filtro de salida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Frases prohibidas, campos completos, coherencia entre regla y texto.</w:t>
            </w:r>
          </w:p>
        </w:tc>
        <w:tc>
          <w:tcPr>
            <w:tcW w:type="dxa" w:w="3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Publicar una respuesta fallida.</w:t>
            </w:r>
          </w:p>
        </w:tc>
      </w:tr>
      <w:tr>
        <w:trPr>
          <w:cantSplit/>
        </w:trPr>
        <w:tc>
          <w:tcPr>
            <w:tcW w:type="dxa" w:w="15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Auditoría</w:t>
            </w:r>
          </w:p>
        </w:tc>
        <w:tc>
          <w:tcPr>
            <w:tcW w:type="dxa" w:w="439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Versión, reglas activadas, resultado y aceptación del usuario.</w:t>
            </w:r>
          </w:p>
        </w:tc>
        <w:tc>
          <w:tcPr>
            <w:tcW w:type="dxa" w:w="347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Registrar datos identificables innecesarios.</w:t>
            </w:r>
          </w:p>
        </w:tc>
      </w:tr>
    </w:tbl>
    <w:p>
      <w:pPr>
        <w:spacing w:after="40"/>
      </w:pPr>
    </w:p>
    <w:p>
      <w:pPr>
        <w:pStyle w:val="Heading2"/>
      </w:pPr>
      <w:r>
        <w:t>9.1. Estados</w:t>
      </w:r>
    </w:p>
    <w:p>
      <w:r>
        <w:rPr>
          <w:rFonts w:ascii="Calibri" w:hAnsi="Calibri"/>
          <w:b w:val="0"/>
          <w:i w:val="0"/>
          <w:color w:val="20243A"/>
          <w:sz w:val="22"/>
        </w:rPr>
        <w:t>START → ROLE_SELECTED → CONSENT_OK → SAFETY_GATE → CORE_PROFILE → COMPLAINT_ROUTER → MODULES → CROSS_CHECK → OUTPUT_READY → END. Cualquier respuesta puede devolver a SAFETY_GATE. Los estados alternativos son ESCALATED y ABORTED.</w:t>
      </w:r>
    </w:p>
    <w:p>
      <w:pPr>
        <w:pStyle w:val="Heading2"/>
      </w:pPr>
      <w:r>
        <w:t>9.2. Objeto de resultado mínimo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workflow_version, content_version, timestamp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role, age_band, consent_state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reported_facts: positive / negative / unknown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routes[] and rules_fired[]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urgency_level and approved_action_text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patterns_to_discuss[] with supporting_facts[]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missing_information[]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disclaimer_template_id and user_acknowledgement</w:t>
      </w:r>
    </w:p>
    <w:p>
      <w:pPr>
        <w:pStyle w:val="Heading2"/>
      </w:pPr>
      <w:r>
        <w:t>9.3. Criterios de aceptación técnica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La misma entrada estructurada produce siempre el mismo nivel de urgencia y las mismas rutas.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Una regla de nivel superior domina a las inferiores y no puede degradarse por el LLM.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El sistema mantiene «desconocido» y muestra su importancia.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Si el LLM falla, el usuario recibe una plantilla segura y completa.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Todo texto visible tiene ID, versión, propietario, fuente y fecha de revisión.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20243A"/>
          <w:sz w:val="22"/>
        </w:rPr>
        <w:t>El sistema puede reconstruir qué respuestas y reglas generaron la salida.</w:t>
      </w:r>
    </w:p>
    <w:p>
      <w:pPr>
        <w:pStyle w:val="Heading1"/>
      </w:pPr>
      <w:r>
        <w:t>10. Validación, pruebas y criterios de salida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  <w:tblHeader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Dominio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Criterio mínimo propuesto antes de abrir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Críticos L0/L1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100% de escenarios críticos preespecificados activa la acción correcta; ningún mensaje que tranquilice o retrase.</w:t>
            </w:r>
          </w:p>
        </w:tc>
      </w:tr>
      <w:tr>
        <w:trPr>
          <w:cantSplit/>
        </w:trPr>
        <w:tc>
          <w:tcPr>
            <w:tcW w:type="dxa" w:w="25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Banderas rojas graves</w:t>
            </w:r>
          </w:p>
        </w:tc>
        <w:tc>
          <w:tcPr>
            <w:tcW w:type="dxa" w:w="68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≥90% según protocolo, informando IC95% y errores por tipo; ampliar banco si la precisión es insuficiente.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Orientación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≥80% de orientación principal y plan inicial adecuados en casos simulados, por rol y módulo.</w:t>
            </w:r>
          </w:p>
        </w:tc>
      </w:tr>
      <w:tr>
        <w:trPr>
          <w:cantSplit/>
        </w:trPr>
        <w:tc>
          <w:tcPr>
            <w:tcW w:type="dxa" w:w="25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Seguridad de recomendaciones</w:t>
            </w:r>
          </w:p>
        </w:tc>
        <w:tc>
          <w:tcPr>
            <w:tcW w:type="dxa" w:w="68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0 errores críticos; los graves deben estar por debajo del umbral del protocolo y revisarse uno a uno.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Comprensión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≥90% de usuarios comprende que no es diagnóstico y qué paso debe dar.</w:t>
            </w:r>
          </w:p>
        </w:tc>
      </w:tr>
      <w:tr>
        <w:trPr>
          <w:cantSplit/>
        </w:trPr>
        <w:tc>
          <w:tcPr>
            <w:tcW w:type="dxa" w:w="25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Equidad</w:t>
            </w:r>
          </w:p>
        </w:tc>
        <w:tc>
          <w:tcPr>
            <w:tcW w:type="dxa" w:w="68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Revisión por edad, sexo/género, alfabetización, acento/idioma y comorbilidad; documentar fallos diferenciales.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Usabilidad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SUS ≥70 en profesional y pruebas específicas con adultos/padres.</w:t>
            </w:r>
          </w:p>
        </w:tc>
      </w:tr>
      <w:tr>
        <w:trPr>
          <w:cantSplit/>
        </w:trPr>
        <w:tc>
          <w:tcPr>
            <w:tcW w:type="dxa" w:w="25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Regresión</w:t>
            </w:r>
          </w:p>
        </w:tc>
        <w:tc>
          <w:tcPr>
            <w:tcW w:type="dxa" w:w="68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Todos los casos críticos se ejecutan automáticamente en cada cambio de regla, modelo o contenido.</w:t>
            </w:r>
          </w:p>
        </w:tc>
      </w:tr>
    </w:tbl>
    <w:p>
      <w:pPr>
        <w:spacing w:after="40"/>
      </w:pPr>
    </w:p>
    <w:p>
      <w:pPr>
        <w:pStyle w:val="Heading2"/>
      </w:pPr>
      <w:r>
        <w:t>10.1. Casos de prueba de alto valor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100"/>
        <w:gridCol w:w="1250"/>
        <w:gridCol w:w="1700"/>
        <w:gridCol w:w="2460"/>
      </w:tblGrid>
      <w:tr>
        <w:trPr>
          <w:cantSplit/>
          <w:tblHeader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Escenario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Ruta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Nivel esperado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Aceptación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T-01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Adulto con insomnio reciente, sin deterioro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INS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L4 o L3 según repercusión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No diagnosticar; explicar observación/consulta.</w:t>
            </w:r>
          </w:p>
        </w:tc>
      </w:tr>
      <w:tr>
        <w:trPr>
          <w:cantSplit/>
        </w:trPr>
        <w:tc>
          <w:tcPr>
            <w:tcW w:type="dxa" w:w="8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T-02</w:t>
            </w:r>
          </w:p>
        </w:tc>
        <w:tc>
          <w:tcPr>
            <w:tcW w:type="dxa" w:w="31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Adulto con despertares + ronquido + pausas</w:t>
            </w:r>
          </w:p>
        </w:tc>
        <w:tc>
          <w:tcPr>
            <w:tcW w:type="dxa" w:w="12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INS + BRE</w:t>
            </w:r>
          </w:p>
        </w:tc>
        <w:tc>
          <w:tcPr>
            <w:tcW w:type="dxa" w:w="17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L2; L1 si deterioro marcado</w:t>
            </w:r>
          </w:p>
        </w:tc>
        <w:tc>
          <w:tcPr>
            <w:tcW w:type="dxa" w:w="24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No reducirlo a insomnio ni usar score para descartar AOS.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T-03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Somnolencia con casi accidente al volante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SLP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L1 y parada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Mostrar no conducir + valoración urgente antes de otras hipótesis.</w:t>
            </w:r>
          </w:p>
        </w:tc>
      </w:tr>
      <w:tr>
        <w:trPr>
          <w:cantSplit/>
        </w:trPr>
        <w:tc>
          <w:tcPr>
            <w:tcW w:type="dxa" w:w="8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T-04</w:t>
            </w:r>
          </w:p>
        </w:tc>
        <w:tc>
          <w:tcPr>
            <w:tcW w:type="dxa" w:w="31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Debilidad al reír + ataques de sueño</w:t>
            </w:r>
          </w:p>
        </w:tc>
        <w:tc>
          <w:tcPr>
            <w:tcW w:type="dxa" w:w="12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SLP</w:t>
            </w:r>
          </w:p>
        </w:tc>
        <w:tc>
          <w:tcPr>
            <w:tcW w:type="dxa" w:w="17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L2</w:t>
            </w:r>
          </w:p>
        </w:tc>
        <w:tc>
          <w:tcPr>
            <w:tcW w:type="dxa" w:w="24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Usar «posible cataplejía» y recomendar evaluación especializada.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T-05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Menor de 8 años con ronquido habitual y jadeos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BRE parental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Usuario adulto; valoración pediátrica; no STOP-Bang.</w:t>
            </w:r>
          </w:p>
        </w:tc>
      </w:tr>
      <w:tr>
        <w:trPr>
          <w:cantSplit/>
        </w:trPr>
        <w:tc>
          <w:tcPr>
            <w:tcW w:type="dxa" w:w="8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T-06</w:t>
            </w:r>
          </w:p>
        </w:tc>
        <w:tc>
          <w:tcPr>
            <w:tcW w:type="dxa" w:w="31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Lactante con pausa, coloración azulada y mala respuesta</w:t>
            </w:r>
          </w:p>
        </w:tc>
        <w:tc>
          <w:tcPr>
            <w:tcW w:type="dxa" w:w="12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Seguridad parental</w:t>
            </w:r>
          </w:p>
        </w:tc>
        <w:tc>
          <w:tcPr>
            <w:tcW w:type="dxa" w:w="17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L0 y parada</w:t>
            </w:r>
          </w:p>
        </w:tc>
        <w:tc>
          <w:tcPr>
            <w:tcW w:type="dxa" w:w="24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Emergencia; no continuar anamnesis.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T-07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Adolescente con horario muy tardío y sueño normal en vacaciones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CIR parental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Diario 14 días; no diagnosticar retraso de fase.</w:t>
            </w:r>
          </w:p>
        </w:tc>
      </w:tr>
      <w:tr>
        <w:trPr>
          <w:cantSplit/>
        </w:trPr>
        <w:tc>
          <w:tcPr>
            <w:tcW w:type="dxa" w:w="8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T-08</w:t>
            </w:r>
          </w:p>
        </w:tc>
        <w:tc>
          <w:tcPr>
            <w:tcW w:type="dxa" w:w="31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Necesidad de mover piernas nocturna, alivia al caminar</w:t>
            </w:r>
          </w:p>
        </w:tc>
        <w:tc>
          <w:tcPr>
            <w:tcW w:type="dxa" w:w="12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RLS</w:t>
            </w:r>
          </w:p>
        </w:tc>
        <w:tc>
          <w:tcPr>
            <w:tcW w:type="dxa" w:w="17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L3</w:t>
            </w:r>
          </w:p>
        </w:tc>
        <w:tc>
          <w:tcPr>
            <w:tcW w:type="dxa" w:w="24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Comprobar cinco rasgos y imitadores; no pautar hierro.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T-09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Adulto con episodio violento y lesión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Seguridad ambiental y valoración urgente.</w:t>
            </w:r>
          </w:p>
        </w:tc>
      </w:tr>
      <w:tr>
        <w:trPr>
          <w:cantSplit/>
        </w:trPr>
        <w:tc>
          <w:tcPr>
            <w:tcW w:type="dxa" w:w="8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T-10</w:t>
            </w:r>
          </w:p>
        </w:tc>
        <w:tc>
          <w:tcPr>
            <w:tcW w:type="dxa" w:w="31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Primer episodio nocturno estereotipado con desconexión</w:t>
            </w:r>
          </w:p>
        </w:tc>
        <w:tc>
          <w:tcPr>
            <w:tcW w:type="dxa" w:w="12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PAR</w:t>
            </w:r>
          </w:p>
        </w:tc>
        <w:tc>
          <w:tcPr>
            <w:tcW w:type="dxa" w:w="17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L1</w:t>
            </w:r>
          </w:p>
        </w:tc>
        <w:tc>
          <w:tcPr>
            <w:tcW w:type="dxa" w:w="24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Posible crisis; no etiquetar como parasomnia.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T-11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Usuario desconoce si hay apneas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BRE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Según resto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«Desconocido» no equivale a «no».</w:t>
            </w:r>
          </w:p>
        </w:tc>
      </w:tr>
      <w:tr>
        <w:trPr>
          <w:cantSplit/>
        </w:trPr>
        <w:tc>
          <w:tcPr>
            <w:tcW w:type="dxa" w:w="8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T-12</w:t>
            </w:r>
          </w:p>
        </w:tc>
        <w:tc>
          <w:tcPr>
            <w:tcW w:type="dxa" w:w="31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Profesional introduce datos identificables</w:t>
            </w:r>
          </w:p>
        </w:tc>
        <w:tc>
          <w:tcPr>
            <w:tcW w:type="dxa" w:w="125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Profesional</w:t>
            </w:r>
          </w:p>
        </w:tc>
        <w:tc>
          <w:tcPr>
            <w:tcW w:type="dxa" w:w="17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Bloqueo privacidad</w:t>
            </w:r>
          </w:p>
        </w:tc>
        <w:tc>
          <w:tcPr>
            <w:tcW w:type="dxa" w:w="24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Solicitar anonimización; no procesar en beta sin base autorizada.</w:t>
            </w:r>
          </w:p>
        </w:tc>
      </w:tr>
    </w:tbl>
    <w:p>
      <w:pPr>
        <w:spacing w:after="40"/>
      </w:pPr>
    </w:p>
    <w:p>
      <w:pPr>
        <w:pStyle w:val="Heading2"/>
      </w:pPr>
      <w:r>
        <w:t>10.2. Release gates</w:t>
      </w:r>
    </w:p>
    <w:p>
      <w:pPr>
        <w:pStyle w:val="ListNumber"/>
      </w:pPr>
      <w:r>
        <w:rPr>
          <w:rFonts w:ascii="Calibri" w:hAnsi="Calibri"/>
          <w:b w:val="0"/>
          <w:i w:val="0"/>
          <w:color w:val="20243A"/>
          <w:sz w:val="22"/>
        </w:rPr>
        <w:t>R0 Especificación: propósito previsto y claim registry aprobados.</w:t>
      </w:r>
    </w:p>
    <w:p>
      <w:pPr>
        <w:pStyle w:val="ListNumber"/>
      </w:pPr>
      <w:r>
        <w:rPr>
          <w:rFonts w:ascii="Calibri" w:hAnsi="Calibri"/>
          <w:b w:val="0"/>
          <w:i w:val="0"/>
          <w:color w:val="20243A"/>
          <w:sz w:val="22"/>
        </w:rPr>
        <w:t>R1 Simulación: reglas deterministas y 100% de críticos superados.</w:t>
      </w:r>
    </w:p>
    <w:p>
      <w:pPr>
        <w:pStyle w:val="ListNumber"/>
      </w:pPr>
      <w:r>
        <w:rPr>
          <w:rFonts w:ascii="Calibri" w:hAnsi="Calibri"/>
          <w:b w:val="0"/>
          <w:i w:val="0"/>
          <w:color w:val="20243A"/>
          <w:sz w:val="22"/>
        </w:rPr>
        <w:t>R2 Revisión experta: contenido por módulo y edad aprobado.</w:t>
      </w:r>
    </w:p>
    <w:p>
      <w:pPr>
        <w:pStyle w:val="ListNumber"/>
      </w:pPr>
      <w:r>
        <w:rPr>
          <w:rFonts w:ascii="Calibri" w:hAnsi="Calibri"/>
          <w:b w:val="0"/>
          <w:i w:val="0"/>
          <w:color w:val="20243A"/>
          <w:sz w:val="22"/>
        </w:rPr>
        <w:t>R3 Usabilidad cerrada: adultos, padres y profesionales por separado.</w:t>
      </w:r>
    </w:p>
    <w:p>
      <w:pPr>
        <w:pStyle w:val="ListNumber"/>
      </w:pPr>
      <w:r>
        <w:rPr>
          <w:rFonts w:ascii="Calibri" w:hAnsi="Calibri"/>
          <w:b w:val="0"/>
          <w:i w:val="0"/>
          <w:color w:val="20243A"/>
          <w:sz w:val="22"/>
        </w:rPr>
        <w:t>R4 Piloto controlado: monitorización humana, versión congelada e incidentes.</w:t>
      </w:r>
    </w:p>
    <w:p>
      <w:pPr>
        <w:pStyle w:val="ListNumber"/>
      </w:pPr>
      <w:r>
        <w:rPr>
          <w:rFonts w:ascii="Calibri" w:hAnsi="Calibri"/>
          <w:b w:val="0"/>
          <w:i w:val="0"/>
          <w:color w:val="20243A"/>
          <w:sz w:val="22"/>
        </w:rPr>
        <w:t>R5 Lanzamiento limitado: panel de seguridad, rollback y comité de claims activo.</w:t>
      </w:r>
    </w:p>
    <w:p>
      <w:pPr>
        <w:sectPr>
          <w:pgSz w:w="12240" w:h="15840"/>
          <w:pgMar w:top="1296" w:right="1224" w:bottom="1224" w:left="1224" w:header="605" w:footer="605" w:gutter="0"/>
          <w:cols w:space="720"/>
          <w:docGrid w:linePitch="360"/>
        </w:sectPr>
      </w:pPr>
    </w:p>
    <w:p>
      <w:pPr>
        <w:pStyle w:val="Heading1"/>
      </w:pPr>
      <w:r>
        <w:t>11. Fuentes</w:t>
      </w:r>
    </w:p>
    <w:p>
      <w:r>
        <w:rPr>
          <w:rFonts w:ascii="Calibri" w:hAnsi="Calibri"/>
          <w:b w:val="0"/>
          <w:i w:val="0"/>
          <w:color w:val="20243A"/>
          <w:sz w:val="22"/>
        </w:rPr>
        <w:t>Fuentes consultadas hasta el 19 de julio de 2026. Se han priorizado guías de práctica clínica, consensos profesionales, artículos originales y orientación regulatoria oficial. La implementación debe revisar actualizaciones y adaptar derivaciones al sistema sanitario de cada territorio.</w:t>
      </w:r>
    </w:p>
    <w:p>
      <w:r>
        <w:rPr>
          <w:rFonts w:ascii="Calibri" w:hAnsi="Calibri"/>
          <w:b/>
          <w:i w:val="0"/>
          <w:color w:val="171A3B"/>
          <w:sz w:val="19"/>
        </w:rPr>
        <w:t xml:space="preserve">SRC-01 · </w:t>
      </w:r>
      <w:r>
        <w:rPr>
          <w:rFonts w:ascii="Calibri" w:hAnsi="Calibri"/>
          <w:b w:val="0"/>
          <w:i w:val="0"/>
          <w:color w:val="20243A"/>
          <w:sz w:val="19"/>
        </w:rPr>
        <w:t xml:space="preserve">Riemann D, et al. The European Insomnia Guideline: an update on the diagnosis and treatment of insomnia 2023. J Sleep Res. 2023. </w:t>
      </w:r>
      <w:r>
        <w:rPr>
          <w:rFonts w:ascii="Calibri" w:hAnsi="Calibri"/>
          <w:b w:val="0"/>
          <w:i w:val="0"/>
          <w:color w:val="6D5CE7"/>
          <w:sz w:val="17"/>
        </w:rPr>
        <w:t>https://onlinelibrary.wiley.com/doi/full/10.1111/jsr.14035</w:t>
      </w:r>
    </w:p>
    <w:p>
      <w:pPr>
        <w:ind w:left="360"/>
      </w:pPr>
      <w:r>
        <w:rPr>
          <w:rFonts w:ascii="Calibri" w:hAnsi="Calibri"/>
          <w:b w:val="0"/>
          <w:i/>
          <w:color w:val="61657A"/>
          <w:sz w:val="18"/>
        </w:rPr>
        <w:t>Uso en Morpheo: Anamnesis, diario de sueño, cronicidad, repercusión diurna y diagnóstico diferencial del insomnio.</w:t>
      </w:r>
    </w:p>
    <w:p>
      <w:r>
        <w:rPr>
          <w:rFonts w:ascii="Calibri" w:hAnsi="Calibri"/>
          <w:b/>
          <w:i w:val="0"/>
          <w:color w:val="171A3B"/>
          <w:sz w:val="19"/>
        </w:rPr>
        <w:t xml:space="preserve">SRC-02 · </w:t>
      </w:r>
      <w:r>
        <w:rPr>
          <w:rFonts w:ascii="Calibri" w:hAnsi="Calibri"/>
          <w:b w:val="0"/>
          <w:i w:val="0"/>
          <w:color w:val="20243A"/>
          <w:sz w:val="19"/>
        </w:rPr>
        <w:t xml:space="preserve">Kapur VK, et al. Clinical Practice Guideline for Diagnostic Testing for Adult Obstructive Sleep Apnea. AASM. 2017. </w:t>
      </w:r>
      <w:r>
        <w:rPr>
          <w:rFonts w:ascii="Calibri" w:hAnsi="Calibri"/>
          <w:b w:val="0"/>
          <w:i w:val="0"/>
          <w:color w:val="6D5CE7"/>
          <w:sz w:val="17"/>
        </w:rPr>
        <w:t>https://www.aasm.org/resources/clinicalguidelines/diagnostic-testing-osa.pdf</w:t>
      </w:r>
    </w:p>
    <w:p>
      <w:pPr>
        <w:ind w:left="360"/>
      </w:pPr>
      <w:r>
        <w:rPr>
          <w:rFonts w:ascii="Calibri" w:hAnsi="Calibri"/>
          <w:b w:val="0"/>
          <w:i/>
          <w:color w:val="61657A"/>
          <w:sz w:val="18"/>
        </w:rPr>
        <w:t>Uso en Morpheo: La sospecha de AOS requiere evaluación clínica integral; los cuestionarios no establecen el diagnóstico.</w:t>
      </w:r>
    </w:p>
    <w:p>
      <w:r>
        <w:rPr>
          <w:rFonts w:ascii="Calibri" w:hAnsi="Calibri"/>
          <w:b/>
          <w:i w:val="0"/>
          <w:color w:val="171A3B"/>
          <w:sz w:val="19"/>
        </w:rPr>
        <w:t xml:space="preserve">SRC-03 · </w:t>
      </w:r>
      <w:r>
        <w:rPr>
          <w:rFonts w:ascii="Calibri" w:hAnsi="Calibri"/>
          <w:b w:val="0"/>
          <w:i w:val="0"/>
          <w:color w:val="20243A"/>
          <w:sz w:val="19"/>
        </w:rPr>
        <w:t xml:space="preserve">NICE NG202. Obstructive sleep apnoea/hypopnoea syndrome and obesity hypoventilation syndrome in over 16s. 2021. </w:t>
      </w:r>
      <w:r>
        <w:rPr>
          <w:rFonts w:ascii="Calibri" w:hAnsi="Calibri"/>
          <w:b w:val="0"/>
          <w:i w:val="0"/>
          <w:color w:val="6D5CE7"/>
          <w:sz w:val="17"/>
        </w:rPr>
        <w:t>https://www.nice.org.uk/guidance/ng202/chapter/1-obstructive-sleep-apnoeahypopnoea-syndrome</w:t>
      </w:r>
    </w:p>
    <w:p>
      <w:pPr>
        <w:ind w:left="360"/>
      </w:pPr>
      <w:r>
        <w:rPr>
          <w:rFonts w:ascii="Calibri" w:hAnsi="Calibri"/>
          <w:b w:val="0"/>
          <w:i/>
          <w:color w:val="61657A"/>
          <w:sz w:val="18"/>
        </w:rPr>
        <w:t>Uso en Morpheo: Conjunto de síntomas y condiciones asociadas que justifican sospecha y evaluación de AOS en adultos.</w:t>
      </w:r>
    </w:p>
    <w:p>
      <w:r>
        <w:rPr>
          <w:rFonts w:ascii="Calibri" w:hAnsi="Calibri"/>
          <w:b/>
          <w:i w:val="0"/>
          <w:color w:val="171A3B"/>
          <w:sz w:val="19"/>
        </w:rPr>
        <w:t xml:space="preserve">SRC-04 · </w:t>
      </w:r>
      <w:r>
        <w:rPr>
          <w:rFonts w:ascii="Calibri" w:hAnsi="Calibri"/>
          <w:b w:val="0"/>
          <w:i w:val="0"/>
          <w:color w:val="20243A"/>
          <w:sz w:val="19"/>
        </w:rPr>
        <w:t xml:space="preserve">NICE NG127. Suspected neurological conditions: recognition and referral. Adults aged over 16. Actualización vigente. </w:t>
      </w:r>
      <w:r>
        <w:rPr>
          <w:rFonts w:ascii="Calibri" w:hAnsi="Calibri"/>
          <w:b w:val="0"/>
          <w:i w:val="0"/>
          <w:color w:val="6D5CE7"/>
          <w:sz w:val="17"/>
        </w:rPr>
        <w:t>https://www.nice.org.uk/guidance/ng127/chapter/Recommendations-for-adults-aged-over-16</w:t>
      </w:r>
    </w:p>
    <w:p>
      <w:pPr>
        <w:ind w:left="360"/>
      </w:pPr>
      <w:r>
        <w:rPr>
          <w:rFonts w:ascii="Calibri" w:hAnsi="Calibri"/>
          <w:b w:val="0"/>
          <w:i/>
          <w:color w:val="61657A"/>
          <w:sz w:val="18"/>
        </w:rPr>
        <w:t>Uso en Morpheo: Derivación ante narcolepsia/cataplejía, crisis nocturnas de nueva aparición y conductas de sueño complejas o graves.</w:t>
      </w:r>
    </w:p>
    <w:p>
      <w:r>
        <w:rPr>
          <w:rFonts w:ascii="Calibri" w:hAnsi="Calibri"/>
          <w:b/>
          <w:i w:val="0"/>
          <w:color w:val="171A3B"/>
          <w:sz w:val="19"/>
        </w:rPr>
        <w:t xml:space="preserve">SRC-05 · </w:t>
      </w:r>
      <w:r>
        <w:rPr>
          <w:rFonts w:ascii="Calibri" w:hAnsi="Calibri"/>
          <w:b w:val="0"/>
          <w:i w:val="0"/>
          <w:color w:val="20243A"/>
          <w:sz w:val="19"/>
        </w:rPr>
        <w:t xml:space="preserve">Marcus CL, et al. Diagnosis and Management of Childhood Obstructive Sleep Apnea Syndrome. AAP. Pediatrics. 2012. </w:t>
      </w:r>
      <w:r>
        <w:rPr>
          <w:rFonts w:ascii="Calibri" w:hAnsi="Calibri"/>
          <w:b w:val="0"/>
          <w:i w:val="0"/>
          <w:color w:val="6D5CE7"/>
          <w:sz w:val="17"/>
        </w:rPr>
        <w:t>https://publications.aap.org/pediatrics/article/130/3/576/30284/Diagnosis-and-Management-of-Childhood-Obstructive</w:t>
      </w:r>
    </w:p>
    <w:p>
      <w:pPr>
        <w:ind w:left="360"/>
      </w:pPr>
      <w:r>
        <w:rPr>
          <w:rFonts w:ascii="Calibri" w:hAnsi="Calibri"/>
          <w:b w:val="0"/>
          <w:i/>
          <w:color w:val="61657A"/>
          <w:sz w:val="18"/>
        </w:rPr>
        <w:t>Uso en Morpheo: Cribado de ronquido y evaluación pediátrica cuando hay ronquido más síntomas o signos de AOS.</w:t>
      </w:r>
    </w:p>
    <w:p>
      <w:r>
        <w:rPr>
          <w:rFonts w:ascii="Calibri" w:hAnsi="Calibri"/>
          <w:b/>
          <w:i w:val="0"/>
          <w:color w:val="171A3B"/>
          <w:sz w:val="19"/>
        </w:rPr>
        <w:t xml:space="preserve">SRC-06 · </w:t>
      </w:r>
      <w:r>
        <w:rPr>
          <w:rFonts w:ascii="Calibri" w:hAnsi="Calibri"/>
          <w:b w:val="0"/>
          <w:i w:val="0"/>
          <w:color w:val="20243A"/>
          <w:sz w:val="19"/>
        </w:rPr>
        <w:t xml:space="preserve">Paruthi S, et al. Recommended Amount of Sleep for Pediatric Populations. AASM consensus recommendations. 2016. </w:t>
      </w:r>
      <w:r>
        <w:rPr>
          <w:rFonts w:ascii="Calibri" w:hAnsi="Calibri"/>
          <w:b w:val="0"/>
          <w:i w:val="0"/>
          <w:color w:val="6D5CE7"/>
          <w:sz w:val="17"/>
        </w:rPr>
        <w:t>https://aasm.org/resources/pdf/pediatricsleepdurationconsensus.pdf</w:t>
      </w:r>
    </w:p>
    <w:p>
      <w:pPr>
        <w:ind w:left="360"/>
      </w:pPr>
      <w:r>
        <w:rPr>
          <w:rFonts w:ascii="Calibri" w:hAnsi="Calibri"/>
          <w:b w:val="0"/>
          <w:i/>
          <w:color w:val="61657A"/>
          <w:sz w:val="18"/>
        </w:rPr>
        <w:t>Uso en Morpheo: Rangos orientativos de duración de sueño por edad entre 4 meses y 18 años.</w:t>
      </w:r>
    </w:p>
    <w:p>
      <w:r>
        <w:rPr>
          <w:rFonts w:ascii="Calibri" w:hAnsi="Calibri"/>
          <w:b/>
          <w:i w:val="0"/>
          <w:color w:val="171A3B"/>
          <w:sz w:val="19"/>
        </w:rPr>
        <w:t xml:space="preserve">SRC-07 · </w:t>
      </w:r>
      <w:r>
        <w:rPr>
          <w:rFonts w:ascii="Calibri" w:hAnsi="Calibri"/>
          <w:b w:val="0"/>
          <w:i w:val="0"/>
          <w:color w:val="20243A"/>
          <w:sz w:val="19"/>
        </w:rPr>
        <w:t xml:space="preserve">Smith MT, et al. Use of Actigraphy for the Evaluation of Sleep Disorders and Circadian Rhythm Sleep-Wake Disorders. AASM. 2018. </w:t>
      </w:r>
      <w:r>
        <w:rPr>
          <w:rFonts w:ascii="Calibri" w:hAnsi="Calibri"/>
          <w:b w:val="0"/>
          <w:i w:val="0"/>
          <w:color w:val="6D5CE7"/>
          <w:sz w:val="17"/>
        </w:rPr>
        <w:t>https://pmc.ncbi.nlm.nih.gov/articles/PMC6040807/</w:t>
      </w:r>
    </w:p>
    <w:p>
      <w:pPr>
        <w:ind w:left="360"/>
      </w:pPr>
      <w:r>
        <w:rPr>
          <w:rFonts w:ascii="Calibri" w:hAnsi="Calibri"/>
          <w:b w:val="0"/>
          <w:i/>
          <w:color w:val="61657A"/>
          <w:sz w:val="18"/>
        </w:rPr>
        <w:t>Uso en Morpheo: Diario y actigrafía como apoyo a la evaluación de patrones circadianos en adultos y población pediátrica.</w:t>
      </w:r>
    </w:p>
    <w:p>
      <w:r>
        <w:rPr>
          <w:rFonts w:ascii="Calibri" w:hAnsi="Calibri"/>
          <w:b/>
          <w:i w:val="0"/>
          <w:color w:val="171A3B"/>
          <w:sz w:val="19"/>
        </w:rPr>
        <w:t xml:space="preserve">SRC-08 · </w:t>
      </w:r>
      <w:r>
        <w:rPr>
          <w:rFonts w:ascii="Calibri" w:hAnsi="Calibri"/>
          <w:b w:val="0"/>
          <w:i w:val="0"/>
          <w:color w:val="20243A"/>
          <w:sz w:val="19"/>
        </w:rPr>
        <w:t xml:space="preserve">Allen RP, et al. Restless legs syndrome/Willis-Ekbom disease diagnostic criteria. IRLSSG. Sleep Med. 2014. </w:t>
      </w:r>
      <w:r>
        <w:rPr>
          <w:rFonts w:ascii="Calibri" w:hAnsi="Calibri"/>
          <w:b w:val="0"/>
          <w:i w:val="0"/>
          <w:color w:val="6D5CE7"/>
          <w:sz w:val="17"/>
        </w:rPr>
        <w:t>https://pubmed.ncbi.nlm.nih.gov/25023924/</w:t>
      </w:r>
    </w:p>
    <w:p>
      <w:pPr>
        <w:ind w:left="360"/>
      </w:pPr>
      <w:r>
        <w:rPr>
          <w:rFonts w:ascii="Calibri" w:hAnsi="Calibri"/>
          <w:b w:val="0"/>
          <w:i/>
          <w:color w:val="61657A"/>
          <w:sz w:val="18"/>
        </w:rPr>
        <w:t>Uso en Morpheo: Características cardinales de piernas inquietas y necesidad de excluir imitadores.</w:t>
      </w:r>
    </w:p>
    <w:p>
      <w:r>
        <w:rPr>
          <w:rFonts w:ascii="Calibri" w:hAnsi="Calibri"/>
          <w:b/>
          <w:i w:val="0"/>
          <w:color w:val="171A3B"/>
          <w:sz w:val="19"/>
        </w:rPr>
        <w:t xml:space="preserve">SRC-09 · </w:t>
      </w:r>
      <w:r>
        <w:rPr>
          <w:rFonts w:ascii="Calibri" w:hAnsi="Calibri"/>
          <w:b w:val="0"/>
          <w:i w:val="0"/>
          <w:color w:val="20243A"/>
          <w:sz w:val="19"/>
        </w:rPr>
        <w:t xml:space="preserve">Bassetti CLA, et al. European guideline and expert statements on the management of narcolepsy in adults and children. 2021. </w:t>
      </w:r>
      <w:r>
        <w:rPr>
          <w:rFonts w:ascii="Calibri" w:hAnsi="Calibri"/>
          <w:b w:val="0"/>
          <w:i w:val="0"/>
          <w:color w:val="6D5CE7"/>
          <w:sz w:val="17"/>
        </w:rPr>
        <w:t>https://pubmed.ncbi.nlm.nih.gov/34173695/</w:t>
      </w:r>
    </w:p>
    <w:p>
      <w:pPr>
        <w:ind w:left="360"/>
      </w:pPr>
      <w:r>
        <w:rPr>
          <w:rFonts w:ascii="Calibri" w:hAnsi="Calibri"/>
          <w:b w:val="0"/>
          <w:i/>
          <w:color w:val="61657A"/>
          <w:sz w:val="18"/>
        </w:rPr>
        <w:t>Uso en Morpheo: Marco clínico de narcolepsia en adultos y menores; la sospecha requiere evaluación especializada.</w:t>
      </w:r>
    </w:p>
    <w:p>
      <w:r>
        <w:rPr>
          <w:rFonts w:ascii="Calibri" w:hAnsi="Calibri"/>
          <w:b/>
          <w:i w:val="0"/>
          <w:color w:val="171A3B"/>
          <w:sz w:val="19"/>
        </w:rPr>
        <w:t xml:space="preserve">SRC-10 · </w:t>
      </w:r>
      <w:r>
        <w:rPr>
          <w:rFonts w:ascii="Calibri" w:hAnsi="Calibri"/>
          <w:b w:val="0"/>
          <w:i w:val="0"/>
          <w:color w:val="20243A"/>
          <w:sz w:val="19"/>
        </w:rPr>
        <w:t xml:space="preserve">AASM. Practice Parameters for the Indications for Polysomnography and Related Procedures. </w:t>
      </w:r>
      <w:r>
        <w:rPr>
          <w:rFonts w:ascii="Calibri" w:hAnsi="Calibri"/>
          <w:b w:val="0"/>
          <w:i w:val="0"/>
          <w:color w:val="6D5CE7"/>
          <w:sz w:val="17"/>
        </w:rPr>
        <w:t>https://aasm.org/resources/practiceparameters/pp_polysomnography.pdf</w:t>
      </w:r>
    </w:p>
    <w:p>
      <w:pPr>
        <w:ind w:left="360"/>
      </w:pPr>
      <w:r>
        <w:rPr>
          <w:rFonts w:ascii="Calibri" w:hAnsi="Calibri"/>
          <w:b w:val="0"/>
          <w:i/>
          <w:color w:val="61657A"/>
          <w:sz w:val="18"/>
        </w:rPr>
        <w:t>Uso en Morpheo: Evaluación de conductas nocturnas atípicas, violentas, lesivas o potencialmente epilépticas.</w:t>
      </w:r>
    </w:p>
    <w:p>
      <w:r>
        <w:rPr>
          <w:rFonts w:ascii="Calibri" w:hAnsi="Calibri"/>
          <w:b/>
          <w:i w:val="0"/>
          <w:color w:val="171A3B"/>
          <w:sz w:val="19"/>
        </w:rPr>
        <w:t xml:space="preserve">SRC-11 · </w:t>
      </w:r>
      <w:r>
        <w:rPr>
          <w:rFonts w:ascii="Calibri" w:hAnsi="Calibri"/>
          <w:b w:val="0"/>
          <w:i w:val="0"/>
          <w:color w:val="20243A"/>
          <w:sz w:val="19"/>
        </w:rPr>
        <w:t xml:space="preserve">Johns MW. A new method for measuring daytime sleepiness: the Epworth sleepiness scale. Sleep. 1991. </w:t>
      </w:r>
      <w:r>
        <w:rPr>
          <w:rFonts w:ascii="Calibri" w:hAnsi="Calibri"/>
          <w:b w:val="0"/>
          <w:i w:val="0"/>
          <w:color w:val="6D5CE7"/>
          <w:sz w:val="17"/>
        </w:rPr>
        <w:t>https://pubmed.ncbi.nlm.nih.gov/1798888/</w:t>
      </w:r>
    </w:p>
    <w:p>
      <w:pPr>
        <w:ind w:left="360"/>
      </w:pPr>
      <w:r>
        <w:rPr>
          <w:rFonts w:ascii="Calibri" w:hAnsi="Calibri"/>
          <w:b w:val="0"/>
          <w:i/>
          <w:color w:val="61657A"/>
          <w:sz w:val="18"/>
        </w:rPr>
        <w:t>Uso en Morpheo: La escala mide propensión subjetiva al sueño; no diagnostica por sí sola la causa.</w:t>
      </w:r>
    </w:p>
    <w:p>
      <w:r>
        <w:rPr>
          <w:rFonts w:ascii="Calibri" w:hAnsi="Calibri"/>
          <w:b/>
          <w:i w:val="0"/>
          <w:color w:val="171A3B"/>
          <w:sz w:val="19"/>
        </w:rPr>
        <w:t xml:space="preserve">SRC-12 · </w:t>
      </w:r>
      <w:r>
        <w:rPr>
          <w:rFonts w:ascii="Calibri" w:hAnsi="Calibri"/>
          <w:b w:val="0"/>
          <w:i w:val="0"/>
          <w:color w:val="20243A"/>
          <w:sz w:val="19"/>
        </w:rPr>
        <w:t xml:space="preserve">Chung F, et al. High STOP-Bang score indicates a high probability of obstructive sleep apnoea. Br J Anaesth. 2012. </w:t>
      </w:r>
      <w:r>
        <w:rPr>
          <w:rFonts w:ascii="Calibri" w:hAnsi="Calibri"/>
          <w:b w:val="0"/>
          <w:i w:val="0"/>
          <w:color w:val="6D5CE7"/>
          <w:sz w:val="17"/>
        </w:rPr>
        <w:t>https://pmc.ncbi.nlm.nih.gov/articles/PMC3325050/</w:t>
      </w:r>
    </w:p>
    <w:p>
      <w:pPr>
        <w:ind w:left="360"/>
      </w:pPr>
      <w:r>
        <w:rPr>
          <w:rFonts w:ascii="Calibri" w:hAnsi="Calibri"/>
          <w:b w:val="0"/>
          <w:i/>
          <w:color w:val="61657A"/>
          <w:sz w:val="18"/>
        </w:rPr>
        <w:t>Uso en Morpheo: STOP-Bang es un instrumento de cribado, no una prueba diagnóstica.</w:t>
      </w:r>
    </w:p>
    <w:p>
      <w:r>
        <w:rPr>
          <w:rFonts w:ascii="Calibri" w:hAnsi="Calibri"/>
          <w:b/>
          <w:i w:val="0"/>
          <w:color w:val="171A3B"/>
          <w:sz w:val="19"/>
        </w:rPr>
        <w:t xml:space="preserve">SRC-13 · </w:t>
      </w:r>
      <w:r>
        <w:rPr>
          <w:rFonts w:ascii="Calibri" w:hAnsi="Calibri"/>
          <w:b w:val="0"/>
          <w:i w:val="0"/>
          <w:color w:val="20243A"/>
          <w:sz w:val="19"/>
        </w:rPr>
        <w:t xml:space="preserve">MDCG 2019-11 rev.1. Guidance on Qualification and Classification of Software under MDR/IVDR. Comisión Europea. 2025. </w:t>
      </w:r>
      <w:r>
        <w:rPr>
          <w:rFonts w:ascii="Calibri" w:hAnsi="Calibri"/>
          <w:b w:val="0"/>
          <w:i w:val="0"/>
          <w:color w:val="6D5CE7"/>
          <w:sz w:val="17"/>
        </w:rPr>
        <w:t>https://health.ec.europa.eu/document/download/b45335c5-1679-4c71-a91c-fc7a4d37f12b_en?filename=mdcg_2019_11_en.pdf</w:t>
      </w:r>
    </w:p>
    <w:p>
      <w:pPr>
        <w:ind w:left="360"/>
      </w:pPr>
      <w:r>
        <w:rPr>
          <w:rFonts w:ascii="Calibri" w:hAnsi="Calibri"/>
          <w:b w:val="0"/>
          <w:i/>
          <w:color w:val="61657A"/>
          <w:sz w:val="18"/>
        </w:rPr>
        <w:t>Uso en Morpheo: El propósito previsto, los claims y las decisiones que informa el software condicionan la cualificación y clasificación.</w:t>
      </w:r>
    </w:p>
    <w:p>
      <w:r>
        <w:rPr>
          <w:rFonts w:ascii="Calibri" w:hAnsi="Calibri"/>
          <w:b/>
          <w:i w:val="0"/>
          <w:color w:val="171A3B"/>
          <w:sz w:val="19"/>
        </w:rPr>
        <w:t xml:space="preserve">SRC-14 · </w:t>
      </w:r>
      <w:r>
        <w:rPr>
          <w:rFonts w:ascii="Calibri" w:hAnsi="Calibri"/>
          <w:b w:val="0"/>
          <w:i w:val="0"/>
          <w:color w:val="20243A"/>
          <w:sz w:val="19"/>
        </w:rPr>
        <w:t xml:space="preserve">Grupo de Trabajo de Insomnio de la Sociedad Española de Sueño. Recomendaciones de valoración clínica y tratamiento inicial del insomnio en Atención Primaria. </w:t>
      </w:r>
      <w:r>
        <w:rPr>
          <w:rFonts w:ascii="Calibri" w:hAnsi="Calibri"/>
          <w:b w:val="0"/>
          <w:i w:val="0"/>
          <w:color w:val="6D5CE7"/>
          <w:sz w:val="17"/>
        </w:rPr>
        <w:t>Documento aportado por The Somnus.</w:t>
      </w:r>
    </w:p>
    <w:p>
      <w:pPr>
        <w:ind w:left="360"/>
      </w:pPr>
      <w:r>
        <w:rPr>
          <w:rFonts w:ascii="Calibri" w:hAnsi="Calibri"/>
          <w:b w:val="0"/>
          <w:i/>
          <w:color w:val="61657A"/>
          <w:sz w:val="18"/>
        </w:rPr>
        <w:t>Uso en Morpheo: Valoración inicial del insomnio, diagnóstico diferencial y prudencia terapéutica en Atención Primaria.</w:t>
      </w:r>
    </w:p>
    <w:p>
      <w:r>
        <w:rPr>
          <w:rFonts w:ascii="Calibri" w:hAnsi="Calibri"/>
          <w:b/>
          <w:i w:val="0"/>
          <w:color w:val="171A3B"/>
          <w:sz w:val="19"/>
        </w:rPr>
        <w:t xml:space="preserve">SRC-15 · </w:t>
      </w:r>
      <w:r>
        <w:rPr>
          <w:rFonts w:ascii="Calibri" w:hAnsi="Calibri"/>
          <w:b w:val="0"/>
          <w:i w:val="0"/>
          <w:color w:val="20243A"/>
          <w:sz w:val="19"/>
        </w:rPr>
        <w:t xml:space="preserve">Morpheo. Protocolo de validación clínica con casos simulados, versión aportada por The Somnus. </w:t>
      </w:r>
      <w:r>
        <w:rPr>
          <w:rFonts w:ascii="Calibri" w:hAnsi="Calibri"/>
          <w:b w:val="0"/>
          <w:i w:val="0"/>
          <w:color w:val="6D5CE7"/>
          <w:sz w:val="17"/>
        </w:rPr>
        <w:t>Documento aportado por The Somnus.</w:t>
      </w:r>
    </w:p>
    <w:p>
      <w:pPr>
        <w:ind w:left="360"/>
      </w:pPr>
      <w:r>
        <w:rPr>
          <w:rFonts w:ascii="Calibri" w:hAnsi="Calibri"/>
          <w:b w:val="0"/>
          <w:i/>
          <w:color w:val="61657A"/>
          <w:sz w:val="18"/>
        </w:rPr>
        <w:t>Uso en Morpheo: Banderas rojas, estructura de respuesta profesional, métricas de seguridad y plan de validación.</w:t>
      </w:r>
    </w:p>
    <w:p>
      <w:pPr>
        <w:pStyle w:val="Heading1"/>
      </w:pPr>
      <w:r>
        <w:t>Control documental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1A3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Propietario clínico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Dirección clínica de The Somnus.</w:t>
            </w:r>
          </w:p>
        </w:tc>
      </w:tr>
      <w:tr>
        <w:trPr>
          <w:cantSplit/>
        </w:trPr>
        <w:tc>
          <w:tcPr>
            <w:tcW w:type="dxa" w:w="22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Propietario de producto</w:t>
            </w:r>
          </w:p>
        </w:tc>
        <w:tc>
          <w:tcPr>
            <w:tcW w:type="dxa" w:w="71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Responsable de Morpheo.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Implementación web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Orlando David Name Duran.</w:t>
            </w:r>
          </w:p>
        </w:tc>
      </w:tr>
      <w:tr>
        <w:trPr>
          <w:cantSplit/>
        </w:trPr>
        <w:tc>
          <w:tcPr>
            <w:tcW w:type="dxa" w:w="22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Versión</w:t>
            </w:r>
          </w:p>
        </w:tc>
        <w:tc>
          <w:tcPr>
            <w:tcW w:type="dxa" w:w="71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Próxima revisión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Antes del primer desarrollo funcional y tras cualquier cambio de intended use, modelo o claim.</w:t>
            </w:r>
          </w:p>
        </w:tc>
      </w:tr>
      <w:tr>
        <w:trPr>
          <w:cantSplit/>
        </w:trPr>
        <w:tc>
          <w:tcPr>
            <w:tcW w:type="dxa" w:w="220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Estado</w:t>
            </w:r>
          </w:p>
        </w:tc>
        <w:tc>
          <w:tcPr>
            <w:tcW w:type="dxa" w:w="7160"/>
            <w:shd w:fill="F1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3A"/>
                <w:sz w:val="19"/>
              </w:rPr>
              <w:t>Especificación de trabajo; requiere aprobación clínica, regulatoria, legal y de protección de datos.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96" w:right="1224" w:bottom="1224" w:left="1224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1657A"/>
        <w:sz w:val="17"/>
      </w:rPr>
      <w:t xml:space="preserve">Versión 1.0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1657A"/>
        <w:sz w:val="17"/>
      </w:rPr>
      <w:t>THE SOMNUS · MORPHEO · ALGORITMOS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4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71A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6D5CE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1A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