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F3" w:rsidRPr="001E1101" w:rsidRDefault="00A075F3" w:rsidP="00960869">
      <w:pPr>
        <w:spacing w:after="4000" w:line="240" w:lineRule="auto"/>
        <w:jc w:val="center"/>
        <w:rPr>
          <w:rFonts w:asciiTheme="majorHAnsi" w:hAnsiTheme="majorHAnsi"/>
          <w:sz w:val="22"/>
        </w:rPr>
      </w:pPr>
      <w:r w:rsidRPr="001E1101">
        <w:rPr>
          <w:rFonts w:asciiTheme="majorHAnsi" w:hAnsiTheme="majorHAnsi"/>
          <w:sz w:val="22"/>
        </w:rPr>
        <w:t>REPÚBLICA BOLIVARIANA DE VENEZUELA</w:t>
      </w:r>
      <w:r w:rsidRPr="001E1101">
        <w:rPr>
          <w:rFonts w:asciiTheme="majorHAnsi" w:hAnsiTheme="majorHAnsi"/>
          <w:sz w:val="22"/>
        </w:rPr>
        <w:br/>
        <w:t>MINISTERIO DEL PODER POPULAR PARA LA EDUCACIÓN SUPERIOR</w:t>
      </w:r>
      <w:r w:rsidRPr="001E1101">
        <w:rPr>
          <w:rFonts w:asciiTheme="majorHAnsi" w:hAnsiTheme="majorHAnsi"/>
          <w:sz w:val="22"/>
        </w:rPr>
        <w:br/>
        <w:t>UNIVERSIDAD POLITÉCNICA TERRITORIAL DEL ESTADO PORTUGUESA J.J. MONTILLA</w:t>
      </w:r>
      <w:r w:rsidRPr="001E1101">
        <w:rPr>
          <w:rFonts w:asciiTheme="majorHAnsi" w:hAnsiTheme="majorHAnsi"/>
          <w:sz w:val="22"/>
        </w:rPr>
        <w:br/>
        <w:t>GUANARE-PORTUGUESA</w:t>
      </w:r>
    </w:p>
    <w:p w:rsidR="00A075F3" w:rsidRPr="001E1101" w:rsidRDefault="00990095" w:rsidP="001E1101">
      <w:pPr>
        <w:jc w:val="center"/>
        <w:rPr>
          <w:rFonts w:asciiTheme="majorHAnsi" w:hAnsiTheme="majorHAnsi"/>
          <w:sz w:val="40"/>
        </w:rPr>
      </w:pPr>
      <w:r w:rsidRPr="001E1101">
        <w:rPr>
          <w:rFonts w:asciiTheme="majorHAnsi" w:hAnsiTheme="majorHAnsi"/>
          <w:sz w:val="40"/>
        </w:rPr>
        <w:t>SUCESIONES</w:t>
      </w:r>
      <w:r w:rsidRPr="001E1101">
        <w:rPr>
          <w:rFonts w:asciiTheme="majorHAnsi" w:hAnsiTheme="majorHAnsi"/>
          <w:sz w:val="40"/>
        </w:rPr>
        <w:br/>
        <w:t>Y SERIES</w:t>
      </w:r>
    </w:p>
    <w:p w:rsidR="00A075F3" w:rsidRPr="001E1101" w:rsidRDefault="00202FD3" w:rsidP="00482A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3.55pt;margin-top:0;width:204.25pt;height:95.4pt;z-index:251661312;visibility:visible;mso-position-horizontal:right;mso-position-horizontal-relative:margin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LnJQIAACMEAAAOAAAAZHJzL2Uyb0RvYy54bWysU9tu2zAMfR+wfxD0vthx4yUx4hRdugwD&#10;ugvQ7QMYSY6FyaInKbG7rx+lpGmwvQ3zg0Ca5NHhIbW6HTvDjsp5jbbm00nOmbICpbb7mn//tn2z&#10;4MwHsBIMWlXzJ+X57fr1q9XQV6rAFo1UjhGI9dXQ17wNoa+yzItWdeAn2CtLwQZdB4Fct8+kg4HQ&#10;O5MVef42G9DJ3qFQ3tPf+1OQrxN+0ygRvjSNV4GZmhO3kE6Xzl08s/UKqr2DvtXiTAP+gUUH2tKl&#10;F6h7CMAOTv8F1Wnh0GMTJgK7DJtGC5V6oG6m+R/dPLbQq9QLieP7i0z+/8GKz8evjmlJs+PMQkcj&#10;2hxAOmRSsaDGgKyIIg29ryj3safsML7DMRbEhn3/gOKHZxY3Ldi9unMOh1aBJJLTWJldlZ5wfATZ&#10;DZ9Q0m1wCJiAxsZ1EZA0YYROw3q6DIh4MEE/i3J5s5yXnAmKTfP5zXxRpjugei7vnQ8fFHYsGjV3&#10;tAEJHo4PPkQ6UD2nJPpotNxqY5Lj9ruNcewItC3b9J3R/XWasWyo+bIsyoRsMdanRep0oG02uqv5&#10;Io9fLIcqyvHeymQH0OZkExNjz/pESU7ihHE3UmIUbYfyiZRyeNpaemVktOh+cTbQxtbc/zyAU5yZ&#10;j5bUXk5ns7jiyZmV84Icdx3ZXUfACoKqeeDsZG5CehaRr8U7mkqjk14vTM5caROTjOdXE1f92k9Z&#10;L297/RsAAP//AwBQSwMEFAAGAAgAAAAhACv9UlrbAAAABQEAAA8AAABkcnMvZG93bnJldi54bWxM&#10;j8FOwzAQRO9I/IO1SFwQdYratA1xKkACcW3pB2zibRIRr6PYbdK/Z+FCLyOtZjTzNt9OrlNnGkLr&#10;2cB8loAirrxtuTZw+Hp/XIMKEdli55kMXCjAtri9yTGzfuQdnfexVlLCIUMDTYx9pnWoGnIYZr4n&#10;Fu/oB4dRzqHWdsBRyl2nn5Ik1Q5bloUGe3prqPren5yB4+f4sNyM5Uc8rHaL9BXbVekvxtzfTS/P&#10;oCJN8T8Mv/iCDoUwlf7ENqjOgDwS/1S8RbJegiollG7moItcX9MXPwAAAP//AwBQSwECLQAUAAYA&#10;CAAAACEAtoM4kv4AAADhAQAAEwAAAAAAAAAAAAAAAAAAAAAAW0NvbnRlbnRfVHlwZXNdLnhtbFBL&#10;AQItABQABgAIAAAAIQA4/SH/1gAAAJQBAAALAAAAAAAAAAAAAAAAAC8BAABfcmVscy8ucmVsc1BL&#10;AQItABQABgAIAAAAIQDltjLnJQIAACMEAAAOAAAAAAAAAAAAAAAAAC4CAABkcnMvZTJvRG9jLnht&#10;bFBLAQItABQABgAIAAAAIQAr/VJa2wAAAAUBAAAPAAAAAAAAAAAAAAAAAH8EAABkcnMvZG93bnJl&#10;di54bWxQSwUGAAAAAAQABADzAAAAhwUAAAAA&#10;" stroked="f">
            <v:textbox>
              <w:txbxContent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bookmarkStart w:id="0" w:name="_GoBack"/>
                  <w:r w:rsidRPr="0057230C">
                    <w:rPr>
                      <w:rFonts w:asciiTheme="majorHAnsi" w:hAnsiTheme="majorHAnsi"/>
                    </w:rPr>
                    <w:t>INTEGRANTES:</w:t>
                  </w:r>
                </w:p>
                <w:p w:rsidR="00EE5F39" w:rsidRPr="0057230C" w:rsidRDefault="00EE5F39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27.216.702 ADRIAN MARQUEZ</w:t>
                  </w:r>
                </w:p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27.635.379 VICTOR GUDIÑO</w:t>
                  </w:r>
                </w:p>
                <w:p w:rsidR="00A075F3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27.944.863 NEOMAR RODRIGUEZ</w:t>
                  </w:r>
                </w:p>
                <w:p w:rsidR="00424F1A" w:rsidRPr="0057230C" w:rsidRDefault="00424F1A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424F1A">
                    <w:rPr>
                      <w:rFonts w:asciiTheme="majorHAnsi" w:hAnsiTheme="majorHAnsi"/>
                    </w:rPr>
                    <w:t>29.669.993 YAIFRAN MENDEZ</w:t>
                  </w:r>
                  <w:bookmarkEnd w:id="0"/>
                </w:p>
              </w:txbxContent>
            </v:textbox>
            <w10:wrap type="square" anchorx="margin" anchory="margin"/>
          </v:shape>
        </w:pict>
      </w:r>
      <w:r>
        <w:rPr>
          <w:rFonts w:asciiTheme="majorHAnsi" w:hAnsiTheme="majorHAnsi"/>
          <w:noProof/>
          <w:lang w:eastAsia="es-VE"/>
        </w:rPr>
        <w:pict>
          <v:shape id="_x0000_s1028" type="#_x0000_t202" style="position:absolute;margin-left:0;margin-top:0;width:176.75pt;height:57.75pt;z-index:251660288;visibility:visible;mso-width-percent:400;mso-position-horizontal:left;mso-position-horizontal-relative:margin;mso-position-vertical:bottom;mso-position-vertic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H+TWlfdAAAABQEAAA8AAABkcnMvZG93bnJl&#10;di54bWxMj0tPwzAQhO9I/Adrkbgg6iSVeIQ4VXlduLUEieM23iaBeB3F2zbw63G5wGWl0Yxmvi0W&#10;k+vVnsbQeTaQzhJQxLW3HTcGqtfnyxtQQZAt9p7JwBcFWJSnJwXm1h94Rfu1NCqWcMjRQCsy5FqH&#10;uiWHYeYH4uht/ehQohwbbUc8xHLX6yxJrrTDjuNCiwM9tFR/rnfOwPd99bh8upB0m8l79rZyL1X9&#10;gcacn03LO1BCk/yF4Ygf0aGMTBu/YxtUbyA+Ir83evPr+S2ojYEsS1PQZaH/05c/AAAA//8DAFBL&#10;AQItABQABgAIAAAAIQC2gziS/gAAAOEBAAATAAAAAAAAAAAAAAAAAAAAAABbQ29udGVudF9UeXBl&#10;c10ueG1sUEsBAi0AFAAGAAgAAAAhADj9If/WAAAAlAEAAAsAAAAAAAAAAAAAAAAALwEAAF9yZWxz&#10;Ly5yZWxzUEsBAi0AFAAGAAgAAAAhAMbyHxArAgAALAQAAA4AAAAAAAAAAAAAAAAALgIAAGRycy9l&#10;Mm9Eb2MueG1sUEsBAi0AFAAGAAgAAAAhAH+TWlfdAAAABQEAAA8AAAAAAAAAAAAAAAAAhQQAAGRy&#10;cy9kb3ducmV2LnhtbFBLBQYAAAAABAAEAPMAAACPBQAAAAA=&#10;" stroked="f">
            <v:textbox>
              <w:txbxContent>
                <w:p w:rsidR="00A075F3" w:rsidRPr="0057230C" w:rsidRDefault="00A075F3" w:rsidP="00482A95">
                  <w:pPr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PROF:</w:t>
                  </w:r>
                </w:p>
                <w:p w:rsidR="00A075F3" w:rsidRPr="0057230C" w:rsidRDefault="00A075F3" w:rsidP="00482A95">
                  <w:pPr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MELKICEDE CAMACHO</w:t>
                  </w:r>
                </w:p>
              </w:txbxContent>
            </v:textbox>
            <w10:wrap type="square" anchorx="margin" anchory="margin"/>
          </v:shape>
        </w:pict>
      </w:r>
      <w:r w:rsidR="00A075F3" w:rsidRPr="001E1101">
        <w:rPr>
          <w:rFonts w:asciiTheme="majorHAnsi" w:hAnsiTheme="majorHAnsi"/>
        </w:rPr>
        <w:br w:type="page"/>
      </w:r>
    </w:p>
    <w:p w:rsidR="00685D86" w:rsidRDefault="00685D86" w:rsidP="00685D86">
      <w:pPr>
        <w:pStyle w:val="Ttulo1"/>
      </w:pPr>
      <w:bookmarkStart w:id="1" w:name="_Toc40275583"/>
      <w:r>
        <w:lastRenderedPageBreak/>
        <w:t>ÍNDICE</w:t>
      </w:r>
      <w:bookmarkEnd w:id="1"/>
    </w:p>
    <w:sdt>
      <w:sdtPr>
        <w:rPr>
          <w:rStyle w:val="Hipervnculo"/>
          <w:rFonts w:asciiTheme="minorHAnsi" w:eastAsiaTheme="minorHAnsi" w:hAnsiTheme="minorHAnsi" w:cstheme="minorBidi"/>
          <w:b w:val="0"/>
          <w:bCs w:val="0"/>
          <w:noProof/>
          <w:sz w:val="24"/>
          <w:szCs w:val="22"/>
          <w:lang w:val="es-VE"/>
        </w:rPr>
        <w:id w:val="33366627"/>
        <w:docPartObj>
          <w:docPartGallery w:val="Table of Contents"/>
          <w:docPartUnique/>
        </w:docPartObj>
      </w:sdtPr>
      <w:sdtEndPr>
        <w:rPr>
          <w:rStyle w:val="Fuentedeprrafopredeter"/>
          <w:noProof w:val="0"/>
          <w:color w:val="auto"/>
          <w:u w:val="none"/>
          <w:lang w:val="es-ES"/>
        </w:rPr>
      </w:sdtEndPr>
      <w:sdtContent>
        <w:p w:rsidR="00E94F0B" w:rsidRPr="00E94F0B" w:rsidRDefault="00E94F0B">
          <w:pPr>
            <w:pStyle w:val="TtulodeTDC"/>
            <w:rPr>
              <w:rStyle w:val="Hipervnculo"/>
              <w:rFonts w:asciiTheme="minorHAnsi" w:eastAsiaTheme="minorHAnsi" w:hAnsiTheme="minorHAnsi" w:cstheme="minorBidi"/>
              <w:b w:val="0"/>
              <w:bCs w:val="0"/>
              <w:noProof/>
              <w:sz w:val="10"/>
              <w:szCs w:val="22"/>
              <w:lang w:val="es-VE"/>
            </w:rPr>
          </w:pPr>
        </w:p>
        <w:p w:rsidR="00E94F0B" w:rsidRDefault="00E94F0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75583" w:history="1">
            <w:r w:rsidRPr="00CB4747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F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84" w:history="1">
            <w:r w:rsidR="00E94F0B" w:rsidRPr="00CB4747">
              <w:rPr>
                <w:rStyle w:val="Hipervnculo"/>
                <w:noProof/>
              </w:rPr>
              <w:t>DEFINICIÓN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_Toc40275584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5" w:history="1">
            <w:r w:rsidR="00E94F0B" w:rsidRPr="00CB4747">
              <w:rPr>
                <w:rStyle w:val="Hipervnculo"/>
                <w:noProof/>
              </w:rPr>
              <w:t>Sucesión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_Toc40275585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6" w:history="1">
            <w:r w:rsidR="00E94F0B" w:rsidRPr="00CB4747">
              <w:rPr>
                <w:rStyle w:val="Hipervnculo"/>
                <w:noProof/>
              </w:rPr>
              <w:t>Series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_Toc40275586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87" w:history="1">
            <w:r w:rsidR="00E94F0B" w:rsidRPr="00CB4747">
              <w:rPr>
                <w:rStyle w:val="Hipervnculo"/>
                <w:noProof/>
              </w:rPr>
              <w:t>CRITERIOS DE CONVERGENCIA Y DIVERGENCIA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_Toc40275587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8" w:history="1">
            <w:r w:rsidR="00E94F0B" w:rsidRPr="00CB4747">
              <w:rPr>
                <w:rStyle w:val="Hipervnculo"/>
                <w:noProof/>
              </w:rPr>
              <w:t>Criterio de d’Alembert o del cociente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_Toc40275588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9" w:history="1">
            <w:r w:rsidR="00E94F0B" w:rsidRPr="00CB4747">
              <w:rPr>
                <w:rStyle w:val="Hipervnculo"/>
                <w:noProof/>
              </w:rPr>
              <w:t>Criterio de la raíz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_Toc40275589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0" w:history="1">
            <w:r w:rsidR="00E94F0B" w:rsidRPr="00CB4747">
              <w:rPr>
                <w:rStyle w:val="Hipervnculo"/>
                <w:noProof/>
              </w:rPr>
              <w:t>Criterio de Raabe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_Toc40275590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1" w:history="1">
            <w:r w:rsidR="00E94F0B" w:rsidRPr="00CB4747">
              <w:rPr>
                <w:rStyle w:val="Hipervnculo"/>
                <w:noProof/>
              </w:rPr>
              <w:t>Criterio de Cauchy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_Toc40275591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2" w:history="1">
            <w:r w:rsidR="00E94F0B" w:rsidRPr="00CB4747">
              <w:rPr>
                <w:rStyle w:val="Hipervnculo"/>
                <w:noProof/>
              </w:rPr>
              <w:t>Criterio de Leibniz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_Toc40275592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93" w:history="1">
            <w:r w:rsidR="00E94F0B" w:rsidRPr="00CB4747">
              <w:rPr>
                <w:rStyle w:val="Hipervnculo"/>
                <w:noProof/>
              </w:rPr>
              <w:t>TIPOS DE SERIES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_Toc40275593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4" w:history="1">
            <w:r w:rsidR="00E94F0B" w:rsidRPr="00CB4747">
              <w:rPr>
                <w:rStyle w:val="Hipervnculo"/>
                <w:noProof/>
              </w:rPr>
              <w:t>Sumas parciales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_Toc40275594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202F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5" w:history="1">
            <w:r w:rsidR="00E94F0B" w:rsidRPr="00CB4747">
              <w:rPr>
                <w:rStyle w:val="Hipervnculo"/>
                <w:noProof/>
              </w:rPr>
              <w:t>Serie de Taylor</w:t>
            </w:r>
            <w:r w:rsidR="00E94F0B">
              <w:rPr>
                <w:noProof/>
                <w:webHidden/>
              </w:rPr>
              <w:tab/>
            </w:r>
            <w:r w:rsidR="00E94F0B">
              <w:rPr>
                <w:noProof/>
                <w:webHidden/>
              </w:rPr>
              <w:fldChar w:fldCharType="begin"/>
            </w:r>
            <w:r w:rsidR="00E94F0B">
              <w:rPr>
                <w:noProof/>
                <w:webHidden/>
              </w:rPr>
              <w:instrText xml:space="preserve"> PAGEREF _Toc40275595 \h </w:instrText>
            </w:r>
            <w:r w:rsidR="00E94F0B">
              <w:rPr>
                <w:noProof/>
                <w:webHidden/>
              </w:rPr>
            </w:r>
            <w:r w:rsidR="00E94F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4F0B"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85D86" w:rsidRPr="00685D86" w:rsidRDefault="00685D86" w:rsidP="00685D86"/>
    <w:p w:rsidR="00685D86" w:rsidRDefault="00685D86" w:rsidP="00685D86">
      <w:pPr>
        <w:pStyle w:val="Ttulo1"/>
      </w:pPr>
      <w:r>
        <w:br w:type="page"/>
      </w:r>
    </w:p>
    <w:p w:rsidR="005F07CF" w:rsidRPr="00EC3564" w:rsidRDefault="003940AA" w:rsidP="00674819">
      <w:pPr>
        <w:pStyle w:val="Ttulo1"/>
      </w:pPr>
      <w:bookmarkStart w:id="2" w:name="_Toc40275584"/>
      <w:r w:rsidRPr="00EC3564">
        <w:lastRenderedPageBreak/>
        <w:t>DEFINICIÓN</w:t>
      </w:r>
      <w:bookmarkEnd w:id="2"/>
      <w:r w:rsidR="00D31D89">
        <w:fldChar w:fldCharType="begin"/>
      </w:r>
      <w:r w:rsidR="00D31D89">
        <w:instrText xml:space="preserve"> XE "</w:instrText>
      </w:r>
      <w:r w:rsidR="00D31D89" w:rsidRPr="00D51EAB">
        <w:instrText>DEFINICIÓN</w:instrText>
      </w:r>
      <w:r w:rsidR="00D31D89">
        <w:instrText xml:space="preserve">" </w:instrText>
      </w:r>
      <w:r w:rsidR="00D31D89">
        <w:fldChar w:fldCharType="end"/>
      </w:r>
    </w:p>
    <w:p w:rsidR="003940AA" w:rsidRPr="00EC3564" w:rsidRDefault="003940AA" w:rsidP="00482A95">
      <w:pPr>
        <w:pStyle w:val="Ttulo2"/>
      </w:pPr>
      <w:bookmarkStart w:id="3" w:name="_Toc40275585"/>
      <w:r w:rsidRPr="00EC3564">
        <w:t>Sucesión</w:t>
      </w:r>
      <w:bookmarkEnd w:id="3"/>
      <w:r w:rsidR="00D31D89">
        <w:fldChar w:fldCharType="begin"/>
      </w:r>
      <w:r w:rsidR="00D31D89">
        <w:instrText xml:space="preserve"> XE "</w:instrText>
      </w:r>
      <w:r w:rsidR="00D31D89" w:rsidRPr="00D51EAB">
        <w:instrText>Sucesión</w:instrText>
      </w:r>
      <w:r w:rsidR="00D31D89">
        <w:instrText xml:space="preserve">" </w:instrText>
      </w:r>
      <w:r w:rsidR="00D31D89">
        <w:fldChar w:fldCharType="end"/>
      </w:r>
    </w:p>
    <w:p w:rsidR="003940AA" w:rsidRPr="003940AA" w:rsidRDefault="003940AA" w:rsidP="00824D14">
      <w:pPr>
        <w:ind w:firstLine="708"/>
      </w:pPr>
      <w:r w:rsidRPr="003940AA">
        <w:t>Una sucesión numérica se formaliza como una aplicación de los números naturales sobre otro conjunto numérico X, de manera:</w:t>
      </w:r>
    </w:p>
    <w:p w:rsidR="003940AA" w:rsidRPr="003940AA" w:rsidRDefault="00202FD3" w:rsidP="00482A95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:N→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borderBox>
        </m:oMath>
      </m:oMathPara>
    </w:p>
    <w:p w:rsidR="003940AA" w:rsidRDefault="003940AA" w:rsidP="00824D14">
      <w:pPr>
        <w:ind w:firstLine="708"/>
        <w:rPr>
          <w:rFonts w:eastAsiaTheme="minorEastAsia"/>
        </w:rPr>
      </w:pPr>
      <w:r w:rsidRPr="003940AA">
        <w:t>Por norma general, la sucesión numérica se formaliza como una aplicación de los números naturales en los números reales. En cualquier caso se denota simplemente como</w:t>
      </w:r>
      <w:r w:rsidR="006040C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</w:p>
    <w:p w:rsidR="004349BA" w:rsidRDefault="004349BA" w:rsidP="00824D14">
      <w:pPr>
        <w:ind w:firstLine="708"/>
      </w:pPr>
      <w:r>
        <w:t xml:space="preserve">Una sucesión </w:t>
      </w:r>
      <w:r>
        <w:rPr>
          <w:b/>
        </w:rPr>
        <w:t>finita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(de longitud </w:t>
      </w:r>
      <w:r>
        <w:rPr>
          <w:i/>
        </w:rPr>
        <w:t>r</w:t>
      </w:r>
      <w:r>
        <w:t xml:space="preserve">) con elementos pertenecientes a un conjunto </w:t>
      </w:r>
      <w:r>
        <w:rPr>
          <w:i/>
        </w:rPr>
        <w:t>S</w:t>
      </w:r>
      <w:r>
        <w:t xml:space="preserve">, se define como una función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1,2,⋯,r</m:t>
            </m:r>
          </m:e>
        </m:d>
        <m:r>
          <w:rPr>
            <w:rFonts w:ascii="Cambria Math" w:hAnsi="Cambria Math"/>
          </w:rPr>
          <m:t>→S</m:t>
        </m:r>
      </m:oMath>
      <w:r>
        <w:t xml:space="preserve">, y en este caso el elemento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corresponde a</w:t>
      </w:r>
      <w:r w:rsidR="006842B1">
        <w:t xml:space="preserve"> </w:t>
      </w:r>
      <m:oMath>
        <m:r>
          <w:rPr>
            <w:rFonts w:ascii="Cambria Math" w:hAnsi="Cambria Math"/>
          </w:rPr>
          <m:t>f(n)</m:t>
        </m:r>
      </m:oMath>
      <w:r>
        <w:t>.</w:t>
      </w:r>
      <w:r w:rsidR="006842B1">
        <w:t xml:space="preserve"> Por ejemplo, la finitud e infinitud, (de longitud 4) de números primos menores que 10 (2, 3, 5, 7) corresponde a la función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6842B1">
        <w:t xml:space="preserve"> (donde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6842B1">
        <w:t xml:space="preserve"> es el conjunto de números primos) definida por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=3,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=5,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=7</m:t>
        </m:r>
      </m:oMath>
      <w:r w:rsidR="006842B1">
        <w:t>.</w:t>
      </w:r>
    </w:p>
    <w:p w:rsidR="006842B1" w:rsidRDefault="006842B1" w:rsidP="00824D14">
      <w:pPr>
        <w:ind w:firstLine="708"/>
      </w:pPr>
      <w:r>
        <w:t xml:space="preserve">Una sucesión </w:t>
      </w:r>
      <w:r>
        <w:rPr>
          <w:b/>
        </w:rPr>
        <w:t>infinita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(de longitud </w:t>
      </w:r>
      <w:r>
        <w:rPr>
          <w:i/>
        </w:rPr>
        <w:t>r</w:t>
      </w:r>
      <w:r>
        <w:t xml:space="preserve">) con elementos pertenecientes a un conjunto </w:t>
      </w:r>
      <w:r>
        <w:rPr>
          <w:i/>
        </w:rPr>
        <w:t>S</w:t>
      </w:r>
      <w:r>
        <w:t xml:space="preserve">, se define como una función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→S</m:t>
        </m:r>
      </m:oMath>
      <w:r>
        <w:t xml:space="preserve"> en donde, de forma análoga,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corresponde a </w:t>
      </w:r>
      <m:oMath>
        <m:r>
          <w:rPr>
            <w:rFonts w:ascii="Cambria Math" w:hAnsi="Cambria Math"/>
          </w:rPr>
          <m:t>f(n)</m:t>
        </m:r>
      </m:oMath>
      <w:r>
        <w:t>.</w:t>
      </w:r>
    </w:p>
    <w:p w:rsidR="00144F67" w:rsidRDefault="00144F67" w:rsidP="00482A95">
      <w:pPr>
        <w:pStyle w:val="Ttulo2"/>
      </w:pPr>
      <w:bookmarkStart w:id="4" w:name="_Toc40275586"/>
      <w:r>
        <w:t>Series</w:t>
      </w:r>
      <w:bookmarkEnd w:id="4"/>
      <w:r w:rsidR="00D31D89">
        <w:fldChar w:fldCharType="begin"/>
      </w:r>
      <w:r w:rsidR="00D31D89">
        <w:instrText xml:space="preserve"> XE "</w:instrText>
      </w:r>
      <w:r w:rsidR="00D31D89" w:rsidRPr="00D51EAB">
        <w:instrText>Series</w:instrText>
      </w:r>
      <w:r w:rsidR="00D31D89">
        <w:instrText xml:space="preserve">" </w:instrText>
      </w:r>
      <w:r w:rsidR="00D31D89">
        <w:fldChar w:fldCharType="end"/>
      </w:r>
    </w:p>
    <w:p w:rsidR="002D6F58" w:rsidRPr="00013D10" w:rsidRDefault="002D6F58" w:rsidP="00824D14">
      <w:pPr>
        <w:ind w:firstLine="708"/>
      </w:pPr>
      <w:r w:rsidRPr="00013D10">
        <w:t xml:space="preserve">Una serie es la generalización de la suma aplicada a los términos de una sucesión matemática. De manera informal, es el resultado de sumar los términos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Pr="00013D10">
        <w:t xml:space="preserve">, suele escribirse de forma compacta con el símbolo de sumatorio: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orderBox>
      </m:oMath>
    </w:p>
    <w:p w:rsidR="002D6F58" w:rsidRPr="00013D10" w:rsidRDefault="002D6F58" w:rsidP="00824D14">
      <w:pPr>
        <w:ind w:firstLine="708"/>
      </w:pPr>
      <w:r w:rsidRPr="00013D10">
        <w:t>El estudio de las series consiste en la evaluación de la suma de un número finito n de términos sucesivos, y mediante un paso al límite identificar el comportamiento de la serie a medida que n crece indefinidamente.</w:t>
      </w:r>
      <w:r w:rsidR="00013D10" w:rsidRPr="00013D10">
        <w:t xml:space="preserve">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</m:t>
            </m:r>
          </m:e>
        </m:borderBox>
      </m:oMath>
    </w:p>
    <w:p w:rsidR="00EC3564" w:rsidRDefault="00EC3564" w:rsidP="00824D14">
      <w:pPr>
        <w:ind w:firstLine="708"/>
      </w:pPr>
      <w:r w:rsidRPr="00013D10">
        <w:lastRenderedPageBreak/>
        <w:t>Una secuencia o cadena «finita», tiene un primer y último término bien definidos; en cambio en una serie infinita, cada uno de los términos suele obtenerse a partir de una determinada regla o fórmula, o por algún algoritmo.</w:t>
      </w:r>
    </w:p>
    <w:p w:rsidR="00EC3564" w:rsidRPr="00674819" w:rsidRDefault="00EC3564" w:rsidP="00674819">
      <w:pPr>
        <w:pStyle w:val="Ttulo1"/>
      </w:pPr>
      <w:bookmarkStart w:id="5" w:name="_Toc40275587"/>
      <w:r w:rsidRPr="00674819">
        <w:t>CRITERIOS DE CONVERGENCIA Y DIVERGENCIA</w:t>
      </w:r>
      <w:bookmarkEnd w:id="5"/>
      <w:r w:rsidR="00D31D89">
        <w:fldChar w:fldCharType="begin"/>
      </w:r>
      <w:r w:rsidR="00D31D89">
        <w:instrText xml:space="preserve"> XE "</w:instrText>
      </w:r>
      <w:r w:rsidR="00D31D89" w:rsidRPr="00D51EAB">
        <w:instrText>CRITERIOS DE CONVERGENCIA Y DIVERGENCIA</w:instrText>
      </w:r>
      <w:r w:rsidR="00D31D89">
        <w:instrText xml:space="preserve">" </w:instrText>
      </w:r>
      <w:r w:rsidR="00D31D89">
        <w:fldChar w:fldCharType="end"/>
      </w:r>
    </w:p>
    <w:p w:rsidR="00EC3564" w:rsidRDefault="003649E1" w:rsidP="00824D14">
      <w:pPr>
        <w:ind w:firstLine="708"/>
      </w:pPr>
      <w:r>
        <w:t>Una serie es convergente si la sucesión de sumas parciales tiene un límite en el espacio considerado.</w:t>
      </w:r>
    </w:p>
    <w:p w:rsidR="003649E1" w:rsidRDefault="00582527" w:rsidP="00482A95">
      <w:pPr>
        <w:pStyle w:val="Ttulo2"/>
      </w:pPr>
      <w:bookmarkStart w:id="6" w:name="_Toc40275588"/>
      <w:r>
        <w:t>Criterio de d’Alembert o del cociente</w:t>
      </w:r>
      <w:bookmarkEnd w:id="6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d’Alembert o del cociente</w:instrText>
      </w:r>
      <w:r w:rsidR="00D31D89">
        <w:instrText xml:space="preserve">" </w:instrText>
      </w:r>
      <w:r w:rsidR="00D31D89">
        <w:fldChar w:fldCharType="end"/>
      </w:r>
    </w:p>
    <w:p w:rsidR="00582527" w:rsidRDefault="00582527" w:rsidP="00824D14">
      <w:pPr>
        <w:ind w:firstLine="708"/>
      </w:pPr>
      <w:r>
        <w:t>Sea</w:t>
      </w:r>
      <w:r w:rsidR="00892E69">
        <w:t xml:space="preserve"> 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una serie de términ</w:t>
      </w:r>
      <w:r w:rsidR="00892E69">
        <w:t xml:space="preserve">os estrictamente positivos; 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=L∈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0,+∞</m:t>
                </m:r>
              </m:e>
            </m:d>
          </m:e>
        </m:func>
      </m:oMath>
      <w:r w:rsidR="00892E69">
        <w:t xml:space="preserve"> entonces el Criterio de d’Alembert establece que si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L&lt;1</m:t>
        </m:r>
      </m:oMath>
      <w:r>
        <w:t>, la serie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L&gt;1</m:t>
        </m:r>
      </m:oMath>
      <w:r>
        <w:t>, la serie no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L=∞</m:t>
        </m:r>
      </m:oMath>
      <w:r>
        <w:t>, la serie no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L=1</m:t>
        </m:r>
      </m:oMath>
      <w:r>
        <w:t xml:space="preserve"> el criterio no establece nada respecto a su convergencia.</w:t>
      </w:r>
    </w:p>
    <w:p w:rsidR="00892E69" w:rsidRDefault="00892E69" w:rsidP="00482A95">
      <w:pPr>
        <w:pStyle w:val="Ttulo2"/>
      </w:pPr>
      <w:bookmarkStart w:id="7" w:name="_Toc40275589"/>
      <w:r>
        <w:t>Criterio de la raíz</w:t>
      </w:r>
      <w:bookmarkEnd w:id="7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la raíz</w:instrText>
      </w:r>
      <w:r w:rsidR="00D31D89">
        <w:instrText xml:space="preserve">" </w:instrText>
      </w:r>
      <w:r w:rsidR="00D31D89">
        <w:fldChar w:fldCharType="end"/>
      </w:r>
    </w:p>
    <w:p w:rsidR="00892E69" w:rsidRDefault="00892E69" w:rsidP="00824D14">
      <w:pPr>
        <w:ind w:firstLine="708"/>
      </w:pPr>
      <w:r>
        <w:t xml:space="preserve">Si los términos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son estrictamente positivos y si existe una constante </w:t>
      </w:r>
      <m:oMath>
        <m:r>
          <w:rPr>
            <w:rFonts w:ascii="Cambria Math" w:hAnsi="Cambria Math"/>
          </w:rPr>
          <m:t>C&lt;1</m:t>
        </m:r>
      </m:oMath>
      <w:r>
        <w:t xml:space="preserve"> tal que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≤C</m:t>
        </m:r>
      </m:oMath>
      <w:r>
        <w:t xml:space="preserve">, entonces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es convergente.</w:t>
      </w:r>
    </w:p>
    <w:p w:rsidR="00892E69" w:rsidRDefault="00892E69" w:rsidP="00482A95">
      <w:pPr>
        <w:pStyle w:val="Ttulo2"/>
      </w:pPr>
      <w:bookmarkStart w:id="8" w:name="_Toc40275590"/>
      <w:r>
        <w:t>Criterio de Raabe</w:t>
      </w:r>
      <w:bookmarkEnd w:id="8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Raabe</w:instrText>
      </w:r>
      <w:r w:rsidR="00D31D89">
        <w:instrText xml:space="preserve">" </w:instrText>
      </w:r>
      <w:r w:rsidR="00D31D89">
        <w:fldChar w:fldCharType="end"/>
      </w:r>
    </w:p>
    <w:p w:rsidR="00892E69" w:rsidRDefault="00892E69" w:rsidP="00824D14">
      <w:pPr>
        <w:ind w:firstLine="708"/>
        <w:rPr>
          <w:rFonts w:eastAsiaTheme="minorEastAsia"/>
        </w:rPr>
      </w:pPr>
      <w:r w:rsidRPr="00482A95">
        <w:t xml:space="preserve">Sea una serie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482A95">
        <w:t xml:space="preserve">, tal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482A95">
        <w:t xml:space="preserve"> (serie de términos positivos). Si existe el límite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 w:rsidRPr="00482A95">
        <w:t xml:space="preserve">, siendo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∈(-∞,+∞)</m:t>
        </m:r>
      </m:oMath>
      <w:r w:rsidR="00482A95">
        <w:rPr>
          <w:rFonts w:eastAsiaTheme="minorEastAsia"/>
        </w:rPr>
        <w:t xml:space="preserve"> entonces, si </w:t>
      </w:r>
      <m:oMath>
        <m:r>
          <w:rPr>
            <w:rFonts w:ascii="Cambria Math" w:eastAsiaTheme="minorEastAsia" w:hAnsi="Cambria Math"/>
          </w:rPr>
          <m:t>L&gt;1</m:t>
        </m:r>
      </m:oMath>
      <w:r w:rsidR="00482A95">
        <w:rPr>
          <w:rFonts w:eastAsiaTheme="minorEastAsia"/>
        </w:rPr>
        <w:t xml:space="preserve"> la serie es convergente y si </w:t>
      </w:r>
      <m:oMath>
        <m:r>
          <w:rPr>
            <w:rFonts w:ascii="Cambria Math" w:eastAsiaTheme="minorEastAsia" w:hAnsi="Cambria Math"/>
          </w:rPr>
          <m:t>L&lt;1</m:t>
        </m:r>
      </m:oMath>
      <w:r w:rsidR="00482A95">
        <w:rPr>
          <w:rFonts w:eastAsiaTheme="minorEastAsia"/>
        </w:rPr>
        <w:t xml:space="preserve"> la serie es divergente. El criterio de Raabe se recomienda sólo si falla el criterio de d’Alembert.</w:t>
      </w:r>
    </w:p>
    <w:p w:rsidR="00482A95" w:rsidRDefault="00482A95" w:rsidP="00482A95">
      <w:pPr>
        <w:rPr>
          <w:rFonts w:eastAsiaTheme="minorEastAsia"/>
        </w:rPr>
      </w:pPr>
    </w:p>
    <w:p w:rsidR="00482A95" w:rsidRDefault="00482A95" w:rsidP="00482A95">
      <w:pPr>
        <w:pStyle w:val="Ttulo2"/>
      </w:pPr>
      <w:bookmarkStart w:id="9" w:name="_Toc40275591"/>
      <w:r>
        <w:lastRenderedPageBreak/>
        <w:t>Criterio de Cauchy</w:t>
      </w:r>
      <w:bookmarkEnd w:id="9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Cauchy</w:instrText>
      </w:r>
      <w:r w:rsidR="00D31D89">
        <w:instrText xml:space="preserve">" </w:instrText>
      </w:r>
      <w:r w:rsidR="00D31D89">
        <w:fldChar w:fldCharType="end"/>
      </w:r>
    </w:p>
    <w:p w:rsidR="00482A95" w:rsidRDefault="00482A95" w:rsidP="00824D14">
      <w:pPr>
        <w:ind w:firstLine="708"/>
      </w:pPr>
      <w:r>
        <w:t>Una serie a valores</w:t>
      </w:r>
      <w:r w:rsidRPr="00482A95">
        <w:t xml:space="preserve"> en un espacio vectorial normado completo es convergente si y solo si la sucesión de sumas parciales es de Cauchy:</w:t>
      </w:r>
    </w:p>
    <w:p w:rsidR="00482A95" w:rsidRDefault="00202FD3" w:rsidP="00482A9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∀ε&gt;0,∃N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∈N,∀</m:t>
              </m:r>
              <m:r>
                <w:rPr>
                  <w:rFonts w:ascii="Cambria Math" w:hAnsi="Cambria Math"/>
                </w:rPr>
                <m:t>n≥N,</m:t>
              </m:r>
              <m:r>
                <w:rPr>
                  <w:rFonts w:ascii="Cambria Math" w:eastAsiaTheme="minorEastAsia" w:hAnsi="Cambria Math"/>
                </w:rPr>
                <m:t>∀p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∈N,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&lt;ε</m:t>
              </m:r>
            </m:e>
          </m:borderBox>
        </m:oMath>
      </m:oMathPara>
    </w:p>
    <w:p w:rsidR="00482A95" w:rsidRDefault="00482A95" w:rsidP="00482A95">
      <w:pPr>
        <w:pStyle w:val="Ttulo2"/>
      </w:pPr>
      <w:bookmarkStart w:id="10" w:name="_Toc40275592"/>
      <w:r>
        <w:t>Criterio de Leibniz</w:t>
      </w:r>
      <w:bookmarkEnd w:id="10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Leibniz</w:instrText>
      </w:r>
      <w:r w:rsidR="00D31D89">
        <w:instrText xml:space="preserve">" </w:instrText>
      </w:r>
      <w:r w:rsidR="00D31D89">
        <w:fldChar w:fldCharType="end"/>
      </w:r>
    </w:p>
    <w:p w:rsidR="00482A95" w:rsidRDefault="00482A95" w:rsidP="00824D14">
      <w:pPr>
        <w:ind w:firstLine="360"/>
        <w:rPr>
          <w:rFonts w:eastAsiaTheme="minorEastAsia"/>
        </w:rPr>
      </w:pPr>
      <w:r>
        <w:t xml:space="preserve">Una serie formada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(con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) se llama serie alternada. Tal serie converge si se cumplen las siguientes condiciones:</w:t>
      </w:r>
    </w:p>
    <w:p w:rsidR="007B3798" w:rsidRPr="007B3798" w:rsidRDefault="00202FD3" w:rsidP="007B3798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7B3798">
        <w:rPr>
          <w:rFonts w:eastAsiaTheme="minorEastAsia"/>
        </w:rPr>
        <w:t xml:space="preserve"> para </w:t>
      </w:r>
      <w:r w:rsidR="007B3798">
        <w:rPr>
          <w:rFonts w:eastAsiaTheme="minorEastAsia"/>
          <w:i/>
        </w:rPr>
        <w:t>n</w:t>
      </w:r>
      <w:r w:rsidR="007B3798">
        <w:rPr>
          <w:rFonts w:eastAsiaTheme="minorEastAsia"/>
        </w:rPr>
        <w:t xml:space="preserve"> par y </w:t>
      </w:r>
      <w:r w:rsidR="007B3798">
        <w:rPr>
          <w:rFonts w:eastAsiaTheme="minorEastAsia"/>
          <w:i/>
        </w:rPr>
        <w:t>n</w:t>
      </w:r>
      <w:r w:rsidR="007B3798">
        <w:rPr>
          <w:rFonts w:eastAsiaTheme="minorEastAsia"/>
        </w:rPr>
        <w:t xml:space="preserve"> impar.</w:t>
      </w:r>
    </w:p>
    <w:p w:rsidR="00E56E93" w:rsidRDefault="007B3798" w:rsidP="007B379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La serie tiene que ser absolutamente decreciente, es decir que:</w:t>
      </w:r>
      <w:r w:rsidR="00E56E9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</w:p>
    <w:p w:rsidR="007B3798" w:rsidRDefault="00E56E93" w:rsidP="00824D14">
      <w:pPr>
        <w:ind w:firstLine="360"/>
        <w:rPr>
          <w:rFonts w:eastAsiaTheme="minorEastAsia"/>
        </w:rPr>
      </w:pPr>
      <w:r>
        <w:t xml:space="preserve">Si esto se cumple, la serie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 condicionalmente convergente, de lo contrario la serie es divergente.</w:t>
      </w:r>
    </w:p>
    <w:p w:rsidR="00674819" w:rsidRDefault="00674819" w:rsidP="00674819">
      <w:pPr>
        <w:pStyle w:val="Ttulo1"/>
      </w:pPr>
      <w:bookmarkStart w:id="11" w:name="_Toc40275593"/>
      <w:r>
        <w:t>TIPOS DE SERIES</w:t>
      </w:r>
      <w:bookmarkEnd w:id="11"/>
      <w:r w:rsidR="00D31D89">
        <w:fldChar w:fldCharType="begin"/>
      </w:r>
      <w:r w:rsidR="00D31D89">
        <w:instrText xml:space="preserve"> XE "</w:instrText>
      </w:r>
      <w:r w:rsidR="00D31D89" w:rsidRPr="00D51EAB">
        <w:instrText>TIPOS DE SERIES</w:instrText>
      </w:r>
      <w:r w:rsidR="00D31D89">
        <w:instrText xml:space="preserve">" </w:instrText>
      </w:r>
      <w:r w:rsidR="00D31D89">
        <w:fldChar w:fldCharType="end"/>
      </w:r>
    </w:p>
    <w:p w:rsidR="00674819" w:rsidRDefault="006040CD" w:rsidP="00181740">
      <w:pPr>
        <w:pStyle w:val="Ttulo2"/>
        <w:spacing w:before="0"/>
      </w:pPr>
      <w:bookmarkStart w:id="12" w:name="_Toc40275594"/>
      <w:r>
        <w:t>Sumas parciales</w:t>
      </w:r>
      <w:bookmarkEnd w:id="12"/>
      <w:r w:rsidR="00D31D89">
        <w:fldChar w:fldCharType="begin"/>
      </w:r>
      <w:r w:rsidR="00D31D89">
        <w:instrText xml:space="preserve"> XE "</w:instrText>
      </w:r>
      <w:r w:rsidR="00D31D89" w:rsidRPr="00D51EAB">
        <w:instrText>Sumas parciales</w:instrText>
      </w:r>
      <w:r w:rsidR="00D31D89">
        <w:instrText xml:space="preserve">" </w:instrText>
      </w:r>
      <w:r w:rsidR="00D31D89">
        <w:fldChar w:fldCharType="end"/>
      </w:r>
    </w:p>
    <w:p w:rsidR="00181740" w:rsidRDefault="006040CD" w:rsidP="00824D14">
      <w:pPr>
        <w:ind w:firstLine="708"/>
        <w:rPr>
          <w:rFonts w:eastAsiaTheme="minorEastAsia"/>
        </w:rPr>
      </w:pPr>
      <w:r>
        <w:t xml:space="preserve">Para cualquier sucesión matemática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números racionales, reales, complejos, funciones, etc., la serie asociada se define como la suma formal ordenada:</w:t>
      </w:r>
    </w:p>
    <w:p w:rsidR="006040CD" w:rsidRDefault="00E42394" w:rsidP="006040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+⋯</m:t>
          </m:r>
        </m:oMath>
      </m:oMathPara>
    </w:p>
    <w:p w:rsidR="00181740" w:rsidRDefault="0018174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sucesión de sumas parciales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asociada a una sucesión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está definida para cada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como la suma de la sucesión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desde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:rsidR="00181740" w:rsidRDefault="00202FD3" w:rsidP="001817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81740" w:rsidRDefault="0018174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>Muchas de las propiedades generales de las series suelen enunciarse en términos de las sumas parciales asociadas.</w:t>
      </w:r>
    </w:p>
    <w:p w:rsidR="00181740" w:rsidRDefault="009632FB" w:rsidP="009632FB">
      <w:pPr>
        <w:pStyle w:val="Ttulo2"/>
      </w:pPr>
      <w:bookmarkStart w:id="13" w:name="_Toc40275595"/>
      <w:r>
        <w:lastRenderedPageBreak/>
        <w:t>Serie de Taylor</w:t>
      </w:r>
      <w:bookmarkEnd w:id="13"/>
      <w:r w:rsidR="00D31D89">
        <w:fldChar w:fldCharType="begin"/>
      </w:r>
      <w:r w:rsidR="00D31D89">
        <w:instrText xml:space="preserve"> XE "</w:instrText>
      </w:r>
      <w:r w:rsidR="00D31D89" w:rsidRPr="00D51EAB">
        <w:instrText>Serie de Taylor</w:instrText>
      </w:r>
      <w:r w:rsidR="00D31D89">
        <w:instrText xml:space="preserve">" </w:instrText>
      </w:r>
      <w:r w:rsidR="00D31D89">
        <w:fldChar w:fldCharType="end"/>
      </w:r>
    </w:p>
    <w:p w:rsidR="00CE4439" w:rsidRDefault="00551D20" w:rsidP="00824D14">
      <w:pPr>
        <w:ind w:firstLine="708"/>
        <w:rPr>
          <w:rFonts w:eastAsiaTheme="minorEastAsia"/>
        </w:rPr>
      </w:pPr>
      <w:r w:rsidRPr="00551D20">
        <w:t>Es una aproximación de funciones mediante una serie de potencias o suma de pote</w:t>
      </w:r>
      <w:r>
        <w:t xml:space="preserve">ncias enteras de polinomios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E4439">
        <w:rPr>
          <w:rFonts w:eastAsiaTheme="minorEastAsia"/>
        </w:rPr>
        <w:t xml:space="preserve"> llamados términos de la serie, </w:t>
      </w:r>
      <w:r w:rsidR="00CE4439" w:rsidRPr="00CE4439">
        <w:rPr>
          <w:rFonts w:eastAsiaTheme="minorEastAsia"/>
        </w:rPr>
        <w:t>dicha suma se calcula a partir de las derivadas de la función para un determinado valor o punto</w:t>
      </w:r>
      <w:r w:rsidR="00CE4439">
        <w:rPr>
          <w:rFonts w:eastAsiaTheme="minorEastAsia"/>
        </w:rPr>
        <w:t xml:space="preserve"> </w:t>
      </w:r>
      <w:r w:rsidR="00CE4439">
        <w:rPr>
          <w:rFonts w:eastAsiaTheme="minorEastAsia"/>
          <w:i/>
        </w:rPr>
        <w:t>a</w:t>
      </w:r>
      <w:r w:rsidR="00CE4439">
        <w:rPr>
          <w:rFonts w:eastAsiaTheme="minorEastAsia"/>
        </w:rPr>
        <w:t xml:space="preserve"> </w:t>
      </w:r>
      <w:r w:rsidR="00CE4439" w:rsidRPr="00CE4439">
        <w:rPr>
          <w:rFonts w:eastAsiaTheme="minorEastAsia"/>
        </w:rPr>
        <w:t>suficientemente derivable sobre la función y un entorno s</w:t>
      </w:r>
      <w:r w:rsidR="00CE4439">
        <w:rPr>
          <w:rFonts w:eastAsiaTheme="minorEastAsia"/>
        </w:rPr>
        <w:t>obre el cual converja la serie.</w:t>
      </w:r>
    </w:p>
    <w:p w:rsidR="00551D20" w:rsidRDefault="00CE4439" w:rsidP="00824D14">
      <w:pPr>
        <w:ind w:firstLine="708"/>
        <w:rPr>
          <w:rFonts w:eastAsiaTheme="minorEastAsia"/>
        </w:rPr>
      </w:pPr>
      <w:r w:rsidRPr="00CE4439">
        <w:rPr>
          <w:rFonts w:eastAsiaTheme="minorEastAsia"/>
        </w:rPr>
        <w:t>A la ser</w:t>
      </w:r>
      <w:r>
        <w:rPr>
          <w:rFonts w:eastAsiaTheme="minorEastAsia"/>
        </w:rPr>
        <w:t xml:space="preserve">ie centrada sobre el punto cero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se le denomina también </w:t>
      </w:r>
      <w:r>
        <w:rPr>
          <w:rFonts w:eastAsiaTheme="minorEastAsia"/>
          <w:i/>
        </w:rPr>
        <w:t>serie de Maclaurin</w:t>
      </w:r>
      <w:r>
        <w:rPr>
          <w:rFonts w:eastAsiaTheme="minorEastAsia"/>
        </w:rPr>
        <w:t>.</w:t>
      </w:r>
    </w:p>
    <w:p w:rsidR="00CE4439" w:rsidRDefault="00CE4439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044C42">
        <w:rPr>
          <w:rFonts w:eastAsiaTheme="minorEastAsia"/>
          <w:b/>
        </w:rPr>
        <w:t>representación de series de Taylor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T(x)</m:t>
        </m:r>
      </m:oMath>
      <w:r>
        <w:rPr>
          <w:rFonts w:eastAsiaTheme="minorEastAsia"/>
        </w:rPr>
        <w:t xml:space="preserve"> de una función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cuando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puede ser escrito de manera compacta como la suma:</w:t>
      </w:r>
    </w:p>
    <w:p w:rsidR="00CE4439" w:rsidRDefault="00202FD3" w:rsidP="00551D2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borderBox>
        </m:oMath>
      </m:oMathPara>
    </w:p>
    <w:p w:rsidR="00BC0DF0" w:rsidRDefault="00BC0DF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b/>
        </w:rPr>
        <w:t>representación de series de Maclaurin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T(x)</m:t>
        </m:r>
      </m:oMath>
      <w:r>
        <w:rPr>
          <w:rFonts w:eastAsiaTheme="minorEastAsia"/>
        </w:rPr>
        <w:t xml:space="preserve"> de una función es la serie de Taylor para cuando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BC0DF0" w:rsidRPr="00BC0DF0" w:rsidRDefault="00202FD3" w:rsidP="00551D2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borderBox>
        </m:oMath>
      </m:oMathPara>
    </w:p>
    <w:p w:rsidR="00CE4439" w:rsidRDefault="00CE4439" w:rsidP="00551D20">
      <w:pPr>
        <w:rPr>
          <w:rFonts w:eastAsiaTheme="minorEastAsia"/>
        </w:rPr>
      </w:pPr>
      <w:r>
        <w:rPr>
          <w:rFonts w:eastAsiaTheme="minorEastAsia"/>
        </w:rPr>
        <w:t>En donde:</w:t>
      </w:r>
    </w:p>
    <w:p w:rsidR="00CE4439" w:rsidRPr="00CE4439" w:rsidRDefault="00CE4439" w:rsidP="00CE4439">
      <w:pPr>
        <w:pStyle w:val="Prrafodelista"/>
        <w:numPr>
          <w:ilvl w:val="0"/>
          <w:numId w:val="3"/>
        </w:numPr>
      </w:pPr>
      <w:r w:rsidRPr="00CE4439">
        <w:rPr>
          <w:rFonts w:eastAsiaTheme="minorEastAsia"/>
          <w:i/>
        </w:rPr>
        <w:t>n!</w:t>
      </w:r>
      <w:r w:rsidRPr="00CE4439">
        <w:rPr>
          <w:rFonts w:eastAsiaTheme="minorEastAsia"/>
        </w:rPr>
        <w:t xml:space="preserve"> es el factorial de </w:t>
      </w:r>
      <w:r w:rsidRPr="00CE4439">
        <w:rPr>
          <w:rFonts w:eastAsiaTheme="minorEastAsia"/>
          <w:i/>
        </w:rPr>
        <w:t>n</w:t>
      </w:r>
    </w:p>
    <w:p w:rsidR="00CE4439" w:rsidRPr="00CE4439" w:rsidRDefault="00202FD3" w:rsidP="00CE4439">
      <w:pPr>
        <w:pStyle w:val="Prrafodelista"/>
        <w:numPr>
          <w:ilvl w:val="0"/>
          <w:numId w:val="3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(a)</m:t>
        </m:r>
      </m:oMath>
      <w:r w:rsidR="00CE4439" w:rsidRPr="00CE4439">
        <w:rPr>
          <w:rFonts w:eastAsiaTheme="minorEastAsia"/>
        </w:rPr>
        <w:t xml:space="preserve"> denota</w:t>
      </w:r>
      <w:r w:rsidR="00CE4439">
        <w:rPr>
          <w:rFonts w:eastAsiaTheme="minorEastAsia"/>
        </w:rPr>
        <w:t xml:space="preserve"> la n-</w:t>
      </w:r>
      <w:proofErr w:type="spellStart"/>
      <w:r w:rsidR="00CE4439">
        <w:rPr>
          <w:rFonts w:eastAsiaTheme="minorEastAsia"/>
        </w:rPr>
        <w:t>ésima</w:t>
      </w:r>
      <w:proofErr w:type="spellEnd"/>
      <w:r w:rsidR="00CE4439">
        <w:rPr>
          <w:rFonts w:eastAsiaTheme="minorEastAsia"/>
        </w:rPr>
        <w:t xml:space="preserve"> derivada de </w:t>
      </w:r>
      <w:r w:rsidR="00CE4439">
        <w:rPr>
          <w:rFonts w:eastAsiaTheme="minorEastAsia"/>
          <w:i/>
        </w:rPr>
        <w:t>f</w:t>
      </w:r>
      <w:r w:rsidR="00CE4439">
        <w:rPr>
          <w:rFonts w:eastAsiaTheme="minorEastAsia"/>
        </w:rPr>
        <w:t xml:space="preserve"> para el valor </w:t>
      </w:r>
      <w:r w:rsidR="00CE4439">
        <w:rPr>
          <w:rFonts w:eastAsiaTheme="minorEastAsia"/>
          <w:i/>
        </w:rPr>
        <w:t>a</w:t>
      </w:r>
      <w:r w:rsidR="00CE4439">
        <w:rPr>
          <w:rFonts w:eastAsiaTheme="minorEastAsia"/>
        </w:rPr>
        <w:t xml:space="preserve"> de la variable de la cual se deriva.</w:t>
      </w:r>
    </w:p>
    <w:sectPr w:rsidR="00CE4439" w:rsidRPr="00CE4439" w:rsidSect="005F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1D7F"/>
    <w:multiLevelType w:val="hybridMultilevel"/>
    <w:tmpl w:val="83A84F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C72"/>
    <w:multiLevelType w:val="hybridMultilevel"/>
    <w:tmpl w:val="5352FD7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C28"/>
    <w:multiLevelType w:val="hybridMultilevel"/>
    <w:tmpl w:val="A0A668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75F3"/>
    <w:rsid w:val="00013D10"/>
    <w:rsid w:val="00044C42"/>
    <w:rsid w:val="000C76B4"/>
    <w:rsid w:val="00144F67"/>
    <w:rsid w:val="00181740"/>
    <w:rsid w:val="001B2F1B"/>
    <w:rsid w:val="001E1101"/>
    <w:rsid w:val="00202FD3"/>
    <w:rsid w:val="002D6F58"/>
    <w:rsid w:val="00315F3C"/>
    <w:rsid w:val="003649E1"/>
    <w:rsid w:val="0037455D"/>
    <w:rsid w:val="003940AA"/>
    <w:rsid w:val="00424F1A"/>
    <w:rsid w:val="004349BA"/>
    <w:rsid w:val="00482A95"/>
    <w:rsid w:val="00551D20"/>
    <w:rsid w:val="0057230C"/>
    <w:rsid w:val="00582527"/>
    <w:rsid w:val="005F07CF"/>
    <w:rsid w:val="006040CD"/>
    <w:rsid w:val="00674819"/>
    <w:rsid w:val="006842B1"/>
    <w:rsid w:val="00685D86"/>
    <w:rsid w:val="00771CA0"/>
    <w:rsid w:val="007B3798"/>
    <w:rsid w:val="007F4298"/>
    <w:rsid w:val="00824D14"/>
    <w:rsid w:val="00892E69"/>
    <w:rsid w:val="00960869"/>
    <w:rsid w:val="009632FB"/>
    <w:rsid w:val="00990095"/>
    <w:rsid w:val="00A075F3"/>
    <w:rsid w:val="00BC0DF0"/>
    <w:rsid w:val="00C04F78"/>
    <w:rsid w:val="00CE4439"/>
    <w:rsid w:val="00D25E08"/>
    <w:rsid w:val="00D31D89"/>
    <w:rsid w:val="00D5495D"/>
    <w:rsid w:val="00E42394"/>
    <w:rsid w:val="00E56E93"/>
    <w:rsid w:val="00E94F0B"/>
    <w:rsid w:val="00EC3564"/>
    <w:rsid w:val="00E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F0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4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819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564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940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0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2E69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4F0B"/>
    <w:pPr>
      <w:spacing w:line="276" w:lineRule="auto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F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4F0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94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15F8D-2165-4AF3-9E23-F32035EF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34</cp:revision>
  <cp:lastPrinted>2020-05-17T23:05:00Z</cp:lastPrinted>
  <dcterms:created xsi:type="dcterms:W3CDTF">2020-05-13T17:18:00Z</dcterms:created>
  <dcterms:modified xsi:type="dcterms:W3CDTF">2020-05-17T23:05:00Z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