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  <w:t xml:space="preserve">Guia de tags HTML5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  <w:br/>
      </w:r>
      <w:r>
        <w:rPr>
          <w:rFonts w:ascii="Consolas" w:hAnsi="Consolas" w:cs="Consolas" w:eastAsia="Consolas"/>
          <w:b/>
          <w:color w:val="7030A0"/>
          <w:spacing w:val="0"/>
          <w:position w:val="0"/>
          <w:sz w:val="30"/>
          <w:shd w:fill="auto" w:val="clear"/>
        </w:rPr>
        <w:t xml:space="preserve">Tag inicial:</w:t>
      </w:r>
      <w:r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  <w:br/>
        <w:br/>
      </w: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DOCTYPE</w:t>
      </w: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30"/>
          <w:shd w:fill="000000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html</w:t>
      </w: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30"/>
          <w:shd w:fill="000000" w:val="clear"/>
        </w:rPr>
        <w:t xml:space="preserve">lang</w:t>
      </w: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30"/>
          <w:shd w:fill="000000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meta</w:t>
      </w: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30"/>
          <w:shd w:fill="000000" w:val="clear"/>
        </w:rPr>
        <w:t xml:space="preserve">charset</w:t>
      </w: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30"/>
          <w:shd w:fill="000000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meta</w:t>
      </w: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30"/>
          <w:shd w:fill="000000" w:val="clear"/>
        </w:rPr>
        <w:t xml:space="preserve">http-equiv</w:t>
      </w: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30"/>
          <w:shd w:fill="000000" w:val="clear"/>
        </w:rPr>
        <w:t xml:space="preserve">"X-UA-Compatible"</w:t>
      </w: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30"/>
          <w:shd w:fill="000000" w:val="clear"/>
        </w:rPr>
        <w:t xml:space="preserve">content</w:t>
      </w: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30"/>
          <w:shd w:fill="000000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meta</w:t>
      </w: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30"/>
          <w:shd w:fill="000000" w:val="clear"/>
        </w:rPr>
        <w:t xml:space="preserve">name</w:t>
      </w: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30"/>
          <w:shd w:fill="000000" w:val="clear"/>
        </w:rPr>
        <w:t xml:space="preserve">"viewport"</w:t>
      </w: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30"/>
          <w:shd w:fill="000000" w:val="clear"/>
        </w:rPr>
        <w:t xml:space="preserve">content</w:t>
      </w: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30"/>
          <w:shd w:fill="000000" w:val="clear"/>
        </w:rPr>
        <w:t xml:space="preserve">"width=device-width, 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&gt;</w:t>
      </w: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Document</w:t>
      </w: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&gt;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7030A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auto" w:val="clear"/>
        </w:rPr>
        <w:br/>
      </w:r>
      <w:r>
        <w:rPr>
          <w:rFonts w:ascii="Consolas" w:hAnsi="Consolas" w:cs="Consolas" w:eastAsia="Consolas"/>
          <w:b/>
          <w:color w:val="7030A0"/>
          <w:spacing w:val="0"/>
          <w:position w:val="0"/>
          <w:sz w:val="30"/>
          <w:shd w:fill="auto" w:val="clear"/>
        </w:rPr>
        <w:t xml:space="preserve">Tags :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Linha para separação: &lt;hr&gt;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Titulos: &lt;h1&gt;, &lt;h2&gt;, &lt;h3&gt;, &lt;h4&gt;, &lt;h5&gt;, &lt;h6&gt;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Parágrafos: &lt;p&gt;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Quebra de linha: &lt;br&gt;</w:t>
        <w:br/>
        <w:t xml:space="preserve">Sinal de menor e maior (&lt; e &gt;) em HTML: &amp;lt; e &amp;gt;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30"/>
          <w:shd w:fill="000000" w:val="clear"/>
        </w:rPr>
        <w:t xml:space="preserve">Símbolos:</w:t>
        <w:br/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    &amp;reg;</w:t>
      </w: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000000" w:val="clear"/>
        </w:rPr>
        <w:t xml:space="preserve"> ®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    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&amp;copy;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    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&amp;trade;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   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&amp;pound;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   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&amp;yen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   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&amp;cent;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   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&amp;delta;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   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&amp;Delta;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569CD6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30"/>
          <w:shd w:fill="000000" w:val="clear"/>
        </w:rPr>
        <w:t xml:space="preserve">   </w:t>
      </w:r>
      <w:r>
        <w:rPr>
          <w:rFonts w:ascii="Consolas" w:hAnsi="Consolas" w:cs="Consolas" w:eastAsia="Consolas"/>
          <w:color w:val="569CD6"/>
          <w:spacing w:val="0"/>
          <w:position w:val="0"/>
          <w:sz w:val="30"/>
          <w:shd w:fill="000000" w:val="clear"/>
        </w:rPr>
        <w:t xml:space="preserve">&amp;uarr;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  <w:t xml:space="preserve">Curso HTML e CSS Anotações das aulas do curso em vídeo 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Endereços importantes: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Cursos - </w:t>
      </w:r>
      <w:hyperlink xmlns:r="http://schemas.openxmlformats.org/officeDocument/2006/relationships" r:id="docRId0">
        <w:r>
          <w:rPr>
            <w:rFonts w:ascii="Consolas" w:hAnsi="Consolas" w:cs="Consolas" w:eastAsia="Consolas"/>
            <w:color w:val="0000FF"/>
            <w:spacing w:val="0"/>
            <w:position w:val="0"/>
            <w:sz w:val="30"/>
            <w:u w:val="single"/>
            <w:shd w:fill="auto" w:val="clear"/>
          </w:rPr>
          <w:t xml:space="preserve">https://github.com/gustavoguanabara</w:t>
        </w:r>
      </w:hyperlink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Repositório - </w:t>
      </w:r>
      <w:hyperlink xmlns:r="http://schemas.openxmlformats.org/officeDocument/2006/relationships" r:id="docRId1">
        <w:r>
          <w:rPr>
            <w:rFonts w:ascii="Consolas" w:hAnsi="Consolas" w:cs="Consolas" w:eastAsia="Consolas"/>
            <w:color w:val="000000"/>
            <w:spacing w:val="0"/>
            <w:position w:val="0"/>
            <w:sz w:val="30"/>
            <w:u w:val="single"/>
            <w:shd w:fill="auto" w:val="clear"/>
          </w:rPr>
          <w:t xml:space="preserve">https://gustavoguanabara.github.io</w:t>
        </w:r>
      </w:hyperlink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Materiais PDF - </w:t>
      </w:r>
      <w:hyperlink xmlns:r="http://schemas.openxmlformats.org/officeDocument/2006/relationships" r:id="docRId2">
        <w:r>
          <w:rPr>
            <w:rFonts w:ascii="Consolas" w:hAnsi="Consolas" w:cs="Consolas" w:eastAsia="Consolas"/>
            <w:color w:val="0000FF"/>
            <w:spacing w:val="0"/>
            <w:position w:val="0"/>
            <w:sz w:val="30"/>
            <w:u w:val="single"/>
            <w:shd w:fill="auto" w:val="clear"/>
          </w:rPr>
          <w:t xml:space="preserve">https://github.com/gustavoguanabara/html-css/tree/master/aulas-pdf</w:t>
        </w:r>
      </w:hyperlink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b/>
          <w:color w:val="7030A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7030A0"/>
          <w:spacing w:val="0"/>
          <w:position w:val="0"/>
          <w:sz w:val="30"/>
          <w:shd w:fill="auto" w:val="clear"/>
        </w:rPr>
        <w:t xml:space="preserve">Aula 1 – Historia da internet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História da Internet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Veio da Arpanet, para proteger centros militares americanos durante a guerra fria.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Protocolo: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 forma de comunicação mundial entre as redes de internet. O TCP/IP é o mais utilizado mundialmente hoje.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HTML –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 “HyperText MarkUp Language” – Linguagem de Marcação de Hipertexto.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Criado por Tim Berners-Lee.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WWW – World Wide Web: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 Sub rede dentro da rede de internet especializada em HTTP que é um protocolo de comunicação utilizado para sistemas de informação de hipermídia, distribuídos e colaborativos.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b/>
          <w:color w:val="7030A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7030A0"/>
          <w:spacing w:val="0"/>
          <w:position w:val="0"/>
          <w:sz w:val="30"/>
          <w:shd w:fill="auto" w:val="clear"/>
        </w:rPr>
        <w:t xml:space="preserve">Aula 2 – Como funciona a internet, domínio e hospedagem. 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Código Binário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Binary Digit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 = Bit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Cada caractere do código binário representa 1 Bit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A cada 8 dígitos temos 1 Byte, ou seja: 01000001 = Byte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Código MultiByte UTF/8 = Representa cada caractere por uma sequência de 1 a 4 Bytes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B Maiúsculo = BYTES, representa armazenamento;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b Minúsculo = BITS Representa transmissão, como a velocidade da internet.</w:t>
      </w:r>
    </w:p>
    <w:tbl>
      <w:tblPr>
        <w:tblInd w:w="2064" w:type="dxa"/>
      </w:tblPr>
      <w:tblGrid>
        <w:gridCol w:w="4366"/>
      </w:tblGrid>
      <w:tr>
        <w:trPr>
          <w:trHeight w:val="271" w:hRule="auto"/>
          <w:jc w:val="left"/>
        </w:trPr>
        <w:tc>
          <w:tcPr>
            <w:tcW w:w="43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0" w:firstLine="0"/>
              <w:jc w:val="center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30"/>
                <w:shd w:fill="auto" w:val="clear"/>
              </w:rPr>
              <w:t xml:space="preserve">8 Bit = 1 Byte</w:t>
            </w:r>
          </w:p>
        </w:tc>
      </w:tr>
      <w:tr>
        <w:trPr>
          <w:trHeight w:val="271" w:hRule="auto"/>
          <w:jc w:val="left"/>
        </w:trPr>
        <w:tc>
          <w:tcPr>
            <w:tcW w:w="43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0" w:firstLine="0"/>
              <w:jc w:val="center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30"/>
                <w:shd w:fill="auto" w:val="clear"/>
              </w:rPr>
              <w:t xml:space="preserve">1024 Bytes = 1KiloByte</w:t>
            </w:r>
          </w:p>
        </w:tc>
      </w:tr>
      <w:tr>
        <w:trPr>
          <w:trHeight w:val="271" w:hRule="auto"/>
          <w:jc w:val="left"/>
        </w:trPr>
        <w:tc>
          <w:tcPr>
            <w:tcW w:w="43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0" w:firstLine="0"/>
              <w:jc w:val="center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30"/>
                <w:shd w:fill="auto" w:val="clear"/>
              </w:rPr>
              <w:t xml:space="preserve">1024 KiloByte = 1 MegaByte</w:t>
            </w:r>
          </w:p>
        </w:tc>
      </w:tr>
      <w:tr>
        <w:trPr>
          <w:trHeight w:val="254" w:hRule="auto"/>
          <w:jc w:val="left"/>
        </w:trPr>
        <w:tc>
          <w:tcPr>
            <w:tcW w:w="43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0" w:firstLine="0"/>
              <w:jc w:val="center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30"/>
                <w:shd w:fill="auto" w:val="clear"/>
              </w:rPr>
              <w:t xml:space="preserve">1024 MegaByte = 1 GigaByte</w:t>
            </w:r>
          </w:p>
        </w:tc>
      </w:tr>
      <w:tr>
        <w:trPr>
          <w:trHeight w:val="254" w:hRule="auto"/>
          <w:jc w:val="left"/>
        </w:trPr>
        <w:tc>
          <w:tcPr>
            <w:tcW w:w="43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0" w:firstLine="0"/>
              <w:jc w:val="center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30"/>
                <w:shd w:fill="auto" w:val="clear"/>
              </w:rPr>
              <w:t xml:space="preserve">1024 GigaByte = 1 TeraByte</w:t>
            </w:r>
          </w:p>
        </w:tc>
      </w:tr>
      <w:tr>
        <w:trPr>
          <w:trHeight w:val="254" w:hRule="auto"/>
          <w:jc w:val="left"/>
        </w:trPr>
        <w:tc>
          <w:tcPr>
            <w:tcW w:w="43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0" w:firstLine="0"/>
              <w:jc w:val="center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30"/>
                <w:shd w:fill="auto" w:val="clear"/>
              </w:rPr>
              <w:t xml:space="preserve">1024 TeraByte = PetaByte</w:t>
            </w:r>
          </w:p>
        </w:tc>
      </w:tr>
      <w:tr>
        <w:trPr>
          <w:trHeight w:val="254" w:hRule="auto"/>
          <w:jc w:val="left"/>
        </w:trPr>
        <w:tc>
          <w:tcPr>
            <w:tcW w:w="43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0" w:firstLine="0"/>
              <w:jc w:val="center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30"/>
                <w:shd w:fill="auto" w:val="clear"/>
              </w:rPr>
              <w:t xml:space="preserve">1024 PetaByte = 1 ExaByte</w:t>
            </w:r>
          </w:p>
        </w:tc>
      </w:tr>
      <w:tr>
        <w:trPr>
          <w:trHeight w:val="254" w:hRule="auto"/>
          <w:jc w:val="left"/>
        </w:trPr>
        <w:tc>
          <w:tcPr>
            <w:tcW w:w="43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0" w:firstLine="0"/>
              <w:jc w:val="center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30"/>
                <w:shd w:fill="auto" w:val="clear"/>
              </w:rPr>
              <w:t xml:space="preserve">1024 ExaByte = 1 Zeta Byte</w:t>
            </w:r>
          </w:p>
        </w:tc>
      </w:tr>
      <w:tr>
        <w:trPr>
          <w:trHeight w:val="254" w:hRule="auto"/>
          <w:jc w:val="left"/>
        </w:trPr>
        <w:tc>
          <w:tcPr>
            <w:tcW w:w="43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360" w:firstLine="0"/>
              <w:jc w:val="center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30"/>
                <w:shd w:fill="auto" w:val="clear"/>
              </w:rPr>
              <w:t xml:space="preserve">1024 ZetaByte = 1 YotaByte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Para o site ser acessado é preciso: 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Domínio =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 Nome único, ex: Jw. É pago anualmente, e é necessário ter um TLD.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Hospedagem =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 Local onde vai estar armazenado os arquivos, pago mensalmente. Como qualquer hospedagem, deve ser escolhido sabedoria.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Somente os Ips lançados no servidor de rede da internet podem ser acessados por outros computadores.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Ip= Rotulo numérico de identificação que utiliza um protocolo conectado e utilizado na internet, passando pela DNS para então chegar ao cliente pelo nome de domínio.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object w:dxaOrig="6275" w:dyaOrig="1640">
          <v:rect xmlns:o="urn:schemas-microsoft-com:office:office" xmlns:v="urn:schemas-microsoft-com:vml" id="rectole0000000000" style="width:313.750000pt;height:82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3"/>
        </w:objec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DNS =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 É como uma “agenda eletrônica” que localiza nomes de domínio desejados pelo cliente, para que ele não precise digitar o Ip (endereço do protocolo de internet) do site diretamente.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URL = 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“Uniform Resourse Locator” Endereço especifico de rede no qual se encontra um recurso informático. O famoso link.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TLD =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 Um dos componentes de endereços da internet, ex: .Org; .Com; .Io, etc. 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b/>
          <w:color w:val="7030A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7030A0"/>
          <w:spacing w:val="0"/>
          <w:position w:val="0"/>
          <w:sz w:val="30"/>
          <w:shd w:fill="auto" w:val="clear"/>
        </w:rPr>
        <w:t xml:space="preserve">Aula 3 – Introdução HTML e CSS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HTML e CSS não são considerados linguagem de programação.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HTML – “HyperText MarkUp Language” – Linguagem de Marcação de Hipertexto.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Focado no conteúdo, sendo: texto, imagens ou vídeos, etc.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CSS – “Cascating Style Sheets” – Folhas de Estilo em Cascata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.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Focado no design, sendo: cores, sombras, tamanhos, pensionamento, etc.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Adicional, mas importante: JavaScript – Linguagem de programação que trabalha as interações entre o HTML e o CSS, Sendo: Menus, animações, popups, validações, etc. Deve ser estudado separadamente, mas em conjunto com o HTML e o CSS.</w:t>
      </w:r>
    </w:p>
    <w:p>
      <w:pPr>
        <w:spacing w:before="0" w:after="160" w:line="259"/>
        <w:ind w:right="0" w:left="360" w:firstLine="0"/>
        <w:jc w:val="center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object w:dxaOrig="4555" w:dyaOrig="1559">
          <v:rect xmlns:o="urn:schemas-microsoft-com:office:office" xmlns:v="urn:schemas-microsoft-com:vml" id="rectole0000000001" style="width:227.750000pt;height:77.9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Conteúdo HTML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Exemplos de Tag: 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object w:dxaOrig="5325" w:dyaOrig="2369">
          <v:rect xmlns:o="urn:schemas-microsoft-com:office:office" xmlns:v="urn:schemas-microsoft-com:vml" id="rectole0000000002" style="width:266.250000pt;height:118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Estilo em Css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object w:dxaOrig="3907" w:dyaOrig="2510">
          <v:rect xmlns:o="urn:schemas-microsoft-com:office:office" xmlns:v="urn:schemas-microsoft-com:vml" id="rectole0000000003" style="width:195.350000pt;height:125.5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object w:dxaOrig="5689" w:dyaOrig="3624">
          <v:rect xmlns:o="urn:schemas-microsoft-com:office:office" xmlns:v="urn:schemas-microsoft-com:vml" id="rectole0000000004" style="width:284.450000pt;height:181.2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0" w:after="160" w:line="259"/>
        <w:ind w:right="0" w:left="0" w:firstLine="0"/>
        <w:jc w:val="center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b/>
          <w:color w:val="7030A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7030A0"/>
          <w:spacing w:val="0"/>
          <w:position w:val="0"/>
          <w:sz w:val="30"/>
          <w:shd w:fill="auto" w:val="clear"/>
        </w:rPr>
        <w:t xml:space="preserve">Aula 4 – Front-end, Back-End e full Stack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Front-End = Client-Side: Corresponde à parte em que os usuários conseguem ver e interagir, como cores, fontes, menus, imagens entre outras funcionalidades.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Back-End = Server-Side: resume-se a tudo o que está por trás do site, que o usuário não tem acesso direto e não consegue interagir</w:t>
      </w:r>
    </w:p>
    <w:p>
      <w:pPr>
        <w:spacing w:before="0" w:after="160" w:line="259"/>
        <w:ind w:right="0" w:left="36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Full-Stack = “O Bombril”, que se qualifica em Front-End e Back-End ao mesmo tempo.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215" w:dyaOrig="3563">
          <v:rect xmlns:o="urn:schemas-microsoft-com:office:office" xmlns:v="urn:schemas-microsoft-com:vml" id="rectole0000000005" style="width:310.750000pt;height:178.1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  <w:t xml:space="preserve">CAPÍTULO 6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br/>
      </w:r>
      <w:r>
        <w:rPr>
          <w:rFonts w:ascii="Consolas" w:hAnsi="Consolas" w:cs="Consolas" w:eastAsia="Consolas"/>
          <w:b/>
          <w:color w:val="7030A0"/>
          <w:spacing w:val="0"/>
          <w:position w:val="0"/>
          <w:sz w:val="30"/>
          <w:shd w:fill="auto" w:val="clear"/>
        </w:rPr>
        <w:t xml:space="preserve">Detalhes sobre imagens...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br/>
        <w:br/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Tipos: JPEG, PNG E GIF</w:t>
        <w:br/>
        <w:br/>
        <w:t xml:space="preserve">JPEG 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 Caso você esteja visando a compactação dos pixels para nãos deixar o arquivo da imagem muito grande.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PNG 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 Caso você queira um fundo transparente e com a qualidade melhor.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GIF 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 Formato compactado, mas não tanto quanto o JPEG.E tem imagem com animação :D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  <w:t xml:space="preserve">Favicon :D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C00000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7030A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7030A0"/>
          <w:spacing w:val="0"/>
          <w:position w:val="0"/>
          <w:sz w:val="30"/>
          <w:shd w:fill="auto" w:val="clear"/>
        </w:rPr>
        <w:t xml:space="preserve">Sites para conseguir sua Favicon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IconArchive: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 Ícones prontos.</w:t>
        <w:br/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Favicon.cc: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 Desenhar seu próprio favcon.</w:t>
        <w:br/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30"/>
          <w:shd w:fill="auto" w:val="clear"/>
        </w:rPr>
        <w:t xml:space="preserve">Favicon.io:</w:t>
      </w:r>
      <w:r>
        <w:rPr>
          <w:rFonts w:ascii="Consolas" w:hAnsi="Consolas" w:cs="Consolas" w:eastAsia="Consolas"/>
          <w:color w:val="000000"/>
          <w:spacing w:val="0"/>
          <w:position w:val="0"/>
          <w:sz w:val="30"/>
          <w:shd w:fill="auto" w:val="clear"/>
        </w:rPr>
        <w:t xml:space="preserve"> Outras opções legais, como texto e emojis 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2.bin" Id="docRId7" Type="http://schemas.openxmlformats.org/officeDocument/2006/relationships/oleObject"/><Relationship Target="media/image3.wmf" Id="docRId10" Type="http://schemas.openxmlformats.org/officeDocument/2006/relationships/image"/><Relationship Target="media/image5.wmf" Id="docRId14" Type="http://schemas.openxmlformats.org/officeDocument/2006/relationships/image"/><Relationship TargetMode="External" Target="https://github.com/gustavoguanabara/html-css/tree/master/aulas-pdf" Id="docRId2" Type="http://schemas.openxmlformats.org/officeDocument/2006/relationships/hyperlink"/><Relationship Target="media/image1.wmf" Id="docRId6" Type="http://schemas.openxmlformats.org/officeDocument/2006/relationships/image"/><Relationship TargetMode="External" Target="https://gustavoguanabara.github.io/" Id="docRId1" Type="http://schemas.openxmlformats.org/officeDocument/2006/relationships/hyperlink"/><Relationship Target="embeddings/oleObject4.bin" Id="docRId11" Type="http://schemas.openxmlformats.org/officeDocument/2006/relationships/oleObject"/><Relationship Target="numbering.xml" Id="docRId15" Type="http://schemas.openxmlformats.org/officeDocument/2006/relationships/numbering"/><Relationship Target="embeddings/oleObject1.bin" Id="docRId5" Type="http://schemas.openxmlformats.org/officeDocument/2006/relationships/oleObject"/><Relationship Target="embeddings/oleObject3.bin" Id="docRId9" Type="http://schemas.openxmlformats.org/officeDocument/2006/relationships/oleObject"/><Relationship TargetMode="External" Target="https://github.com/gustavoguanabara" Id="docRId0" Type="http://schemas.openxmlformats.org/officeDocument/2006/relationships/hyperlink"/><Relationship Target="media/image4.wmf" Id="docRId12" Type="http://schemas.openxmlformats.org/officeDocument/2006/relationships/image"/><Relationship Target="styles.xml" Id="docRId16" Type="http://schemas.openxmlformats.org/officeDocument/2006/relationships/styles"/><Relationship Target="media/image0.wmf" Id="docRId4" Type="http://schemas.openxmlformats.org/officeDocument/2006/relationships/image"/><Relationship Target="media/image2.wmf" Id="docRId8" Type="http://schemas.openxmlformats.org/officeDocument/2006/relationships/image"/><Relationship Target="embeddings/oleObject5.bin" Id="docRId13" Type="http://schemas.openxmlformats.org/officeDocument/2006/relationships/oleObject"/><Relationship Target="embeddings/oleObject0.bin" Id="docRId3" Type="http://schemas.openxmlformats.org/officeDocument/2006/relationships/oleObject"/></Relationships>
</file>