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rPr>
          <w:rStyle w:val="SectionNumber"/>
        </w:rPr>
        <w:t xml:space="preserve">1</w:t>
      </w:r>
      <w:r>
        <w:tab/>
      </w:r>
      <w:r>
        <w:t xml:space="preserve">Введение</w:t>
      </w:r>
    </w:p>
    <w:bookmarkStart w:id="20" w:name="о-чем-этот-курс"/>
    <w:p>
      <w:pPr>
        <w:pStyle w:val="2"/>
      </w:pPr>
      <w:r>
        <w:rPr>
          <w:rStyle w:val="SectionNumber"/>
        </w:rPr>
        <w:t xml:space="preserve">1.1</w:t>
      </w:r>
      <w:r>
        <w:tab/>
      </w:r>
      <w:r>
        <w:t xml:space="preserve">О чем этот курс</w:t>
      </w:r>
    </w:p>
    <w:p>
      <w:pPr>
        <w:pStyle w:val="FirstParagraph"/>
      </w:pPr>
      <w:r>
        <w:t xml:space="preserve">“</w:t>
      </w:r>
      <w:r>
        <w:t xml:space="preserve">Программная инженерия — это то, что происходит с программированием при добавлении времени и других программистов</w:t>
      </w:r>
      <w:r>
        <w:t xml:space="preserve">”</w:t>
      </w:r>
      <w:r>
        <w:t xml:space="preserve"> </w:t>
      </w:r>
      <w:r>
        <w:t xml:space="preserve">(Russ Cox).</w:t>
      </w:r>
    </w:p>
    <w:p>
      <w:pPr>
        <w:pStyle w:val="a0"/>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 и контейнеризация приложений.</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rPr>
          <w:rStyle w:val="SectionNumber"/>
        </w:rPr>
        <w:t xml:space="preserve">1.2</w:t>
      </w:r>
      <w:r>
        <w:tab/>
      </w:r>
      <w:r>
        <w:t xml:space="preserve">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отследживания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rPr>
          <w:rStyle w:val="SectionNumber"/>
        </w:rPr>
        <w:t xml:space="preserve">2</w:t>
      </w:r>
      <w:r>
        <w:tab/>
      </w:r>
      <w:r>
        <w:t xml:space="preserve">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w:t>
      </w:r>
      <w:r>
        <w:t xml:space="preserve"> </w:t>
      </w:r>
      <w:r>
        <w:t xml:space="preserve">“</w:t>
      </w:r>
      <w:r>
        <w:t xml:space="preserve">хакерах</w:t>
      </w:r>
      <w:r>
        <w:t xml:space="preserve">”</w:t>
      </w:r>
      <w:r>
        <w:t xml:space="preserve"> </w:t>
      </w:r>
      <w:r>
        <w:t xml:space="preserve">—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w:t>
      </w:r>
      <w:r>
        <w:t xml:space="preserve"> </w:t>
      </w:r>
      <w:r>
        <w:t xml:space="preserve">“</w:t>
      </w:r>
      <w:r>
        <w:t xml:space="preserve">философии UNIX</w:t>
      </w:r>
      <w:r>
        <w:t xml:space="preserve">”</w:t>
      </w:r>
      <w:r>
        <w:t xml:space="preserve"> </w:t>
      </w:r>
      <w:r>
        <w:t xml:space="preserve">(Дуг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w:t>
      </w:r>
      <w:r>
        <w:t xml:space="preserve"> </w:t>
      </w:r>
      <w:r>
        <w:t xml:space="preserve">“</w:t>
      </w:r>
      <w:r>
        <w:t xml:space="preserve">возможностями</w:t>
      </w:r>
      <w:r>
        <w:t xml:space="preserve">”</w:t>
      </w:r>
      <w:r>
        <w:t xml:space="preserve">.</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rPr>
          <w:rStyle w:val="SectionNumber"/>
        </w:rPr>
        <w:t xml:space="preserve">2.1</w:t>
      </w:r>
      <w:r>
        <w:tab/>
      </w:r>
      <w:r>
        <w:t xml:space="preserve">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rPr>
          <w:rStyle w:val="SectionNumber"/>
        </w:rPr>
        <w:t xml:space="preserve">2.2</w:t>
      </w:r>
      <w:r>
        <w:tab/>
      </w:r>
      <w:r>
        <w:t xml:space="preserve">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auto" w:w="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rPr>
          <w:rStyle w:val="SectionNumber"/>
        </w:rPr>
        <w:t xml:space="preserve">3</w:t>
      </w:r>
      <w:r>
        <w:tab/>
      </w:r>
      <w:r>
        <w:t xml:space="preserve">Менеджеры пакетов</w:t>
      </w:r>
    </w:p>
    <w:bookmarkStart w:id="55" w:name="нумерация-версий-по"/>
    <w:p>
      <w:pPr>
        <w:pStyle w:val="2"/>
      </w:pPr>
      <w:r>
        <w:rPr>
          <w:rStyle w:val="SectionNumber"/>
        </w:rPr>
        <w:t xml:space="preserve">3.1</w:t>
      </w:r>
      <w:r>
        <w:tab/>
      </w:r>
      <w:r>
        <w:t xml:space="preserve">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rPr>
          <w:rStyle w:val="SectionNumber"/>
        </w:rPr>
        <w:t xml:space="preserve">3.2</w:t>
      </w:r>
      <w:r>
        <w:tab/>
      </w:r>
      <w:r>
        <w:t xml:space="preserve">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rPr>
          <w:rStyle w:val="SectionNumber"/>
        </w:rPr>
        <w:t xml:space="preserve">4</w:t>
      </w:r>
      <w:r>
        <w:tab/>
      </w:r>
      <w:r>
        <w:t xml:space="preserve">Конфигурационные языки</w:t>
      </w:r>
    </w:p>
    <w:bookmarkStart w:id="62" w:name="виды-конфигурационных-языков"/>
    <w:p>
      <w:pPr>
        <w:pStyle w:val="2"/>
      </w:pPr>
      <w:r>
        <w:rPr>
          <w:rStyle w:val="SectionNumber"/>
        </w:rPr>
        <w:t xml:space="preserve">4.1</w:t>
      </w:r>
      <w:r>
        <w:tab/>
      </w:r>
      <w:r>
        <w:t xml:space="preserve">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rPr>
          <w:rStyle w:val="SectionNumber"/>
        </w:rPr>
        <w:t xml:space="preserve">4.2</w:t>
      </w:r>
      <w:r>
        <w:tab/>
      </w:r>
      <w:r>
        <w:t xml:space="preserve">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rPr>
          <w:rStyle w:val="SectionNumber"/>
        </w:rPr>
        <w:t xml:space="preserve">4.3</w:t>
      </w:r>
      <w:r>
        <w:tab/>
      </w:r>
      <w:r>
        <w:t xml:space="preserve">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Preprocessor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rPr>
          <w:rStyle w:val="SectionNumber"/>
        </w:rPr>
        <w:t xml:space="preserve">4.4</w:t>
      </w:r>
      <w:r>
        <w:tab/>
      </w:r>
      <w:r>
        <w:t xml:space="preserve">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rPr>
          <w:rStyle w:val="SectionNumber"/>
        </w:rPr>
        <w:t xml:space="preserve">4.5</w:t>
      </w:r>
      <w:r>
        <w:tab/>
      </w:r>
      <w:r>
        <w:t xml:space="preserve">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rPr>
          <w:rStyle w:val="SectionNumber"/>
        </w:rPr>
        <w:t xml:space="preserve">5</w:t>
      </w:r>
      <w:r>
        <w:tab/>
      </w:r>
      <w:r>
        <w:t xml:space="preserve">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rPr>
          <w:rStyle w:val="SectionNumber"/>
        </w:rPr>
        <w:t xml:space="preserve">5.1</w:t>
      </w:r>
      <w:r>
        <w:tab/>
      </w:r>
      <w:r>
        <w:t xml:space="preserve">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rPr>
          <w:rStyle w:val="SectionNumber"/>
        </w:rPr>
        <w:t xml:space="preserve">5.2</w:t>
      </w:r>
      <w:r>
        <w:tab/>
      </w:r>
      <w:r>
        <w:t xml:space="preserve">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w:t>
      </w:r>
      <w:r>
        <w:t xml:space="preserve"> </w:t>
      </w:r>
      <w:r>
        <w:t xml:space="preserve">“</w:t>
      </w:r>
      <w:r>
        <w:t xml:space="preserve">сделать</w:t>
      </w:r>
      <w:r>
        <w:t xml:space="preserve">”</w:t>
      </w:r>
      <w:r>
        <w:t xml:space="preserve">.</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w:t>
      </w:r>
      <w:r>
        <w:t xml:space="preserve"> </w:t>
      </w:r>
      <w:r>
        <w:t xml:space="preserve">“</w:t>
      </w:r>
      <w:r>
        <w:t xml:space="preserve">зависимости</w:t>
      </w:r>
      <w:r>
        <w:t xml:space="preserve">”</w:t>
      </w:r>
      <w:r>
        <w:t xml:space="preserve">,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t xml:space="preserve">“</w:t>
      </w:r>
      <w:r>
        <w:t xml:space="preserve">ИМЯ=значение</w:t>
      </w:r>
      <w:r>
        <w:t xml:space="preserve">”</w:t>
      </w:r>
      <w:r>
        <w:t xml:space="preserve"> </w:t>
      </w:r>
      <w:r>
        <w:t xml:space="preserve">– это определения переменных. Для получения значения переменной используется запись</w:t>
      </w:r>
      <w:r>
        <w:t xml:space="preserve"> </w:t>
      </w:r>
      <w:r>
        <w:t xml:space="preserve">“</w:t>
      </w:r>
      <w:r>
        <w:t xml:space="preserve">$(ИМЯ)</w:t>
      </w:r>
      <w:r>
        <w:t xml:space="preserve">”</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t xml:space="preserve">“</w:t>
      </w:r>
      <w:r>
        <w:t xml:space="preserve">%.o : %.c</w:t>
      </w:r>
      <w:r>
        <w:t xml:space="preserve">”</w:t>
      </w:r>
      <w:r>
        <w:t xml:space="preserve"> </w:t>
      </w:r>
      <w:r>
        <w:t xml:space="preserve">с последующей командой означает:</w:t>
      </w:r>
      <w:r>
        <w:t xml:space="preserve"> </w:t>
      </w:r>
      <w:r>
        <w:t xml:space="preserve">“</w:t>
      </w:r>
      <w:r>
        <w:t xml:space="preserve">для любого файла .c, чтобы из него получить одноименный файл .o, надо выполнить такую-то команду</w:t>
      </w:r>
      <w:r>
        <w:t xml:space="preserve">”</w:t>
      </w:r>
      <w:r>
        <w:t xml:space="preserve">,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w:t>
      </w:r>
      <w:r>
        <w:t xml:space="preserve"> </w:t>
      </w:r>
      <w:r>
        <w:t xml:space="preserve">“</w:t>
      </w:r>
      <w:r>
        <w:t xml:space="preserve">тот файл, который надо получить</w:t>
      </w:r>
      <w:r>
        <w:t xml:space="preserve">”</w:t>
      </w:r>
      <w:r>
        <w:t xml:space="preserve"> </w:t>
      </w:r>
      <w:r>
        <w:t xml:space="preserve">(в данном случае .o), а</w:t>
      </w:r>
      <w:r>
        <w:t xml:space="preserve"> </w:t>
      </w:r>
      <w:r>
        <w:rPr>
          <w:rStyle w:val="VerbatimChar"/>
        </w:rPr>
        <w:t xml:space="preserve">$&lt;</w:t>
      </w:r>
      <w:r>
        <w:t xml:space="preserve"> </w:t>
      </w:r>
      <w:r>
        <w:t xml:space="preserve">—</w:t>
      </w:r>
      <w:r>
        <w:t xml:space="preserve"> </w:t>
      </w:r>
      <w:r>
        <w:t xml:space="preserve">“</w:t>
      </w:r>
      <w:r>
        <w:t xml:space="preserve">исходный файл</w:t>
      </w:r>
      <w:r>
        <w:t xml:space="preserve">”</w:t>
      </w:r>
      <w:r>
        <w:t xml:space="preserve"> </w:t>
      </w:r>
      <w:r>
        <w:t xml:space="preserve">(в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rPr>
          <w:rStyle w:val="SectionNumber"/>
        </w:rPr>
        <w:t xml:space="preserve">6</w:t>
      </w:r>
      <w:r>
        <w:tab/>
      </w:r>
      <w:r>
        <w:t xml:space="preserve">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rPr>
          <w:rStyle w:val="SectionNumber"/>
        </w:rPr>
        <w:t xml:space="preserve">6.1</w:t>
      </w:r>
      <w:r>
        <w:tab/>
      </w:r>
      <w:r>
        <w:t xml:space="preserve">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rPr>
          <w:rStyle w:val="SectionNumber"/>
        </w:rPr>
        <w:t xml:space="preserve">6.2</w:t>
      </w:r>
      <w:r>
        <w:tab/>
      </w:r>
      <w:r>
        <w:t xml:space="preserve">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w:t>
      </w:r>
      <w:r>
        <w:t xml:space="preserve"> </w:t>
      </w:r>
      <w:r>
        <w:t xml:space="preserve">“</w:t>
      </w:r>
      <w:r>
        <w:t xml:space="preserve">индекс</w:t>
      </w:r>
      <w:r>
        <w:t xml:space="preserve">”</w:t>
      </w:r>
      <w:r>
        <w:t xml:space="preserve">,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rPr>
          <w:rStyle w:val="SectionNumber"/>
        </w:rPr>
        <w:t xml:space="preserve">6.3</w:t>
      </w:r>
      <w:r>
        <w:tab/>
      </w:r>
      <w:r>
        <w:t xml:space="preserve">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29" w:name="документация-как-код"/>
    <w:p>
      <w:pPr>
        <w:pStyle w:val="1"/>
      </w:pPr>
      <w:r>
        <w:rPr>
          <w:rStyle w:val="SectionNumber"/>
        </w:rPr>
        <w:t xml:space="preserve">7</w:t>
      </w:r>
      <w:r>
        <w:tab/>
      </w:r>
      <w:r>
        <w:t xml:space="preserve">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w:t>
      </w:r>
      <w:r>
        <w:t xml:space="preserve"> </w:t>
      </w:r>
      <w:r>
        <w:t xml:space="preserve">“</w:t>
      </w:r>
      <w:r>
        <w:t xml:space="preserve">документация как код</w:t>
      </w:r>
      <w:r>
        <w:t xml:space="preserve">”</w:t>
      </w:r>
      <w:r>
        <w:t xml:space="preserve"> </w:t>
      </w:r>
      <w:r>
        <w:t xml:space="preserve">(docs as code), основная идея которого в использовании для создания технической документации тех же процессов, что и для разработки программ. Подход</w:t>
      </w:r>
      <w:r>
        <w:t xml:space="preserve"> </w:t>
      </w:r>
      <w:r>
        <w:t xml:space="preserve">“</w:t>
      </w:r>
      <w:r>
        <w:t xml:space="preserve">документация как код</w:t>
      </w:r>
      <w:r>
        <w:t xml:space="preserve">”</w:t>
      </w:r>
      <w:r>
        <w:t xml:space="preserve"> </w:t>
      </w:r>
      <w:r>
        <w:t xml:space="preserve">отличается следующими особенностями:</w:t>
      </w:r>
    </w:p>
    <w:p>
      <w:pPr>
        <w:numPr>
          <w:ilvl w:val="0"/>
          <w:numId w:val="1045"/>
        </w:numPr>
        <w:pStyle w:val="Compact"/>
      </w:pPr>
      <w:r>
        <w:t xml:space="preserve">Использование текстовых языков разметки, удобных для чтения как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p>
      <w:pPr>
        <w:pStyle w:val="FirstParagraph"/>
      </w:pPr>
      <w:r>
        <w:t xml:space="preserve">LaTeX</w:t>
      </w:r>
      <w:r>
        <w:t xml:space="preserve"> </w:t>
      </w:r>
      <w:r>
        <w:t xml:space="preserve">Грамотное программирование: Web и Jupyter</w:t>
      </w:r>
      <w:r>
        <w:t xml:space="preserve"> </w:t>
      </w:r>
      <w:r>
        <w:t xml:space="preserve">Markdown</w:t>
      </w:r>
      <w:r>
        <w:t xml:space="preserve"> </w:t>
      </w:r>
      <w:r>
        <w:t xml:space="preserve">Pandoc</w:t>
      </w:r>
      <w:r>
        <w:t xml:space="preserve"> </w:t>
      </w:r>
      <w:r>
        <w:t xml:space="preserve">Sphinx Autodoc</w:t>
      </w:r>
      <w:r>
        <w:t xml:space="preserve"> </w:t>
      </w:r>
      <w:r>
        <w:t xml:space="preserve">Doxygen</w:t>
      </w:r>
      <w:r>
        <w:t xml:space="preserve"> </w:t>
      </w:r>
      <w:r>
        <w:t xml:space="preserve">SWAGGER</w:t>
      </w:r>
      <w:r>
        <w:t xml:space="preserve"> </w:t>
      </w:r>
      <w:r>
        <w:t xml:space="preserve">Graphviz и PlantUML</w:t>
      </w:r>
    </w:p>
    <w:bookmarkEnd w:id="129"/>
    <w:bookmarkStart w:id="130" w:name="виртуализация-и-контейнеризация"/>
    <w:p>
      <w:pPr>
        <w:pStyle w:val="1"/>
      </w:pPr>
      <w:r>
        <w:rPr>
          <w:rStyle w:val="SectionNumber"/>
        </w:rPr>
        <w:t xml:space="preserve">8</w:t>
      </w:r>
      <w:r>
        <w:tab/>
      </w:r>
      <w:r>
        <w:t xml:space="preserve">Виртуализация и контейнеризация</w:t>
      </w:r>
    </w:p>
    <w:p>
      <w:pPr>
        <w:pStyle w:val="FirstParagraph"/>
      </w:pPr>
      <w:r>
        <w:t xml:space="preserve">Текст.</w:t>
      </w:r>
    </w:p>
    <w:bookmarkEnd w:id="130"/>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6E66ED">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4"/>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8237C0"/>
    <w:pPr>
      <w:spacing w:after="180" w:before="180" w:line="288" w:lineRule="auto"/>
      <w:ind w:firstLine="709"/>
      <w:jc w:val="both"/>
    </w:pPr>
    <w:rPr>
      <w:rFonts w:ascii="Times New Roman" w:hAnsi="Times New Roman"/>
      <w:sz w:val="28"/>
    </w:rPr>
  </w:style>
  <w:style w:customStyle="1" w:styleId="FirstParagraph" w:type="paragraph">
    <w:name w:val="First Paragraph"/>
    <w:basedOn w:val="a0"/>
    <w:next w:val="a0"/>
    <w:qFormat/>
    <w:rsid w:val="008237C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E042CA"/>
    <w:rPr>
      <w:rFonts w:ascii="Times New Roman" w:hAnsi="Times New Roman"/>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8237C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2021-11-05T10:53:18Z</dcterms:created>
  <dcterms:modified xsi:type="dcterms:W3CDTF">2021-11-05T10:53:18Z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numdepth">
    <vt:lpwstr>3</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Таблица</vt:lpwstr>
  </property>
  <property fmtid="{D5CDD505-2E9C-101B-9397-08002B2CF9AE}" pid="55" name="tblLabels">
    <vt:lpwstr>arabic</vt:lpwstr>
  </property>
  <property fmtid="{D5CDD505-2E9C-101B-9397-08002B2CF9AE}" pid="56" name="tblPrefix">
    <vt:lpwstr>табл.</vt:lpwstr>
  </property>
  <property fmtid="{D5CDD505-2E9C-101B-9397-08002B2CF9AE}" pid="57" name="tblPrefixTemplate">
    <vt:lpwstr>p i</vt:lpwstr>
  </property>
  <property fmtid="{D5CDD505-2E9C-101B-9397-08002B2CF9AE}" pid="58" name="titleDelim">
    <vt:lpwstr>.</vt:lpwstr>
  </property>
  <property fmtid="{D5CDD505-2E9C-101B-9397-08002B2CF9AE}" pid="59" name="toc-title">
    <vt:lpwstr>Оглавление</vt:lpwstr>
  </property>
</Properties>
</file>