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Times New Roman" w:hAnsi="Times New Roman" w:eastAsia="黑体"/>
          <w:b/>
          <w:color w:val="1F3A5F"/>
          <w:sz w:val="56"/>
        </w:rPr>
        <w:t>QualityForge</w:t>
      </w:r>
    </w:p>
    <w:p>
      <w:pPr>
        <w:jc w:val="center"/>
      </w:pPr>
      <w:r>
        <w:rPr>
          <w:rFonts w:ascii="Times New Roman" w:hAnsi="Times New Roman" w:eastAsia="黑体"/>
          <w:b/>
          <w:sz w:val="44"/>
        </w:rPr>
        <w:t>数据库设计说明书</w:t>
      </w:r>
    </w:p>
    <w:p>
      <w:pPr>
        <w:jc w:val="center"/>
      </w:pPr>
      <w:r>
        <w:rPr>
          <w:rFonts w:ascii="Times New Roman" w:hAnsi="Times New Roman" w:eastAsia="宋体"/>
          <w:b w:val="0"/>
          <w:sz w:val="28"/>
        </w:rPr>
        <w:t>AI 原生端到端测试平台</w:t>
      </w:r>
    </w:p>
    <w:p/>
    <w:p>
      <w:pPr>
        <w:jc w:val="center"/>
      </w:pPr>
      <w:r>
        <w:rPr>
          <w:rFonts w:ascii="Times New Roman" w:hAnsi="Times New Roman" w:eastAsia="宋体"/>
          <w:b w:val="0"/>
          <w:sz w:val="24"/>
        </w:rPr>
        <w:t>文档编号：QF-DBDD-2026-001</w:t>
      </w:r>
    </w:p>
    <w:p>
      <w:pPr>
        <w:jc w:val="center"/>
      </w:pPr>
      <w:r>
        <w:rPr>
          <w:rFonts w:ascii="Times New Roman" w:hAnsi="Times New Roman" w:eastAsia="宋体"/>
          <w:b w:val="0"/>
          <w:sz w:val="24"/>
        </w:rPr>
        <w:t>版本号：V1.0</w:t>
      </w:r>
    </w:p>
    <w:p>
      <w:pPr>
        <w:jc w:val="center"/>
      </w:pPr>
      <w:r>
        <w:rPr>
          <w:rFonts w:ascii="Times New Roman" w:hAnsi="Times New Roman" w:eastAsia="宋体"/>
          <w:b w:val="0"/>
          <w:sz w:val="24"/>
        </w:rPr>
        <w:t>编制日期：2026-08-15</w:t>
      </w:r>
    </w:p>
    <w:p>
      <w:pPr>
        <w:jc w:val="center"/>
      </w:pPr>
      <w:r>
        <w:rPr>
          <w:rFonts w:ascii="Times New Roman" w:hAnsi="Times New Roman" w:eastAsia="宋体"/>
          <w:b w:val="0"/>
          <w:sz w:val="24"/>
        </w:rPr>
        <w:t>编制依据：GB/T 8567-2006</w:t>
      </w:r>
    </w:p>
    <w:p>
      <w:pPr>
        <w:jc w:val="center"/>
      </w:pPr>
      <w:r>
        <w:rPr>
          <w:rFonts w:ascii="Times New Roman" w:hAnsi="Times New Roman" w:eastAsia="宋体"/>
          <w:b w:val="0"/>
          <w:sz w:val="24"/>
        </w:rPr>
        <w:t>密级：内部</w:t>
      </w:r>
    </w:p>
    <w:p>
      <w:r>
        <w:br w:type="page"/>
      </w:r>
    </w:p>
    <w:p>
      <w:pPr>
        <w:spacing w:after="80"/>
      </w:pPr>
      <w:r>
        <w:rPr>
          <w:rFonts w:ascii="Times New Roman" w:hAnsi="Times New Roman" w:eastAsia="宋体"/>
          <w:b w:val="0"/>
          <w:color w:val="666666"/>
          <w:sz w:val="18"/>
        </w:rPr>
        <w:t>编制依据：GB/T 8567-2006《计算机软件文档编制规范》第 13 部分「数据库设计说明书」章节结构。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666666"/>
          <w:sz w:val="18"/>
        </w:rPr>
        <w:t>配套关系：本文与 `docs/04-architecture/33-数据库Schema设计.md`（权威 DDL 源码，107 张 CREATE TABLE）配套。33 号承载逐表 DDL，本文只写"设计说明"：分类理由、关系要点、物理布局与运用规则，不重复贴表结构。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666666"/>
          <w:sz w:val="18"/>
        </w:rPr>
        <w:t>版本：V0.9 草案（2026-08-15）；状态：待复核；编制：数据库设计起草员。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1"/>
        <w:spacing w:before="320" w:after="160"/>
      </w:pPr>
      <w:r>
        <w:rPr>
          <w:rFonts w:ascii="Times New Roman" w:hAnsi="Times New Roman" w:eastAsia="黑体"/>
          <w:b/>
          <w:color w:val="1F3A5F"/>
          <w:sz w:val="32"/>
        </w:rPr>
        <w:t>1 引言</w:t>
      </w:r>
    </w:p>
    <w:p>
      <w:pPr>
        <w:pStyle w:val="Heading2"/>
        <w:spacing w:before="240" w:after="120"/>
      </w:pPr>
      <w:r>
        <w:rPr>
          <w:rFonts w:ascii="Times New Roman" w:hAnsi="Times New Roman" w:eastAsia="黑体"/>
          <w:b/>
          <w:color w:val="1F3A5F"/>
          <w:sz w:val="28"/>
        </w:rPr>
        <w:t>1.1 编写目的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本文说明 QualityForge 数据库的设计目标、外部接口、概念/逻辑/物理三层结构以及安全、完整性与恢复等运用规则，供以下人员使用：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4"/>
        </w:rPr>
        <w:t>开发人员：据此理解表分类、关系与约束语义，按 33 号 DDL 和 38 号迁移约定实现；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4"/>
        </w:rPr>
        <w:t>测试与验收人员：据此构造完整性、多租户隔离、只追加与恢复演练的验收用例；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4"/>
        </w:rPr>
        <w:t>运维人员：据此执行备份、归档、巡检与故障恢复；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4"/>
        </w:rPr>
        <w:t>评审人员：据此复核数据库设计与产品裁决（2026-08-14 批次）的一致性。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本文不替代 33 号 DDL、38 号迁移约定和 04 号领域模型；三者分别是表结构、迁移过程和实体语义的权威源。</w:t>
      </w:r>
    </w:p>
    <w:p>
      <w:pPr>
        <w:pStyle w:val="Heading2"/>
        <w:spacing w:before="240" w:after="120"/>
      </w:pPr>
      <w:r>
        <w:rPr>
          <w:rFonts w:ascii="Times New Roman" w:hAnsi="Times New Roman" w:eastAsia="黑体"/>
          <w:b/>
          <w:color w:val="1F3A5F"/>
          <w:sz w:val="28"/>
        </w:rPr>
        <w:t>1.2 背景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QualityForge 是一条以测试交付物为主线的智能测试生产线：AI Agent 负责分析、生产、执行与修改，测试人员负责目标设定、审核、批改与最终质量把控（05 §一）。产品划分为 8 个一级功能模块，数据模型遵循以下顶层原则（04 §1）：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4"/>
        </w:rPr>
        <w:t>一个实体只有一个业务 Owner；其他模块只能引用精确版本、读取投影或调用 Owner 命令；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4"/>
        </w:rPr>
        <w:t>Workspace 是数据与权限边界，产品界面显示"项目"，不新增 Project 实体；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4"/>
        </w:rPr>
        <w:t>正式产出物采用"稳定身份 + 不可变版本"，审核绑定 `artifactVersionId + contentDigest`；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4"/>
        </w:rPr>
        <w:t>执行结果与制品是不可变事实，分析与报告不得反向覆盖；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4"/>
        </w:rPr>
        <w:t>所有高价值状态变化与授权决定只追加事件，不以覆盖当前字段替代审计；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4"/>
        </w:rPr>
        <w:t>删除默认归档；被历史引用的版本不得物理删除。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系统当前处于 V0 设计阶段，无生产数据；Stage 4 已存在 SQLite 单机切片，目标数据库为 PostgreSQL 16。</w:t>
      </w:r>
    </w:p>
    <w:p>
      <w:pPr>
        <w:pStyle w:val="Heading2"/>
        <w:spacing w:before="240" w:after="120"/>
      </w:pPr>
      <w:r>
        <w:rPr>
          <w:rFonts w:ascii="Times New Roman" w:hAnsi="Times New Roman" w:eastAsia="黑体"/>
          <w:b/>
          <w:color w:val="1F3A5F"/>
          <w:sz w:val="28"/>
        </w:rPr>
        <w:t>1.3 定义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4"/>
        </w:rPr>
        <w:t>稳定根（Stable Root）：正式产出物的稳定身份表（如 `t_test_case`），只保存身份、指针与生命周期状态，正文在版本表中。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4"/>
        </w:rPr>
        <w:t>不可变版本（Immutable Version）：正文与结构化内容所在表（如 `t_test_case_version`），`version` 从 1 递增，内容变化即新版本；发布后不得 UPDATE 正文。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4"/>
        </w:rPr>
        <w:t>只追加（Append-only）：事实/证据/审计类表仅允许 INSERT，应用角色被 REVOKE UPDATE/DELETE；纠错通过新事件或更正记录完成。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4"/>
        </w:rPr>
        <w:t>RLS（Row Level Security）：PostgreSQL 行级安全，按 `app.current_tenant_id` 会话上下文强制租户隔离。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4"/>
        </w:rPr>
        <w:t>多态引用（Polymorphic Reference）：`(type, id[, version_id])` 组合指向不确定目标表的关系（如 WorkItemArtifact、SourceTraceEdge），无法声明普通外键。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4"/>
        </w:rPr>
        <w:t>contentDigest：受审核正文、结构化字段与证据集合的规范化摘要（SHA-256，64 位十六进制），变化即新版本。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4"/>
        </w:rPr>
        <w:t>介入点（Intervention Point）：AI 参与动作的受治理位置，以 `intervention_key` 标识，由 `t_calibration_record` 定义阈值、有效期与降级级别。</w:t>
      </w:r>
    </w:p>
    <w:p>
      <w:pPr>
        <w:pStyle w:val="Heading2"/>
        <w:spacing w:before="240" w:after="120"/>
      </w:pPr>
      <w:r>
        <w:rPr>
          <w:rFonts w:ascii="Times New Roman" w:hAnsi="Times New Roman" w:eastAsia="黑体"/>
          <w:b/>
          <w:color w:val="1F3A5F"/>
          <w:sz w:val="28"/>
        </w:rPr>
        <w:t>1.4 参考资料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编号</w:t>
            </w:r>
          </w:p>
        </w:tc>
        <w:tc>
          <w:tcPr>
            <w:tcW w:type="dxa" w:w="2882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文档</w:t>
            </w:r>
          </w:p>
        </w:tc>
        <w:tc>
          <w:tcPr>
            <w:tcW w:type="dxa" w:w="2882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用途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[1]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GB/T 8567-2006 计算机软件文档编制规范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本文章节结构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[2]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docs/01-product/04-核心领域模型.md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实体、字段、状态机权威源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[3]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docs/01-product/05-功能模块重构方案.md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模块边界、唯一 Owner、审核与外部写入裁决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[4]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docs/03-governance/20-非功能需求.md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一致性、安全、恢复与删除策略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[5]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docs/03-governance/22-MVP版本规划v2.0.md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V1 范围、五类覆盖率口径、版本门禁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[6]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docs/04-architecture/31-系统架构设计.md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目标拓扑与 Stage 4 SQLite 切片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[7]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docs/04-architecture/32-API规范.yaml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API 契约（camelCase↔snake_case 映射）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[8]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docs/04-architecture/33-数据库Schema设计.md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权威 DDL 源码（107 张表）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[9]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docs/04-architecture/34-认证授权设计.md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认证与授权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[10]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docs/04-architecture/35-变更记录CHANGELOG.md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8-14 批次裁决与表计数沿革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[11]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docs/04-architecture/38-数据库迁移与种子数据约定.md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迁移序列、RLS、两条 Profile 区分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[12]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docs/05-audits/current/L1-一致性复验纠正-2026-08-13.md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M1/M2 里程碑锚点</w:t>
            </w:r>
          </w:p>
        </w:tc>
      </w:tr>
    </w:tbl>
    <w:p>
      <w:pPr>
        <w:spacing w:after="80"/>
      </w:pPr>
      <w:r>
        <w:rPr>
          <w:rFonts w:ascii="Times New Roman" w:hAnsi="Times New Roman" w:eastAsia="宋体"/>
          <w:b w:val="0"/>
          <w:color w:val="666666"/>
          <w:sz w:val="18"/>
        </w:rPr>
        <w:t>来源：本章依据任务简报与 [2][3][4][10][11][12] 归纳；表计数沿革见 3.3.6。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1"/>
        <w:spacing w:before="320" w:after="160"/>
      </w:pPr>
      <w:r>
        <w:rPr>
          <w:rFonts w:ascii="Times New Roman" w:hAnsi="Times New Roman" w:eastAsia="黑体"/>
          <w:b/>
          <w:color w:val="1F3A5F"/>
          <w:sz w:val="32"/>
        </w:rPr>
        <w:t>2 外部设计</w:t>
      </w:r>
    </w:p>
    <w:p>
      <w:pPr>
        <w:pStyle w:val="Heading2"/>
        <w:spacing w:before="240" w:after="120"/>
      </w:pPr>
      <w:r>
        <w:rPr>
          <w:rFonts w:ascii="Times New Roman" w:hAnsi="Times New Roman" w:eastAsia="黑体"/>
          <w:b/>
          <w:color w:val="1F3A5F"/>
          <w:sz w:val="28"/>
        </w:rPr>
        <w:t>2.1 标识符和状态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4"/>
        </w:rPr>
        <w:t>目标数据库：逻辑名 `QualityForge`，实例为 PostgreSQL 16；单实例多租户（多 Workspace），不按租户拆库。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4"/>
        </w:rPr>
        <w:t>表标识：统一 `t_` 前缀 + snake_case 域名表名；列 snake_case；API 使用 camelCase，由 ORM 显式映射（33 §1）。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4"/>
        </w:rPr>
        <w:t>主键：全库 UUID（`uuid_generate_v4()`），实体与版本的不可复用主键；禁止以业务键作主键。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4"/>
        </w:rPr>
        <w:t>数据库角色：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  - `qf_owner`（NOLOGIN）：迁移与种子执行者，运行期严禁使用；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  - `qf_app_user`（LOGIN、NOBYPASSRLS、NOSUPERUSER、NOCREATEDB、NOCREATEROLE）：应用连接角色，受 RLS 约束，无 DDL 权限。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4"/>
        </w:rPr>
        <w:t>扩展：`uuid-ossp`（UUID）、`vector`（知识向量，1536 维）。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4"/>
        </w:rPr>
        <w:t>状态：数据库设计当前处于"V0 设计态"（DDL 已冻结于 33 号、迁移链约定于 38 号、尚未进入开发实施）；Stage 4 SQLite 切片处于"可运行态"，仅覆盖最小表集（见 3.3.5）。</w:t>
      </w:r>
    </w:p>
    <w:p>
      <w:pPr>
        <w:pStyle w:val="Heading2"/>
        <w:spacing w:before="240" w:after="120"/>
      </w:pPr>
      <w:r>
        <w:rPr>
          <w:rFonts w:ascii="Times New Roman" w:hAnsi="Times New Roman" w:eastAsia="黑体"/>
          <w:b/>
          <w:color w:val="1F3A5F"/>
          <w:sz w:val="28"/>
        </w:rPr>
        <w:t>2.2 使用它的程序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程序/组件</w:t>
            </w:r>
          </w:p>
        </w:tc>
        <w:tc>
          <w:tcPr>
            <w:tcW w:type="dxa" w:w="2882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连接身份</w:t>
            </w:r>
          </w:p>
        </w:tc>
        <w:tc>
          <w:tcPr>
            <w:tcW w:type="dxa" w:w="2882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用途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API 服务层（FastAPI，32 号契约）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qf_app_user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全部业务读写；事务内设置租户上下文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迁移工具（Alembic，38 号序列）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qf_owner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建表、约束、RLS、索引、种子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执行调度 / Runner 服务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qf_app_user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ExecutionTask 状态机、租约续期、结果回写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后台任务（知识索引、失败聚类、巡检）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qf_app_user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派生重建、audit-orphans 巡检、归档任务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Stage 4 本地 `SQLiteWorkflowStore`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SQLite 文件（0600）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单机开发切片，非目标库等价物</w:t>
            </w:r>
          </w:p>
        </w:tc>
      </w:tr>
    </w:tbl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所有 API 访问仍强制校验 tenant/workspace；直接读取数据库文件可绕过应用层，因此 SQLite 仅限受控单机开发（33 引言）。</w:t>
      </w:r>
    </w:p>
    <w:p>
      <w:pPr>
        <w:pStyle w:val="Heading2"/>
        <w:spacing w:before="240" w:after="120"/>
      </w:pPr>
      <w:r>
        <w:rPr>
          <w:rFonts w:ascii="Times New Roman" w:hAnsi="Times New Roman" w:eastAsia="黑体"/>
          <w:b/>
          <w:color w:val="1F3A5F"/>
          <w:sz w:val="28"/>
        </w:rPr>
        <w:t>2.3 约定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4"/>
        </w:rPr>
        <w:t>通用字段：`id`（UUID）、`tenant_id`（租户内对象必填）、`workspace_id`（Workspace 内对象必填）、`created_at/created_by`（审计）、`updated_at`（仅稳定根/可变配置）、`version`（聚合内从 1 递增）、`content_digest`（SHA-256 摘要）、`created_by_actor_type/actor_id`（HUMAN/AGENT/SYSTEM/SERVICE）。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4"/>
        </w:rPr>
        <w:t>时间：一律 `TIMESTAMPTZ`，默认 `CURRENT_TIMESTAMP`；业务日期（计划起止）用 `DATE`。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4"/>
        </w:rPr>
        <w:t>受控结构：复杂可变结构用 JSONB（scope、规则、证据引用、指标定义）；正文/大制品保存受控对象存储引用 + digest，不落库。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4"/>
        </w:rPr>
        <w:t>枚举：状态与类型列使用 VARCHAR + CHECK 白名单，值大写；禁止自由字符串兜底。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4"/>
        </w:rPr>
        <w:t>命名唯一性：业务键按 `(workspace_id, key)`、`(workspace_id, release_id, key)` 等组合 UNIQUE；版本表 `(根 id, version)` 与 `(根 id, content_digest)` 双唯一。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4"/>
        </w:rPr>
        <w:t>空值语义：可空引用需区分"未设置"与"已设置但无效"；`UNIQUE NULLS NOT DISTINCT` 用于允许空的目标维（如 `(workspace_id, secret_key, target_environment_id)`）。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4"/>
        </w:rPr>
        <w:t>删除语义：默认归档（状态 → ARCHIVED/DEPRECATED/REJECTED），不物理删除；见 4.4。</w:t>
      </w:r>
    </w:p>
    <w:p>
      <w:pPr>
        <w:pStyle w:val="Heading2"/>
        <w:spacing w:before="240" w:after="120"/>
      </w:pPr>
      <w:r>
        <w:rPr>
          <w:rFonts w:ascii="Times New Roman" w:hAnsi="Times New Roman" w:eastAsia="黑体"/>
          <w:b/>
          <w:color w:val="1F3A5F"/>
          <w:sz w:val="28"/>
        </w:rPr>
        <w:t>2.4 专门指导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4"/>
        </w:rPr>
        <w:t>每个事务开始后、任何查询之前，以参数化方式执行 `set_config('app.current_tenant_id', …, true)` 与用户身份设置；缺失/非法 UUID 在应用层与 DB 策略两侧 fail-closed；禁止信任客户端传入的 `X-Tenant-ID`（33 §13.1）。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4"/>
        </w:rPr>
        <w:t>高价值动作（批准、外部写入、版本发布、Secret 使用）先经授权引擎产生 `AuthorizationDecision`，业务表保存 `authorization_decision_id` 引用。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4"/>
        </w:rPr>
        <w:t>写路径区分三类：稳定根指针更新（可变）、版本 INSERT（只追加语义）、事实表 INSERT（只追加 + 权限 REVOKE）。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4"/>
        </w:rPr>
        <w:t>异步操作返回 WorkItem/attempt 资源，不以 HTTP 200 掩盖后台失败；写操作支持 Idempotency-Key（20 §4）。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4"/>
        </w:rPr>
        <w:t>外部写入（如 Defect 同步）必须绑定精确批准版本、幂等键与 `approval_id`，重试不得重复建单（05 §5.9.8）。</w:t>
      </w:r>
    </w:p>
    <w:p>
      <w:pPr>
        <w:pStyle w:val="Heading2"/>
        <w:spacing w:before="240" w:after="120"/>
      </w:pPr>
      <w:r>
        <w:rPr>
          <w:rFonts w:ascii="Times New Roman" w:hAnsi="Times New Roman" w:eastAsia="黑体"/>
          <w:b/>
          <w:color w:val="1F3A5F"/>
          <w:sz w:val="28"/>
        </w:rPr>
        <w:t>2.5 支持软件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4"/>
        </w:rPr>
        <w:t>PostgreSQL 16（目标）、SQLite 3（Stage 4 本地，WAL + 外键检查 + 10 秒 busy timeout + 0600 权限）；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4"/>
        </w:rPr>
        <w:t>SQLAlchemy 2.0 async + Alembic（迁移身份 qf_owner）；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4"/>
        </w:rPr>
        <w:t>扩展 `uuid-ossp`、`vector`；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4"/>
        </w:rPr>
        <w:t>对象存储（正文/制品引用）、KMS/Vault（双信封密钥）、OIDC/OAuth2 身份提供方；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4"/>
        </w:rPr>
        <w:t>运维工具：pg_basebackup / WAL 归档（备份，见 4.4.1）。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666666"/>
          <w:sz w:val="18"/>
        </w:rPr>
        <w:t>来源：本章依据 [6][7][8][10][11]（33 §1/§2/§13.1、38 §0/§5、31 Stage 4 说明）。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1"/>
        <w:spacing w:before="320" w:after="160"/>
      </w:pPr>
      <w:r>
        <w:rPr>
          <w:rFonts w:ascii="Times New Roman" w:hAnsi="Times New Roman" w:eastAsia="黑体"/>
          <w:b/>
          <w:color w:val="1F3A5F"/>
          <w:sz w:val="32"/>
        </w:rPr>
        <w:t>3 结构设计</w:t>
      </w:r>
    </w:p>
    <w:p>
      <w:pPr>
        <w:pStyle w:val="Heading2"/>
        <w:spacing w:before="240" w:after="120"/>
      </w:pPr>
      <w:r>
        <w:rPr>
          <w:rFonts w:ascii="Times New Roman" w:hAnsi="Times New Roman" w:eastAsia="黑体"/>
          <w:b/>
          <w:color w:val="1F3A5F"/>
          <w:sz w:val="28"/>
        </w:rPr>
        <w:t>3.1 概念结构设计：五类实体组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107 张表按职责与生命周期特征划分为五类实体组。分类依据：内容是否可变、是否可重建、是否承担业务流程推进、是否承载证据与审计。</w:t>
      </w:r>
    </w:p>
    <w:p>
      <w:pPr>
        <w:pStyle w:val="Heading3"/>
        <w:spacing w:before="200" w:after="80"/>
      </w:pPr>
      <w:r>
        <w:rPr>
          <w:rFonts w:ascii="Times New Roman" w:hAnsi="Times New Roman" w:eastAsia="黑体"/>
          <w:b/>
          <w:sz w:val="24"/>
        </w:rPr>
        <w:t>3.1.1 分类总览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组</w:t>
            </w:r>
          </w:p>
        </w:tc>
        <w:tc>
          <w:tcPr>
            <w:tcW w:type="dxa" w:w="2161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设计特征</w:t>
            </w:r>
          </w:p>
        </w:tc>
        <w:tc>
          <w:tcPr>
            <w:tcW w:type="dxa" w:w="2161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代表表</w:t>
            </w:r>
          </w:p>
        </w:tc>
        <w:tc>
          <w:tcPr>
            <w:tcW w:type="dxa" w:w="2161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数量</w:t>
            </w:r>
          </w:p>
        </w:tc>
      </w:tr>
      <w:tr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 稳定根 + 不可变版本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身份稳定、正文不可变、审核绑定 digest、指针指向精确版本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quirementDocument(+Version)、APIContract(+Version、OperationVersion)、KnowledgeEntry(+Version)、TestStrategy(+Version)、TestPlan(+Version)、TestCase(+Version)、TestSuite(+Version、CaseMapping)、AutomationScript(+Version、VersionCaseBinding)、ExecutionPlan(+Version)、ResultAnalysis(+Version)、Defect(+Version)、TestReport(+Version)、QualityGate、PipelineConfig、MockConfig、TestData、TestDataProfile、Locator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33</w:t>
            </w:r>
          </w:p>
        </w:tc>
      </w:tr>
      <w:tr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 只追加证据/事件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事实与审计，应用角色禁 UPDATE/DELETE；纠错用新事件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uditLog、AuthorizationDecision、WorkItemEvent、ExecutionTaskEvent、ExecutionResult、ExecutionArtifact、APIObservation、ContractCheckResult、DefectStatusEvent、DefectSyncAttempt、AgentSession、AgentTraceNode、SkillInvocation、EvalRun、EvalResult、AutomationCheckRun、SourceSnapshot、SourceTraceEdge、DefectEvidence、PipelineRun、VerifyVerdict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21</w:t>
            </w:r>
          </w:p>
        </w:tc>
      </w:tr>
      <w:tr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 工作流/协作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状态可变但受状态机与乐观锁约束；高价值变化另写事件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WorkItem、WorkItemRun、WorkItemArtifact、WorkItemDependency、ReviewTask、ReviewAssignment、ExecutionTask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</w:tr>
      <w:tr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 目录与治理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配置/引用/身份，版本化 + 审批，不承载业务正文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enant、User、Workspace、Release、Environment、WorkspaceSecret、RunnerNode、LlmConfig、IntegrationConfig、RoleDefinition、Permission、RolePermission、RoleBinding、ExplicitDeny、ReviewPolicy、DelegationGrant、SupportAccessGrant、Skill、WorkspaceSkillEnablement、Agent、WorkspaceAgentEnablement、AgentSkillGrant、AgentWorkflow、AgentPromptVersion、EvalDataset、EvalCase、ExternalDefectLink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27</w:t>
            </w:r>
          </w:p>
        </w:tc>
      </w:tr>
      <w:tr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 中间产物/可重建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AI 生产链中间态，有 reviewStatus 但不可直接生效；或为派生可重建投影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estingIR、BusinessRule、TestScenario、DesignTestCase、Assertion、AIContextSnapshot、KnowledgeCandidate、KnowledgeVector、KnowledgeGraphNode/Edge、APIContractBaseline、ExecutionContractBaseline、VisualBaseline、PerformanceBaseline、FailureAnalysis、FailureCluster/Member、CoverageReport、CalibrationRecord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19</w:t>
            </w:r>
          </w:p>
        </w:tc>
      </w:tr>
    </w:tbl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注：五组数量 33+21+7+27+19 = 107，与 33 号文件实测表数一致（逐表归组核对无遗漏）；个别表存在跨组语义（如 DefectEvidence 归属版本但语义只追加），按"主导生命周期"归组。</w:t>
      </w:r>
    </w:p>
    <w:p>
      <w:pPr>
        <w:pStyle w:val="Heading3"/>
        <w:spacing w:before="200" w:after="80"/>
      </w:pPr>
      <w:r>
        <w:rPr>
          <w:rFonts w:ascii="Times New Roman" w:hAnsi="Times New Roman" w:eastAsia="黑体"/>
          <w:b/>
          <w:sz w:val="24"/>
        </w:rPr>
        <w:t>3.1.2 各类设计理由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 稳定根 + 不可变版本（33 张）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理由：正式产出物（八类，05 §3.3）是审核与追溯的对象。稳定根提供可被跨模块引用的身份与业务键；版本表提供可审核、可 Diff、可复现的内容。审核只绑定 `versionId + contentDigest`，旧批准不得迁移到新版本（04 §1.2、§11.2）。根表指针 `current_version_id/published_version_id` 只能指向本聚合版本，普通 FK 无法表达"同聚合根"约束，由应用服务校验（33 §12）。发布版本不得 UPDATE 正文——这是"批准后可证明未被篡改"的前提。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B 只追加证据/事件（21 张）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理由：执行结果、审计、授权决定、状态事件与 Agent Trace 是不可变事实（04 原则 6/8，20 §4.2）。分析、Defect、报告只能引用这些事实，不得反向覆盖；看板周期、等待时间、SLA 指标必须从事件计算，禁止通过覆盖当前字段伪造历史（05 §5.5.6）。只追加表统一执行 `REVOKE UPDATE, DELETE FROM qf_app_user`（33 §13.3），纠错通过新事件或更正记录完成。`t_execution_task_event` 为 2026-08-14 B3 补丁新增，补齐执行任务状态变化的事件化缺口（20 §4.2 只追加清单）。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C 工作流/协作（7 张）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理由：WorkItem 拥有流程而非业务正文（04 原则 5）；审核链 ReviewTask→ReviewAssignment 是正式产出物生效的唯一证据。此类表状态可变（状态机见 04 §11），但：高价值状态变化写只追加事件；并发修改由乐观锁（`lock_version`）拦截；审核通过后固化版本与审核目标版本必须一致，不一致则审核失效回 PENDING_REVIEW（05 §5.5.4 规则 4）。ReviewDecision 不建独立实体/表，是 `ReviewAssignment.decision` 与 `AuthorizationDecision` 的只追加投影概念（裁决 B2-10，2026-08-14）。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D 目录与治理（27 张）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理由：租户、用户、Workspace、Release、环境、集成、密钥、Runner、模型配置与 RBAC 是平台管理职责（05 §4.8），为业务表提供身份、授权与运行环境。特征：内置行不可由租户原地修改；Secret 双信封加密且 API 永不返回明文；RoleBinding 带有效期与条件；ReviewPolicy 平台最低要求只能调严；Skill/Agent/Prompt 版本化且不可覆盖。全局行（`tenant_id IS NULL`）只能由 qf_owner 写入。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E 中间产物/可重建（19 张）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理由：AI 生产链的中间态（TestingIR、BusinessRule、DesignTestCase、TestScenario、KnowledgeCandidate、FailureAnalysis/Cluster、CoverageReport 等）在人工审核/固化为正式版本前不生效；派生投影（KnowledgeVector、知识图谱、各类 Baseline）可由源头重建，级联删除是被允许的例外；校准记录（CalibrationRecord）与独立验证裁决（VerifyVerdict，归 B 组只追加证据）共同构成 AI 治理的证据底座，见 3.2.6。通用 `BaselineItem` 退场，禁止按 `baselineType` 单表混用状态机（04 §6.2）。</w:t>
      </w:r>
    </w:p>
    <w:p>
      <w:pPr>
        <w:pStyle w:val="Heading2"/>
        <w:spacing w:before="240" w:after="120"/>
      </w:pPr>
      <w:r>
        <w:rPr>
          <w:rFonts w:ascii="Times New Roman" w:hAnsi="Times New Roman" w:eastAsia="黑体"/>
          <w:b/>
          <w:color w:val="1F3A5F"/>
          <w:sz w:val="28"/>
        </w:rPr>
        <w:t>3.2 逻辑结构设计：核心实体关系</w:t>
      </w:r>
    </w:p>
    <w:p>
      <w:pPr>
        <w:pStyle w:val="Heading3"/>
        <w:spacing w:before="200" w:after="80"/>
      </w:pPr>
      <w:r>
        <w:rPr>
          <w:rFonts w:ascii="Times New Roman" w:hAnsi="Times New Roman" w:eastAsia="黑体"/>
          <w:b/>
          <w:sz w:val="24"/>
        </w:rPr>
        <w:t>3.2.1 稳定根-版本指针模式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每个正式产出物聚合 = 1 根表 + 1 版本表（+ 附属表），如 `t_test_case → t_test_case_version`。根表经 `current_version_id/published_version_id` 指向精确版本；指针外键在版本表全部建成后统一追加（38 号迁移 0011），消除建表环。应用层必须校验：指针版本属于同一聚合根、同一 tenant、同一 workspace。审核、执行、报告、同步等一切引用必须指向精确版本，禁止引用"当前最新版本"（05 §5.5.5）。</w:t>
      </w:r>
    </w:p>
    <w:p>
      <w:pPr>
        <w:pStyle w:val="Heading3"/>
        <w:spacing w:before="200" w:after="80"/>
      </w:pPr>
      <w:r>
        <w:rPr>
          <w:rFonts w:ascii="Times New Roman" w:hAnsi="Times New Roman" w:eastAsia="黑体"/>
          <w:b/>
          <w:sz w:val="24"/>
        </w:rPr>
        <w:t>3.2.2 WorkItem-ReviewTask 审核链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`t_work_item` 1:N `t_review_task`（一个工作项可有多个审核阶段）；ReviewTask 必填 `artifact_type/artifact_id/artifact_version_id/content_digest`，经 `WorkItemArtifact(relation_type=REVIEW_TARGET)` 关联产出物；ReviewTask 1:N `t_review_assignment`，assignee 只允许人类 User，四眼策略下 Reviewer 与 Approver 必须是不同自然人，Approver 不能是目标版本最后修改人（04 §3.3）。Agent 永远不能成为 `assignee_id`。所有 ReviewTask 均 APPROVE 后 WorkItem 才能进入 APPROVED（05 §5.5.7）。状态推进路径：IN_PROGRESS → PENDING_REVIEW（前置：存在带版本 OUTPUT Artifact）→ APPROVED（前置：已解决 ReviewTask + 签名）→ DONE。</w:t>
      </w:r>
    </w:p>
    <w:p>
      <w:pPr>
        <w:pStyle w:val="Heading3"/>
        <w:spacing w:before="200" w:after="80"/>
      </w:pPr>
      <w:r>
        <w:rPr>
          <w:rFonts w:ascii="Times New Roman" w:hAnsi="Times New Roman" w:eastAsia="黑体"/>
          <w:b/>
          <w:sz w:val="24"/>
        </w:rPr>
        <w:t>3.2.3 ExecutionPlan-ExecutionTask-Result 执行链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`t_execution_plan`（稳定根）→ `t_execution_plan_version`（冻结 `test_plan_version_id + release_id + environment_id + asset_version_refs` 精确版本与 `configuration_digest`）→ `t_execution_task`（状态机 PENDING/QUEUED/RUNNING/COMPLETED/FAILED/TIMED_OUT/BLOCKED/CANCELLED，绑定 `execution_plan_version_id + work_item_id + authorization_decision_id + input_snapshot_digest`；任务级超时与租约 `timeout_seconds/lease_expires_at` 为 B3 补丁）→ 状态变化写入只追加 `t_execution_task_event` → 1:N `t_execution_result`（不可变；绑定 `test_case_version_id + script_version_id` 精确版本；任务失败与断言失败分离——任务可 COMPLETED 而结果 FAILED）→ 1:N `t_execution_artifact`（LOG/SCREENSHOT/VIDEO/TRACE/REQUEST/RESPONSE/OTHER）、`t_api_observation`（脱敏请求/响应事实）、`t_contract_check_result`（与 `execution_contract_baseline` 的匹配/偏差）。</w:t>
      </w:r>
    </w:p>
    <w:p>
      <w:pPr>
        <w:pStyle w:val="Heading3"/>
        <w:spacing w:before="200" w:after="80"/>
      </w:pPr>
      <w:r>
        <w:rPr>
          <w:rFonts w:ascii="Times New Roman" w:hAnsi="Times New Roman" w:eastAsia="黑体"/>
          <w:b/>
          <w:sz w:val="24"/>
        </w:rPr>
        <w:t>3.2.4 TestCase-AutomationScript 绑定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TestCase（稳定根+版本）与 AutomationScript（稳定根+版本）之间通过 `t_automation_script_version_case_binding` 多对多绑定精确版本对（`(automation_script_version_id, test_case_version_id)` 唯一），取代旧 `AutomationScript.test_case_id UNIQUE` 单值设计（04 §12）。静态检查证据由 `t_automation_check_run` 挂脚本版本（只追加，阻断检查失败不能人工备注放行）。执行时 `t_execution_result` 再次同时引用用例版本与脚本版本，形成"设计（TestCase）→ 代码（Script）→ 执行证据（Result）"三环闭合；可执行覆盖（EXECUTABLE 口径）由绑定表与执行结果两环支撑（22 附录 C）。</w:t>
      </w:r>
    </w:p>
    <w:p>
      <w:pPr>
        <w:pStyle w:val="Heading3"/>
        <w:spacing w:before="200" w:after="80"/>
      </w:pPr>
      <w:r>
        <w:rPr>
          <w:rFonts w:ascii="Times New Roman" w:hAnsi="Times New Roman" w:eastAsia="黑体"/>
          <w:b/>
          <w:sz w:val="24"/>
        </w:rPr>
        <w:t>3.2.5 SourceTrace 溯源链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来源链：`SourceSnapshot`（不可变来源快照）→ `RequirementDocumentVersion/APIContractVersion` → `TestingIR/BusinessRule` → `TestStrategyVersion/TestPlanVersion/TestCaseVersion` → `AutomationScriptVersion` → `ExecutionResult` → `FailureAnalysis/DefectVersion/TestReportVersion` → ReviewTask。链上的"边"统一由只追加 `t_source_trace_edge` 表达，必须保存端点资源类型、稳定 ID、精确版本 ID 与 digest，不能只存自由字符串 ID（04 §2）；`evidence_class` 区分 CONFIRMED/INFERRED/UNRESOLVED/CONTRADICTS，AI 推断必须标 INFERRED，INFERRED 规则不能静默成为正式事实。追踪链完整性覆盖 20 §4.7 的八段要求。</w:t>
      </w:r>
    </w:p>
    <w:p>
      <w:pPr>
        <w:pStyle w:val="Heading3"/>
        <w:spacing w:before="200" w:after="80"/>
      </w:pPr>
      <w:r>
        <w:rPr>
          <w:rFonts w:ascii="Times New Roman" w:hAnsi="Times New Roman" w:eastAsia="黑体"/>
          <w:b/>
          <w:sz w:val="24"/>
        </w:rPr>
        <w:t>3.2.6 CalibrationRecord 介入点与 VerifyVerdict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4"/>
        </w:rPr>
        <w:t>`t_calibration_record`（8-14 新增，M5）：按 `intervention_key` 定义 AI 介入点的校准基线——`subject_version/dataset_version/metric_definition/threshold/sample_size/valid_from/expires_at/fallback_level`，`subject_operation`（如 `["createTestCase","transitionWorkItem"]`）与 `subject_table`（如 `["t_test_case","t_design_test_case"]`）为 JSON 数组字符串，一个介入点可对应多个实现点；无有效版本化校准记录时，AI 分数只用于排序/提示（20 §6），这是 AC-03 判定底座。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4"/>
        </w:rPr>
        <w:t>`t_verify_verdict`（8-14 新增，M1 最小落点）：INDEPENDENT_VERIFY 三层证据的第二层裁决表，记录独立验证 Agent 对 `artifact_version_id` 的 `PASS/FAIL/REVIEW_REQUIRED/ERROR` 结论与 `input_digest`，`(artifact_version_id, verifier_agent_id)` 唯一；与第一层机器检查、第三层人工验收（ReviewTask APPROVED+PUBLISHED）共同支撑"禁止 AI 自批"负向用例。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4"/>
        </w:rPr>
        <w:t>介入点与授权链的关系：`SkillInvocation.authorization_decision_id`、`ExecutionTask.authorization_decision_id`、`DefectSyncAttempt.approval_id` 均指向只追加的授权/批准证据，形成"动作→授权决定→校准记录"的可审计闭环。</w:t>
      </w:r>
    </w:p>
    <w:p>
      <w:pPr>
        <w:pStyle w:val="Heading2"/>
        <w:spacing w:before="240" w:after="120"/>
      </w:pPr>
      <w:r>
        <w:rPr>
          <w:rFonts w:ascii="Times New Roman" w:hAnsi="Times New Roman" w:eastAsia="黑体"/>
          <w:b/>
          <w:color w:val="1F3A5F"/>
          <w:sz w:val="28"/>
        </w:rPr>
        <w:t>3.3 物理结构设计</w:t>
      </w:r>
    </w:p>
    <w:p>
      <w:pPr>
        <w:pStyle w:val="Heading3"/>
        <w:spacing w:before="200" w:after="80"/>
      </w:pPr>
      <w:r>
        <w:rPr>
          <w:rFonts w:ascii="Times New Roman" w:hAnsi="Times New Roman" w:eastAsia="黑体"/>
          <w:b/>
          <w:sz w:val="24"/>
        </w:rPr>
        <w:t>3.3.1 表分布（按域）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域（33 号章节）</w:t>
            </w:r>
          </w:p>
        </w:tc>
        <w:tc>
          <w:tcPr>
            <w:tcW w:type="dxa" w:w="2882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表数</w:t>
            </w:r>
          </w:p>
        </w:tc>
        <w:tc>
          <w:tcPr>
            <w:tcW w:type="dxa" w:w="2882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代表表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平台管理（§3）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t_tenant、t_user、t_workspace、t_release、t_environment、t_workspace_secret、t_runner_node、t_llm_config、t_integration_config、t_audit_log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RBAC 与审核策略（§4）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t_role_definition、t_permission、t_role_permission、t_role_binding、t_explicit_deny、t_review_policy、t_authorization_decision、t_delegation_grant、t_support_access_grant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任务看板（§5）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t_work_item、t_work_item_artifact、t_work_item_run、t_work_item_event、t_work_item_dependency、t_review_task、t_review_assignment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知识库（§6）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15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_source_snapshot、t_requirement_document(+Version)、t_source_trace_edge、t_ai_context_snapshot、t_api_contract(+Version、t_api_operation_version)、t_api_contract_baseline、t_knowledge_entry(+Version)、t_knowledge_candidate、t_knowledge_vector、t_knowledge_graph_node/edge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测试策划与设计（§7）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14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t_test_strategy(+Version)、t_test_plan(+Version)、t_testing_ir、t_business_rule、t_test_scenario、t_design_test_case、t_test_case(+Version)、t_assertion、t_test_suite(+Version、t_test_suite_case_mapping)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自动化测试开发（§8）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t_automation_script(+Version、t_..._case_binding)、t_automation_check_run、t_test_data、t_test_data_profile、t_locator、t_mock_config、t_visual_baseline、t_performance_baseline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测试执行（§9）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t_execution_plan(+Version)、t_execution_contract_baseline、t_execution_task、t_execution_task_event、t_execution_result、t_execution_artifact、t_api_observation、t_contract_check_result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质量分析与缺陷（§10）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17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_result_analysis(+Version)、t_failure_analysis、t_failure_cluster(+Member)、t_coverage_report、t_defect(+Version、t_defect_evidence、t_defect_status_event)、t_external_defect_link、t_defect_sync_attempt、t_test_report(+Version)、t_quality_gate、t_pipeline_config、t_pipeline_run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AI Agent 中心（§11）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16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_skill、t_workspace_skill_enablement、t_agent、t_workspace_agent_enablement、t_agent_skill_grant、t_agent_workflow、t_agent_prompt_version、t_agent_session、t_agent_trace_node、t_skill_invocation、t_eval_dataset、t_eval_case、t_eval_run、t_eval_result、t_calibration_record、t_verify_verdict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合计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107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（任务简报口径 106，差异见 3.3.6）</w:t>
            </w:r>
          </w:p>
        </w:tc>
      </w:tr>
    </w:tbl>
    <w:p>
      <w:pPr>
        <w:pStyle w:val="Heading3"/>
        <w:spacing w:before="200" w:after="80"/>
      </w:pPr>
      <w:r>
        <w:rPr>
          <w:rFonts w:ascii="Times New Roman" w:hAnsi="Times New Roman" w:eastAsia="黑体"/>
          <w:b/>
          <w:sz w:val="24"/>
        </w:rPr>
        <w:t>3.3.2 M1-M5 建表里程碑（建议分布）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权威表级映射以 QF-REQ-007 里程碑对照表（单独交付）为准；下表为依据 38 号首建链（0001-0015）、35 号变更记录与 13-PRD 锚点归纳的建议口径，供对照表对账：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里程碑</w:t>
            </w:r>
          </w:p>
        </w:tc>
        <w:tc>
          <w:tcPr>
            <w:tcW w:type="dxa" w:w="2882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建议落表</w:t>
            </w:r>
          </w:p>
        </w:tc>
        <w:tc>
          <w:tcPr>
            <w:tcW w:type="dxa" w:w="2882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依据/锚点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M1 最小闭环（平台+看板）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平台管理 10 + RBAC 9 + 任务看板 7 + t_verify_verdict + TestSuite 三表最小能力（t_test_suite/version/case_mapping）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t_verify_verdict 为 M1 最小落点（35）；blocked_reason 字段并入 M1 建表（35）；TestSuite 三表 M1 建表最小能力、V2+ 完整化保留退路（L1 B2③）；38 迁移 0001-0004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M2 知识+策划设计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知识库 15 + 测试策划与设计除 TestSuite 三表外 11（策略/计划/IR/场景/草稿/用例/断言）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38 迁移 0005-0006；M2 准出门禁 = PG 冒烟（全表迁移 + RLS 策略 + 核心链并发写入），通过后进 M3（L1 B2）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M3 自动化+执行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自动化 10 + 执行 9（含 t_execution_task_event）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38 迁移 0007-0008；自动化测试开发能力验收在 M3（13-PRD）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M4 质量+Agent 中心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质量 17 + AI Agent 中心 14（不含 calibration/verify）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38 迁移 0009-0010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M5 收敛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t_calibration_record + 稳定根指针外键（0011）+ 全量 RLS/索引/只追加权限（0012）+ 种子（0013-0015）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t_calibration_record 对照表落 M5（35）；0011-0015 为收敛链（38 §3）</w:t>
            </w:r>
          </w:p>
        </w:tc>
      </w:tr>
    </w:tbl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该分布保证依赖序：平台先于业务、看板先于需审核产出物、知识先于 TestingIR、TestingIR 先于正式用例、版本指针与 RLS 最后统一收敛；跨域外键不得为迁移方便长期降级为无约束 UUID，若延后加约束必须在本链结束前补齐校验（38 §4）。</w:t>
      </w:r>
    </w:p>
    <w:p>
      <w:pPr>
        <w:pStyle w:val="Heading3"/>
        <w:spacing w:before="200" w:after="80"/>
      </w:pPr>
      <w:r>
        <w:rPr>
          <w:rFonts w:ascii="Times New Roman" w:hAnsi="Times New Roman" w:eastAsia="黑体"/>
          <w:b/>
          <w:sz w:val="24"/>
        </w:rPr>
        <w:t>3.3.3 存储与类型选择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4"/>
        </w:rPr>
        <w:t>主键 UUID；JSONB 承载受控可变结构（规则、快照、引用集合）；正文/制品只存 `*_ref + *_digest`；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4"/>
        </w:rPr>
        <w:t>`vector(1536)` 用于知识向量，按版本分块（t_knowledge_vector），派生可重建；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4"/>
        </w:rPr>
        <w:t>密钥以 BYTEA 密文存储，双信封加密，API 永不返回 `encrypted_value`；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4"/>
        </w:rPr>
        <w:t>时间统一 TIMESTAMPTZ；事务采用 READ COMMITTED + 显式行锁/乐观锁组合。</w:t>
      </w:r>
    </w:p>
    <w:p>
      <w:pPr>
        <w:pStyle w:val="Heading3"/>
        <w:spacing w:before="200" w:after="80"/>
      </w:pPr>
      <w:r>
        <w:rPr>
          <w:rFonts w:ascii="Times New Roman" w:hAnsi="Times New Roman" w:eastAsia="黑体"/>
          <w:b/>
          <w:sz w:val="24"/>
        </w:rPr>
        <w:t>3.3.4 索引策略（按证据建立）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原则：不为假设的查询预先建满索引；只建"查询路径有真实证据"的索引（33 §13.4）。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4"/>
        </w:rPr>
        <w:t>唯一约束即索引：业务键、`(根, version)`、`(根, content_digest)`、幂等键、部分唯一索引 `uq_active_failure_membership`（同一 FailureAnalysis 一个活跃 Cluster 成员）；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4"/>
        </w:rPr>
        <w:t>看板与审核路径：`idx_work_item_board(workspace_id,status,assignee_id,due_at)`、`idx_review_inbox`、`idx_review_assignment_user`；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4"/>
        </w:rPr>
        <w:t>版本与检索路径：各版本表 `(根 id, version DESC)`、`idx_api_operation_lookup`、`idx_test_plan_release`、`idx_test_case_status`；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4"/>
        </w:rPr>
        <w:t>执行与质量路径：`idx_execution_task_status`、`idx_execution_result_task`、`idx_failure_analysis_result`、`idx_defect_release_status`、`idx_sync_attempt_status`；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4"/>
        </w:rPr>
        <w:t>溯源与审计路径：`idx_source_trace_from/to`（双向）、`idx_source_snapshot_workspace_time/digest`、`idx_audit_tenant_time/resource/trace`、`idx_calibration_key`、`idx_verify_artifact`、`idx_exec_task_event`；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4"/>
        </w:rPr>
        <w:t>Agent 路径：`idx_agent_session_work_item`；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4"/>
        </w:rPr>
        <w:t>向量、JSONB（GIN）与全文索引：在有真实查询与数据规模证据后建立，不预设全部 JSONB 均需 GIN。</w:t>
      </w:r>
    </w:p>
    <w:p>
      <w:pPr>
        <w:pStyle w:val="Heading3"/>
        <w:spacing w:before="200" w:after="80"/>
      </w:pPr>
      <w:r>
        <w:rPr>
          <w:rFonts w:ascii="Times New Roman" w:hAnsi="Times New Roman" w:eastAsia="黑体"/>
          <w:b/>
          <w:sz w:val="24"/>
        </w:rPr>
        <w:t>3.3.5 SQLite 与 PostgreSQL 迁移策略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4"/>
        </w:rPr>
        <w:t>目标 PG：Alembic 单向迁移链，15 步首建序列（0001 扩展与角色 → 0002 平台核心 → 0003 RBAC → 0004 看板 → 0005 知识 → 0006 策划 → 0007 自动化 → 0008 执行 → 0009 质量 → 0010 Agent → 0011 稳定根指针 → 0012 RLS/索引/只追加 → 0013-0015 种子）；迁移身份 qf_owner，已入共享环境的迁移不得改写，只能新增纠正迁移（38 §2）。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4"/>
        </w:rPr>
        <w:t>Stage 4 本地 SQLite：`SQLiteWorkflowStore` 单事务升级至 schema v2（WAL、外键检查、10 秒 busy timeout、0600），覆盖租户/Workspace/用户成员、需求/策略/计划/用例稳定根与版本、WorkItem、ReviewTask、AgentSession/Trace、版本索引与幂等记录。它不是 106/107 张目标表的等价移植，不具备 PostgreSQL 原生 RLS，只能用于受控单机开发；不得把 SQLite 表述为目标表/Alembic/RLS 已通过（38 §0）。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4"/>
        </w:rPr>
        <w:t>两条 Profile 在代码与文档中明确区分；进入开发阶段时真实目录、依赖锁文件与迁移链另行创建并验证。</w:t>
      </w:r>
    </w:p>
    <w:p>
      <w:pPr>
        <w:pStyle w:val="Heading3"/>
        <w:spacing w:before="200" w:after="80"/>
      </w:pPr>
      <w:r>
        <w:rPr>
          <w:rFonts w:ascii="Times New Roman" w:hAnsi="Times New Roman" w:eastAsia="黑体"/>
          <w:b/>
          <w:sz w:val="24"/>
        </w:rPr>
        <w:t>3.3.6 表计数对账遗留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4"/>
        </w:rPr>
        <w:t>任务简报与 38 号口径为 106 张（2026-08-14 B1 更新，含 t_calibration_record/t_verify_verdict）；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4"/>
        </w:rPr>
        <w:t>33 号当前版本实测为 107 张 CREATE TABLE：差异来源为 2026-08-14 B3 补丁新增 `t_execution_task_event` 后，38 号 B1 注释未同步（35 号对账遗留"33 号目标表 104→105"为 B1 时点计数）；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4"/>
        </w:rPr>
        <w:t>本说明书以实测 107 张展开，并建议在里程碑对照表下次对账时统一口径，将 `t_execution_task_event` 显式计入。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666666"/>
          <w:sz w:val="18"/>
        </w:rPr>
        <w:t>来源：本章依据 [2][3][5][8][10][11][12]（33 §3-§13、38 §1-§4、35 里程碑记录、22 附录 C、L1 B2 锚点）；表计数差异为本起草员对 33 号文件的实测核对结果。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1"/>
        <w:spacing w:before="320" w:after="160"/>
      </w:pPr>
      <w:r>
        <w:rPr>
          <w:rFonts w:ascii="Times New Roman" w:hAnsi="Times New Roman" w:eastAsia="黑体"/>
          <w:b/>
          <w:color w:val="1F3A5F"/>
          <w:sz w:val="32"/>
        </w:rPr>
        <w:t>4 运用设计</w:t>
      </w:r>
    </w:p>
    <w:p>
      <w:pPr>
        <w:pStyle w:val="Heading2"/>
        <w:spacing w:before="240" w:after="120"/>
      </w:pPr>
      <w:r>
        <w:rPr>
          <w:rFonts w:ascii="Times New Roman" w:hAnsi="Times New Roman" w:eastAsia="黑体"/>
          <w:b/>
          <w:color w:val="1F3A5F"/>
          <w:sz w:val="28"/>
        </w:rPr>
        <w:t>4.1 数据字典设计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数据字典的载体与权威源分工如下：逐表字段字典以 33 号 DDL 为唯一权威；实体语义、枚举取值与状态机以 04 号领域模型为唯一权威；术语以 03 号术语表为唯一权威。本文不再复制逐表字典，只固化通用字段与通用枚举，防止实现期各模块自行新增同义字段：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通用字段</w:t>
            </w:r>
          </w:p>
        </w:tc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语义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id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UUID，实体/版本不可复用主键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tenant_id / workspace_id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租户/Workspace 边界，必填（全局治理行可空，仅 qf_owner 写）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created_at / created_by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创建审计（actor_type + actor_id）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updated_at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仅稳定根/可变配置；不可变版本不更新正文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version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聚合内从 1 递增的整数，与 Release 无关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content_digest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规范化摘要（64 位 hex）；变化即新版本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lock_version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乐观锁版本（WorkItem 等可变根）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source_trace / source_trace_edge_id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溯源关系，便捷摘要字段不能替代关系实体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approval_id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EXTERNAL_WRITE 批准记录引用（DefectSyncAttempt）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legacy_ref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历史 ID/路径反查，不参与当前业务身份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通用枚举</w:t>
            </w:r>
          </w:p>
        </w:tc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取值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review_status（版本审核，九态）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DRAFT / GENERATING / PENDING_REVIEW / CHANGES_REQUESTED / APPROVED / PUBLISHED / REJECTED / STALE / ARCHIVED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evidence_class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CONFIRMED / INFERRED / UNRESOLVED / CONTRADICTS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relation_type（Artifact）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INPUT / OUTPUT / REVIEW_TARGET / EVIDENCE / SUPERSEDES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风险/优先级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LOW/MEDIUM/HIGH/CRITICAL；P0-P3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actor_type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HUMAN / AGENT / SYSTEM / SERVICE（SERVICE 用于审计，NONE 用于 WorkItem 责任位）</w:t>
            </w:r>
          </w:p>
        </w:tc>
      </w:tr>
    </w:tbl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维护门禁：新增实体/字段/状态必须先更新 03 术语表，再同步 32 OpenAPI 与 33 DDL，最后在 35 CHANGELOG 记录原因、迁移、受影响文件与未关闭风险（04 §13 跨契约同步门禁）；禁止各模块在 API 或 DB 侧私自新增同义实体或状态（04 引言）。</w:t>
      </w:r>
    </w:p>
    <w:p>
      <w:pPr>
        <w:pStyle w:val="Heading2"/>
        <w:spacing w:before="240" w:after="120"/>
      </w:pPr>
      <w:r>
        <w:rPr>
          <w:rFonts w:ascii="Times New Roman" w:hAnsi="Times New Roman" w:eastAsia="黑体"/>
          <w:b/>
          <w:color w:val="1F3A5F"/>
          <w:sz w:val="28"/>
        </w:rPr>
        <w:t>4.2 安全保密设计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4"/>
        </w:rPr>
        <w:t>多租户隔离（RLS）：除 t_tenant 与全局治理表外，所有带 `tenant_id` 的表执行 `ENABLE + FORCE ROW LEVEL SECURITY`，策略按 `current_setting('app.current_tenant_id')` 匹配 USING/WITH CHECK；应用角色无 BYPASSRLS；无有效租户上下文时查询不得泄漏跨租户存在性（fail-closed）。全局行（tenant_id IS NULL 的 Skill/Agent/Workflow/Eval/RoleDefinition）只能由 qf_owner 迁移/种子写入（33 §13.2，38 §5）。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4"/>
        </w:rPr>
        <w:t>最小权限：qf_app_user 无 DDL 权限；只追加表 `REVOKE UPDATE, DELETE`；正式版本表正文列禁止 UPDATE（列级 REVOKE 或触发器强制）。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4"/>
        </w:rPr>
        <w:t>授权模型：四级作用域 RBAC + `human_only` 权限 + `ExplicitDeny` 优先于所有 Allow + 高价值动作每次重算并只追加 `AuthorizationDecision`；最终动作取 RBAC、资源作用域、ReviewPolicy、机器权限、Workflow 节点权限、环境/集成条件与显式 Deny 的交集，任一拒绝即 fail-closed（04 §10）。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4"/>
        </w:rPr>
        <w:t>Secret 与凭据：WorkspaceSecret 双信封加密（BYTEA + KMS 密钥版本），业务接口不返回明文；Environment/Integration/LlmConfig 一律只保存 Secret 引用；日志不记录令牌、Secret、隐藏思维链或不必要正文（20 §5）。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4"/>
        </w:rPr>
        <w:t>审计：AuditLog 覆盖请求、授权决定、版本发布、Secret 使用与外部回执；应用角色禁止 UPDATE/DELETE；跨租户访问、humanOnly 越权、Secret 外泄与审计链中断始终为安全高优先级事件（20 §7）。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4"/>
        </w:rPr>
        <w:t>验收基线：安全测试至少覆盖跨租户、IDOR、角色/作用域提升、自批、陈旧批准、Secret 泄漏、SSRF/出站绕过、提示注入、恶意文件与供应链（20 §5）；AC-01 跨租户失败关闭为必测用例。</w:t>
      </w:r>
    </w:p>
    <w:p>
      <w:pPr>
        <w:pStyle w:val="Heading2"/>
        <w:spacing w:before="240" w:after="120"/>
      </w:pPr>
      <w:r>
        <w:rPr>
          <w:rFonts w:ascii="Times New Roman" w:hAnsi="Times New Roman" w:eastAsia="黑体"/>
          <w:b/>
          <w:color w:val="1F3A5F"/>
          <w:sz w:val="28"/>
        </w:rPr>
        <w:t>4.3 完整性设计</w:t>
      </w:r>
    </w:p>
    <w:p>
      <w:pPr>
        <w:pStyle w:val="Heading3"/>
        <w:spacing w:before="200" w:after="80"/>
      </w:pPr>
      <w:r>
        <w:rPr>
          <w:rFonts w:ascii="Times New Roman" w:hAnsi="Times New Roman" w:eastAsia="黑体"/>
          <w:b/>
          <w:sz w:val="24"/>
        </w:rPr>
        <w:t>4.3.1 外键策略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4"/>
        </w:rPr>
        <w:t>实体引用：一律建 FK 且 `ON DELETE RESTRICT`（历史引用默认保护，执行链证据 t_execution_result/artifact、溯源边等均 RESTRICT）；仅 `t_knowledge_vector` 一表为纯派生索引允许 `ON DELETE CASCADE` 随版本重建（33 §6 全文仅此一处 CASCADE）。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4"/>
        </w:rPr>
        <w:t>稳定根指针：current/published/approved 指针外键在 0011 迁移统一追加；应用层额外校验"指针属于同一聚合根、同一租户、同一 Workspace"（普通 FK 无法表达跨列约束，33 §12）。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4"/>
        </w:rPr>
        <w:t>多态引用不建 FK：`t_work_item_artifact(artifact_id)`、`t_source_trace_edge(from_id/to_id)`、`t_defect_evidence(evidence_id)`、`t_review_task(artifact_id)` 等端点目标表静态不可知，不声明外键（04 §2 要求必须同时保存资源类型、稳定 ID、精确版本 ID 与 digest）。完整性由三道防线保证：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  1. 受控注册表：`artifact_type` 等类型字段必须来自受控注册表，服务端拒绝未知类型；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  2. 应用层拦截：写入时校验目标实体存在、版本存在、digest 匹配、同租户且同 Workspace（05 §5.5.5）；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  3. audit-orphans 巡检：后台定时任务扫描多态引用指向不存在/跨租户/摘要不匹配的"孤儿"记录，生成巡检报告并创建整改 WorkItem；巡检结果纳入审计与质量指标。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  该策略与 2026-08-14 裁决方向一致（ReviewDecision 投影不建实体、DefectSyncAttempt 绑定精确批准版本、8-14 复核收口 approval_id 与 05/32 统一）。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4"/>
        </w:rPr>
        <w:t>已知实现注记：33 号 DDL 中 `t_defect_sync_attempt.approval_id` 的声明为 `approval_id UUID -- 注释… NOT NULL REFERENCES t_review_task(id) ON DELETE RESTRICT`，行尾注释吞并了约束声明；迁移实现时应按 05 §5.9.8 语义补正式外键（批准对象 = provider + integrationId + operation + defectVersionId + payloadDigest，任一变化使批准失效）。此为对账遗留，不改写源文档。</w:t>
      </w:r>
    </w:p>
    <w:p>
      <w:pPr>
        <w:pStyle w:val="Heading3"/>
        <w:spacing w:before="200" w:after="80"/>
      </w:pPr>
      <w:r>
        <w:rPr>
          <w:rFonts w:ascii="Times New Roman" w:hAnsi="Times New Roman" w:eastAsia="黑体"/>
          <w:b/>
          <w:sz w:val="24"/>
        </w:rPr>
        <w:t>4.3.2 CHECK 约束（状态枚举与结构规则）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4"/>
        </w:rPr>
        <w:t>状态枚举：WorkItem 九态（BACKLOG…CANCELLED）、review_status 九态、ExecutionTask 八态（PENDING/QUEUED/RUNNING/COMPLETED/FAILED/TIMED_OUT/BLOCKED/CANCELLED）、ExecutionResult 五态、Defect 九态、Skill/Agent 状态机等全部以 CHECK 白名单固化；状态转移的合法性由应用层状态机执行，DB 层防枚举漂移。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4"/>
        </w:rPr>
        <w:t>结构互斥：`t_assertion` 二选一父（test_case_version_id 与 design_test_case_id 恰有一个）、`t_test_data` content_ref/generator_ref 恰有一个、`t_automation_script_version` MANAGED/GIT 模式字段组互斥。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4"/>
        </w:rPr>
        <w:t>范围与自环：`end_date &gt;= start_date`、`duration_ms &gt;= 0`、`version &gt; 0`、`parallelism &gt; 0`、`parent_work_item_id &lt;&gt; id`、`predecessor_id &lt;&gt; successor_id`、`duplicate_of_defect_id &lt;&gt; id` 且 DUPLICATE 必填 duplicate_of；BLOCKED 必填 blocked_reason_code；`valid_until &gt; valid_from`。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4"/>
        </w:rPr>
        <w:t>部分 UNIQUE 使用 `UNIQUE NULLS NOT DISTINCT` 表达"可空维度上仍唯一"（如 secret/integration 的目标维）。</w:t>
      </w:r>
    </w:p>
    <w:p>
      <w:pPr>
        <w:pStyle w:val="Heading3"/>
        <w:spacing w:before="200" w:after="80"/>
      </w:pPr>
      <w:r>
        <w:rPr>
          <w:rFonts w:ascii="Times New Roman" w:hAnsi="Times New Roman" w:eastAsia="黑体"/>
          <w:b/>
          <w:sz w:val="24"/>
        </w:rPr>
        <w:t>4.3.3 乐观锁与并发控制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4"/>
        </w:rPr>
        <w:t>`t_work_item.lock_version` 乐观锁防止并发审核覆盖（04 §3.1）；更新前比对版本，冲突返回重试。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4"/>
        </w:rPr>
        <w:t>不可变版本：正文列不可 UPDATE，内容变化只允许 INSERT 新版本 + 更新根指针；审核并发下，APPROVED 固化的 Artifact 版本必须与审核目标版本一致，发生并发修改则审核失效并回 PENDING_REVIEW（05 §5.5.4 规则 4）。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4"/>
        </w:rPr>
        <w:t>调度并发：ExecutionTask 以 `lease_expires_at` 租约防双跑，失联检测依据；Runner 状态机与任务状态机分离。</w:t>
      </w:r>
    </w:p>
    <w:p>
      <w:pPr>
        <w:pStyle w:val="Heading3"/>
        <w:spacing w:before="200" w:after="80"/>
      </w:pPr>
      <w:r>
        <w:rPr>
          <w:rFonts w:ascii="Times New Roman" w:hAnsi="Times New Roman" w:eastAsia="黑体"/>
          <w:b/>
          <w:sz w:val="24"/>
        </w:rPr>
        <w:t>4.3.4 幂等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4"/>
        </w:rPr>
        <w:t>API 写操作支持 Idempotency-Key，相同键不同 payload 返回 IDEMPOTENCY_CONFLICT（20 §4/AC-03）；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4"/>
        </w:rPr>
        <w:t>`t_defect_sync_attempt.idempotency_key` UNIQUE 防重试重复建单（05 §5.9.8）；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4"/>
        </w:rPr>
        <w:t>消息至少一次投递场景以稳定事件 ID/幂等键去重（20 §3）；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4"/>
        </w:rPr>
        <w:t>重放创建新 attempt 并保留旧证据（WorkItemRun 的 `(work_item_id, attempt_no)` 唯一）。</w:t>
      </w:r>
    </w:p>
    <w:p>
      <w:pPr>
        <w:pStyle w:val="Heading2"/>
        <w:spacing w:before="240" w:after="120"/>
      </w:pPr>
      <w:r>
        <w:rPr>
          <w:rFonts w:ascii="Times New Roman" w:hAnsi="Times New Roman" w:eastAsia="黑体"/>
          <w:b/>
          <w:color w:val="1F3A5F"/>
          <w:sz w:val="28"/>
        </w:rPr>
        <w:t>4.4 恢复设计</w:t>
      </w:r>
    </w:p>
    <w:p>
      <w:pPr>
        <w:pStyle w:val="Heading3"/>
        <w:spacing w:before="200" w:after="80"/>
      </w:pPr>
      <w:r>
        <w:rPr>
          <w:rFonts w:ascii="Times New Roman" w:hAnsi="Times New Roman" w:eastAsia="黑体"/>
          <w:b/>
          <w:sz w:val="24"/>
        </w:rPr>
        <w:t>4.4.1 备份策略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当前无生产数据；20 §3 规定 RTO/RPO 在部署拓扑与业务等级明确后批准，V0 只定义恢复步骤与证据要求。本说明书给出建议基线（待批准，不构成承诺）：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4"/>
        </w:rPr>
        <w:t>PG 物理备份：`pg_basebackup` 定期全量 + WAL 连续归档（archive_mode），配合时间点恢复（PITR）；全量频率与保留时长待容量基线后批准；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4"/>
        </w:rPr>
        <w:t>制品与正文：对象存储引用内容按桶生命周期策略备份/异地复制，保留层级与制品大小、结果数挂钩（20 §2"证据/报告"分层维度）；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4"/>
        </w:rPr>
        <w:t>恢复演练：数据库故障列入 20 §3 定期演练清单（Runner 失联、队列积压、数据库故障、对象存储故障、LLM 限流、外部集成超时），演练结果形成恢复步骤与证据文件；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4"/>
        </w:rPr>
        <w:t>迁移安全：每个 Alembic 迁移含 upgrade/downgrade、锁表方式与回填策略；大表分阶段变更避免长事务锁表（38 §2）。</w:t>
      </w:r>
    </w:p>
    <w:p>
      <w:pPr>
        <w:pStyle w:val="Heading3"/>
        <w:spacing w:before="200" w:after="80"/>
      </w:pPr>
      <w:r>
        <w:rPr>
          <w:rFonts w:ascii="Times New Roman" w:hAnsi="Times New Roman" w:eastAsia="黑体"/>
          <w:b/>
          <w:sz w:val="24"/>
        </w:rPr>
        <w:t>4.4.2 归档策略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4"/>
        </w:rPr>
        <w:t>删除默认归档：状态置 ARCHIVED/DEPRECATED/REJECTED，行保留（20 §4 第 6 条；04 原则 9）；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4"/>
        </w:rPr>
        <w:t>存在历史引用时阻止物理删除并返回依赖清单；被历史执行、报告、Defect 或审计引用的版本不得物理删除；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4"/>
        </w:rPr>
        <w:t>派生可重建数据（向量、知识图谱投影、基线）允许级联重建；孤儿巡检发现的失效引用进入整改 WorkItem，不静默清理；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4"/>
        </w:rPr>
        <w:t>归档对象独立于业务删除语义：t_execution_artifact 按 `retention_policy` 声明保留层级，到期由后台任务执行，依据 20 §2 证据保留层级。</w:t>
      </w:r>
    </w:p>
    <w:p>
      <w:pPr>
        <w:pStyle w:val="Heading3"/>
        <w:spacing w:before="200" w:after="80"/>
      </w:pPr>
      <w:r>
        <w:rPr>
          <w:rFonts w:ascii="Times New Roman" w:hAnsi="Times New Roman" w:eastAsia="黑体"/>
          <w:b/>
          <w:sz w:val="24"/>
        </w:rPr>
        <w:t>4.4.3 删除与 GDPR 的冲突现状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现状（未解决，登记为已知限制）：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4"/>
        </w:rPr>
        <w:t>20 §4 第 6 条（即任务口径"20 §4.6"）规定"删除默认归档；存在历史引用时阻止物理删除并返回依赖"。该规则与 GDPR 等隐私法规的删除权（被遗忘权）存在结构性冲突：数据主体请求删除时，系统当前唯一合规路径是逻辑归档，无法提供"匿名化/不可恢复销毁"的响应；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4"/>
        </w:rPr>
        <w:t>冲突范围：身份类数据（User、成员关系、审计中的 actor 信息）与证据类数据（执行制品、Trace、Defect 中的个人信息片段）两类策略不同——身份类支持租户内逻辑删除 + 保留期到期安全销毁的可行性较高；证据类受审计与追溯义务约束，需要"保留期 + 访问控制 + 到期销毁"框架，且不得破坏证据链完整性；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4"/>
        </w:rPr>
        <w:t>建议动作：V1 试点前由产品与合规裁决明确的保留期矩阵与删除权响应流程（请求登记 → 依赖评估 → 逻辑删除/匿名化 → 到期销毁），并将冲突现状写入 35 CHANGELOG 未关闭风险；在裁决落地前，任何"物理删除"请求均被拒绝并返回依赖与合规说明。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666666"/>
          <w:sz w:val="18"/>
        </w:rPr>
        <w:t>来源：本章依据 [2][3][4][8][10][11]（33 §12-§13、38 §2/§5、05 §5.5.4/§5.5.5/§5.9.8、20 §3-§5/§7）；GDPR 冲突现状为本起草员对 20 §4 第 6 条的合规解读与建议，非已批准裁决。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1"/>
        <w:spacing w:before="320" w:after="160"/>
      </w:pPr>
      <w:r>
        <w:rPr>
          <w:rFonts w:ascii="Times New Roman" w:hAnsi="Times New Roman" w:eastAsia="黑体"/>
          <w:b/>
          <w:color w:val="1F3A5F"/>
          <w:sz w:val="32"/>
        </w:rPr>
        <w:t>附录 A：2026-08-14 批次新增对象清单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对象</w:t>
            </w:r>
          </w:p>
        </w:tc>
        <w:tc>
          <w:tcPr>
            <w:tcW w:type="dxa" w:w="2161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所在表/列</w:t>
            </w:r>
          </w:p>
        </w:tc>
        <w:tc>
          <w:tcPr>
            <w:tcW w:type="dxa" w:w="2161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裁决/补丁</w:t>
            </w:r>
          </w:p>
        </w:tc>
        <w:tc>
          <w:tcPr>
            <w:tcW w:type="dxa" w:w="2161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落点</w:t>
            </w:r>
          </w:p>
        </w:tc>
      </w:tr>
      <w:tr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t_calibration_record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AI Agent 中心域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裁决 B2-3（21 号 §4 / AC-03 判定底座）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M5</w:t>
            </w:r>
          </w:p>
        </w:tc>
      </w:tr>
      <w:tr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t_verify_verdict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AI Agent 中心域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INDEPENDENT_VERIFY M1 最小落点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M1</w:t>
            </w:r>
          </w:p>
        </w:tc>
      </w:tr>
      <w:tr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t_execution_task_event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测试执行域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第 0 周补丁 B3（补 20 §4.2 只追加清单缺口）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M3（执行域建表）</w:t>
            </w:r>
          </w:p>
        </w:tc>
      </w:tr>
      <w:tr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t_execution_task.blocked_reason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执行任务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裁决 B4（USER_PAUSED 等五原因码）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M1 建表并入</w:t>
            </w:r>
          </w:p>
        </w:tc>
      </w:tr>
      <w:tr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t_execution_task.timeout_seconds / lease_expires_at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执行任务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补丁 B3（任务级超时与租约）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执行域建表</w:t>
            </w:r>
          </w:p>
        </w:tc>
      </w:tr>
      <w:tr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t_defect_sync_attempt.approval_id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质量域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8-14 复核收口（与 05 §5.9.8 / 32 approvalId 统一）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质量域建表（约束注记见 4.3.1）</w:t>
            </w:r>
          </w:p>
        </w:tc>
      </w:tr>
      <w:tr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t_coverage_report.denominator_definition_ref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质量域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裁决 B2-1（五类口径，22 附录 C）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质量域建表</w:t>
            </w:r>
          </w:p>
        </w:tc>
      </w:tr>
    </w:tbl>
    <w:p>
      <w:pPr>
        <w:pStyle w:val="Heading1"/>
        <w:spacing w:before="320" w:after="160"/>
      </w:pPr>
      <w:r>
        <w:rPr>
          <w:rFonts w:ascii="Times New Roman" w:hAnsi="Times New Roman" w:eastAsia="黑体"/>
          <w:b/>
          <w:color w:val="1F3A5F"/>
          <w:sz w:val="32"/>
        </w:rPr>
        <w:t>附录 B：本说明书的立场声明</w:t>
      </w:r>
    </w:p>
    <w:p>
      <w:pPr>
        <w:pStyle w:val="ListNumber"/>
        <w:spacing w:after="60"/>
      </w:pPr>
      <w:r>
        <w:rPr>
          <w:rFonts w:ascii="Times New Roman" w:hAnsi="Times New Roman" w:eastAsia="宋体"/>
          <w:b w:val="0"/>
          <w:sz w:val="24"/>
        </w:rPr>
        <w:t>本文为设计说明文档，不替代 33 号 DDL 的逐表权威；如与 33/38 冲突，以后者为准。</w:t>
      </w:r>
    </w:p>
    <w:p>
      <w:pPr>
        <w:pStyle w:val="ListNumber"/>
        <w:spacing w:after="60"/>
      </w:pPr>
      <w:r>
        <w:rPr>
          <w:rFonts w:ascii="Times New Roman" w:hAnsi="Times New Roman" w:eastAsia="宋体"/>
          <w:b w:val="0"/>
          <w:sz w:val="24"/>
        </w:rPr>
        <w:t>表计数以 33 号文件实测 107 张为准；任务简报 106 张口径差异已在 3.3.6 登记。</w:t>
      </w:r>
    </w:p>
    <w:p>
      <w:pPr>
        <w:pStyle w:val="ListNumber"/>
        <w:spacing w:after="60"/>
      </w:pPr>
      <w:r>
        <w:rPr>
          <w:rFonts w:ascii="Times New Roman" w:hAnsi="Times New Roman" w:eastAsia="宋体"/>
          <w:b w:val="0"/>
          <w:sz w:val="24"/>
        </w:rPr>
        <w:t>M1-M5 分布为建议口径，权威以 QF-REQ-007 里程碑对照表为准。</w:t>
      </w:r>
    </w:p>
    <w:p>
      <w:pPr>
        <w:pStyle w:val="ListNumber"/>
        <w:spacing w:after="60"/>
      </w:pPr>
      <w:r>
        <w:rPr>
          <w:rFonts w:ascii="Times New Roman" w:hAnsi="Times New Roman" w:eastAsia="宋体"/>
          <w:b w:val="0"/>
          <w:sz w:val="24"/>
        </w:rPr>
        <w:t>所有"建议/待批准"事项（备份基线、GDPR 流程、索引扩展）在落地前不构成承诺。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