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黑体"/>
          <w:b/>
          <w:color w:val="1F3A5F"/>
          <w:sz w:val="56"/>
        </w:rPr>
        <w:t>QualityForge</w:t>
      </w:r>
    </w:p>
    <w:p>
      <w:pPr>
        <w:jc w:val="center"/>
      </w:pPr>
      <w:r>
        <w:rPr>
          <w:rFonts w:ascii="Times New Roman" w:hAnsi="Times New Roman" w:eastAsia="黑体"/>
          <w:b/>
          <w:sz w:val="44"/>
        </w:rPr>
        <w:t>概要设计说明书</w:t>
      </w:r>
    </w:p>
    <w:p>
      <w:pPr>
        <w:jc w:val="center"/>
      </w:pPr>
      <w:r>
        <w:rPr>
          <w:rFonts w:ascii="Times New Roman" w:hAnsi="Times New Roman" w:eastAsia="宋体"/>
          <w:b w:val="0"/>
          <w:sz w:val="28"/>
        </w:rPr>
        <w:t>AI 原生端到端测试平台</w:t>
      </w:r>
    </w:p>
    <w:p/>
    <w:p>
      <w:pPr>
        <w:jc w:val="center"/>
      </w:pPr>
      <w:r>
        <w:rPr>
          <w:rFonts w:ascii="Times New Roman" w:hAnsi="Times New Roman" w:eastAsia="宋体"/>
          <w:b w:val="0"/>
          <w:sz w:val="24"/>
        </w:rPr>
        <w:t>文档编号：QF-HLD-2026-001</w:t>
      </w:r>
    </w:p>
    <w:p>
      <w:pPr>
        <w:jc w:val="center"/>
      </w:pPr>
      <w:r>
        <w:rPr>
          <w:rFonts w:ascii="Times New Roman" w:hAnsi="Times New Roman" w:eastAsia="宋体"/>
          <w:b w:val="0"/>
          <w:sz w:val="24"/>
        </w:rPr>
        <w:t>版本号：V1.0</w:t>
      </w:r>
    </w:p>
    <w:p>
      <w:pPr>
        <w:jc w:val="center"/>
      </w:pPr>
      <w:r>
        <w:rPr>
          <w:rFonts w:ascii="Times New Roman" w:hAnsi="Times New Roman" w:eastAsia="宋体"/>
          <w:b w:val="0"/>
          <w:sz w:val="24"/>
        </w:rPr>
        <w:t>编制日期：2026-08-15</w:t>
      </w:r>
    </w:p>
    <w:p>
      <w:pPr>
        <w:jc w:val="center"/>
      </w:pPr>
      <w:r>
        <w:rPr>
          <w:rFonts w:ascii="Times New Roman" w:hAnsi="Times New Roman" w:eastAsia="宋体"/>
          <w:b w:val="0"/>
          <w:sz w:val="24"/>
        </w:rPr>
        <w:t>编制依据：GB/T 8567-2006</w:t>
      </w:r>
    </w:p>
    <w:p>
      <w:pPr>
        <w:jc w:val="center"/>
      </w:pPr>
      <w:r>
        <w:rPr>
          <w:rFonts w:ascii="Times New Roman" w:hAnsi="Times New Roman" w:eastAsia="宋体"/>
          <w:b w:val="0"/>
          <w:sz w:val="24"/>
        </w:rPr>
        <w:t>密级：内部</w:t>
      </w:r>
    </w:p>
    <w:p>
      <w:r>
        <w:br w:type="page"/>
      </w:r>
    </w:p>
    <w:p>
      <w:pPr>
        <w:spacing w:after="120" w:line="360" w:lineRule="auto"/>
        <w:ind w:firstLine="480"/>
      </w:pPr>
      <w:r>
        <w:rPr>
          <w:rFonts w:ascii="Times New Roman" w:hAnsi="Times New Roman" w:eastAsia="宋体"/>
          <w:b w:val="0"/>
          <w:sz w:val="24"/>
        </w:rPr>
        <w:t>文档信息:</w:t>
      </w:r>
    </w:p>
    <w:p>
      <w:pPr>
        <w:pStyle w:val="ListBullet"/>
        <w:spacing w:after="60"/>
      </w:pPr>
      <w:r>
        <w:rPr>
          <w:rFonts w:ascii="Times New Roman" w:hAnsi="Times New Roman" w:eastAsia="宋体"/>
          <w:b w:val="0"/>
          <w:sz w:val="24"/>
        </w:rPr>
        <w:t>文档名称:QualityForge 概要设计说明书(SSDD)</w:t>
      </w:r>
    </w:p>
    <w:p>
      <w:pPr>
        <w:pStyle w:val="ListBullet"/>
        <w:spacing w:after="60"/>
      </w:pPr>
      <w:r>
        <w:rPr>
          <w:rFonts w:ascii="Times New Roman" w:hAnsi="Times New Roman" w:eastAsia="宋体"/>
          <w:b w:val="0"/>
          <w:sz w:val="24"/>
        </w:rPr>
        <w:t>编制依据:GB/T 8567-2006《计算机软件文档编制规范》第 11 章"概要设计说明书"章节结构</w:t>
      </w:r>
    </w:p>
    <w:p>
      <w:pPr>
        <w:pStyle w:val="ListBullet"/>
        <w:spacing w:after="60"/>
      </w:pPr>
      <w:r>
        <w:rPr>
          <w:rFonts w:ascii="Times New Roman" w:hAnsi="Times New Roman" w:eastAsia="宋体"/>
          <w:b w:val="0"/>
          <w:sz w:val="24"/>
        </w:rPr>
        <w:t>编制日期:2026-08-15</w:t>
      </w:r>
    </w:p>
    <w:p>
      <w:pPr>
        <w:pStyle w:val="ListBullet"/>
        <w:spacing w:after="60"/>
      </w:pPr>
      <w:r>
        <w:rPr>
          <w:rFonts w:ascii="Times New Roman" w:hAnsi="Times New Roman" w:eastAsia="宋体"/>
          <w:b w:val="0"/>
          <w:sz w:val="24"/>
        </w:rPr>
        <w:t>内容来源:本项目 01、02、05、14、20、30、31、32、33、34、36 号权威文档,只读引用,未新增未经验证的陈述</w:t>
      </w:r>
    </w:p>
    <w:p>
      <w:pPr>
        <w:pStyle w:val="ListBullet"/>
        <w:spacing w:after="60"/>
      </w:pPr>
      <w:r>
        <w:rPr>
          <w:rFonts w:ascii="Times New Roman" w:hAnsi="Times New Roman" w:eastAsia="宋体"/>
          <w:b w:val="0"/>
          <w:sz w:val="24"/>
        </w:rPr>
        <w:t>适用范围:详细设计、编码实现、集成测试、系统测试与验收各方对系统总体结构的共同基线</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1 章 引言</w:t>
      </w:r>
    </w:p>
    <w:p>
      <w:pPr>
        <w:pStyle w:val="Heading2"/>
        <w:spacing w:before="240" w:after="120"/>
      </w:pPr>
      <w:r>
        <w:rPr>
          <w:rFonts w:ascii="Times New Roman" w:hAnsi="Times New Roman" w:eastAsia="黑体"/>
          <w:b/>
          <w:color w:val="1F3A5F"/>
          <w:sz w:val="28"/>
        </w:rPr>
        <w:t>1.1 编写目的</w:t>
      </w:r>
    </w:p>
    <w:p>
      <w:pPr>
        <w:spacing w:after="120" w:line="360" w:lineRule="auto"/>
        <w:ind w:firstLine="480"/>
      </w:pPr>
      <w:r>
        <w:rPr>
          <w:rFonts w:ascii="Times New Roman" w:hAnsi="Times New Roman" w:eastAsia="宋体"/>
          <w:b w:val="0"/>
          <w:sz w:val="24"/>
        </w:rPr>
        <w:t>本概要设计说明书依据 GB/T 8567-2006 概要设计说明书章节骨架编制,对 QualityForge 系统的总体结构、模块划分、处理流程、接口关系、数据结构、运行方式、出错处理、安全保密与维护策略进行系统化、可核对的描述。它的核心目的,是为详细设计与编码实现提供唯一可对照的总体技术基线:系统由哪些组件构成、八个业务模块如何映射到代码与数据边界、主链路如何处理、跨模块如何交互、异常如何分类与恢复、安全底线如何落实,均以本文档及其引用的权威文档为准。</w:t>
      </w:r>
    </w:p>
    <w:p>
      <w:pPr>
        <w:spacing w:after="120" w:line="360" w:lineRule="auto"/>
        <w:ind w:firstLine="480"/>
      </w:pPr>
      <w:r>
        <w:rPr>
          <w:rFonts w:ascii="Times New Roman" w:hAnsi="Times New Roman" w:eastAsia="宋体"/>
          <w:b w:val="0"/>
          <w:sz w:val="24"/>
        </w:rPr>
        <w:t>本文档的预期读者包括三类人群。第一类是研发与架构人员,包括前端、后端、测试开发与运维工程师,他们据此确定实现范围、模块边界、接口契约与必须满足的审核门禁;第二类是质量与治理人员,包括平台治理人员、审计人员与项目管理者,他们据此检查权限隔离、审计留痕与版本交付证据是否满足要求;第三类是产品与业务人员,他们据此核对总体设计是否忠实覆盖八个一级功能模块及其人机协作规则。</w:t>
      </w:r>
    </w:p>
    <w:p>
      <w:pPr>
        <w:spacing w:after="120" w:line="360" w:lineRule="auto"/>
        <w:ind w:firstLine="480"/>
      </w:pPr>
      <w:r>
        <w:rPr>
          <w:rFonts w:ascii="Times New Roman" w:hAnsi="Times New Roman" w:eastAsia="宋体"/>
          <w:b w:val="0"/>
          <w:sz w:val="24"/>
        </w:rPr>
        <w:t>在阅读方式上,本文档遵循三条约定。其一,凡涉及术语、实体、状态与枚举的精确定义,一律以 03 号术语表及其指定的权威源为唯一依据,本文档只描述总体设计层面的安排,不再重复裁决;其二,凡涉及模块职责、审核契约与版本规则的陈述,均在相应章节末尾以来源标注形式给出出处,读者可据此回溯核对;其三,本文档只描述"系统如何构成、如何运行、如何出错恢复",具体的接口参数级规格、数据库 DDL 与 UI 视觉规范分别由 32、33 号等文档承担。综上所述,本文档的目的是让各方对 QualityForge 的总体技术方案形成一致理解,为后续详细设计奠定基线。</w:t>
      </w:r>
    </w:p>
    <w:p>
      <w:pPr>
        <w:spacing w:after="80"/>
      </w:pPr>
      <w:r>
        <w:rPr>
          <w:rFonts w:ascii="Times New Roman" w:hAnsi="Times New Roman" w:eastAsia="宋体"/>
          <w:b w:val="0"/>
          <w:color w:val="666666"/>
          <w:sz w:val="18"/>
        </w:rPr>
        <w:t>（来源:GB/T 8567-2006 第 11 章;02-PRD总纲 §1;05-功能模块重构方案 §1）</w:t>
      </w:r>
    </w:p>
    <w:p>
      <w:pPr>
        <w:pStyle w:val="Heading2"/>
        <w:spacing w:before="240" w:after="120"/>
      </w:pPr>
      <w:r>
        <w:rPr>
          <w:rFonts w:ascii="Times New Roman" w:hAnsi="Times New Roman" w:eastAsia="黑体"/>
          <w:b/>
          <w:color w:val="1F3A5F"/>
          <w:sz w:val="28"/>
        </w:rPr>
        <w:t>1.2 背景</w:t>
      </w:r>
    </w:p>
    <w:p>
      <w:pPr>
        <w:spacing w:after="120" w:line="360" w:lineRule="auto"/>
        <w:ind w:firstLine="480"/>
      </w:pPr>
      <w:r>
        <w:rPr>
          <w:rFonts w:ascii="Times New Roman" w:hAnsi="Times New Roman" w:eastAsia="宋体"/>
          <w:b w:val="0"/>
          <w:sz w:val="24"/>
        </w:rPr>
        <w:t>QualityForge 定位为 AI 原生的端到端测试工作平台,面向测试工程师、测试负责人和测试平台治理人员,提供从测试依据、策略、计划、用例、自动化代码、执行、结果分析、Defect 到测试报告的完整生产线。产品的一级功能模块固定为八个:任务看板、知识库、测试策划与设计、自动化测试开发、测试执行、质量分析与缺陷、AI Agent 中心、平台管理;其中前六个为测试工作与产出物模块,后两个为管理控制模块。</w:t>
      </w:r>
    </w:p>
    <w:p>
      <w:pPr>
        <w:spacing w:after="120" w:line="360" w:lineRule="auto"/>
        <w:ind w:firstLine="480"/>
      </w:pPr>
      <w:r>
        <w:rPr>
          <w:rFonts w:ascii="Times New Roman" w:hAnsi="Times New Roman" w:eastAsia="宋体"/>
          <w:b w:val="0"/>
          <w:sz w:val="24"/>
        </w:rPr>
        <w:t>系统的核心协作模式是"AI 主生产、人主审核":AI Agent 负责尽可能多的分析、生产、执行和修改工作,测试人员负责目标设定、审核、批改、纠偏和最终质量把控。因此系统设计必须同时满足三条结构性要求:其一,事实、推断与决定三层清晰分层,执行证据、AI 分析结论与人工批准决定不得互相冒充;其二,八类正式测试产出物(策略、计划、用例、自动化代码、结果分析、Defect、报告、知识条目)采用稳定根加不可变版本的人机审核闭环;其三,每个业务实体只有一个唯一写入所有者,跨模块通过精确版本引用与事件交互,不复制可写真相源。</w:t>
      </w:r>
    </w:p>
    <w:p>
      <w:pPr>
        <w:spacing w:after="120" w:line="360" w:lineRule="auto"/>
        <w:ind w:firstLine="480"/>
      </w:pPr>
      <w:r>
        <w:rPr>
          <w:rFonts w:ascii="Times New Roman" w:hAnsi="Times New Roman" w:eastAsia="宋体"/>
          <w:b w:val="0"/>
          <w:sz w:val="24"/>
        </w:rPr>
        <w:t>在实现进度上,Stage 4 已实现 React 审核工作台加 FastAPI 加 SQLite 的单机纵向切片,采用本地账号、本地 JWT、确定性 Provider 与人工审核工作台,验证了策略、计划、用例的草稿、审核、批准主路径;本说明书描述的 PostgreSQL、队列、Runner、Agent Worker 与外部集成属于 V1 目标设计,尚未在运行环境完成全部验证,具体验证状态在 30 号技术选型决策与 05 号功能模块重构方案的 Gate 记录中明确。</w:t>
      </w:r>
    </w:p>
    <w:p>
      <w:pPr>
        <w:spacing w:after="80"/>
      </w:pPr>
      <w:r>
        <w:rPr>
          <w:rFonts w:ascii="Times New Roman" w:hAnsi="Times New Roman" w:eastAsia="宋体"/>
          <w:b w:val="0"/>
          <w:color w:val="666666"/>
          <w:sz w:val="18"/>
        </w:rPr>
        <w:t>（来源:02-PRD总纲 §1、§3;05-功能模块重构方案 §1、§3;30-技术选型决策.md §1.1;31-系统架构设计.md §1）</w:t>
      </w:r>
    </w:p>
    <w:p>
      <w:pPr>
        <w:pStyle w:val="Heading2"/>
        <w:spacing w:before="240" w:after="120"/>
      </w:pPr>
      <w:r>
        <w:rPr>
          <w:rFonts w:ascii="Times New Roman" w:hAnsi="Times New Roman" w:eastAsia="黑体"/>
          <w:b/>
          <w:color w:val="1F3A5F"/>
          <w:sz w:val="28"/>
        </w:rPr>
        <w:t>1.3 定义</w:t>
      </w:r>
    </w:p>
    <w:p>
      <w:pPr>
        <w:spacing w:after="120" w:line="360" w:lineRule="auto"/>
        <w:ind w:firstLine="480"/>
      </w:pPr>
      <w:r>
        <w:rPr>
          <w:rFonts w:ascii="Times New Roman" w:hAnsi="Times New Roman" w:eastAsia="宋体"/>
          <w:b w:val="0"/>
          <w:sz w:val="24"/>
        </w:rPr>
        <w:t>为统一阅读口径,本章列出本说明书高频使用的关键术语;完整术语表以 03 号术语表为唯一权威源。</w:t>
      </w:r>
    </w:p>
    <w:p>
      <w:pPr>
        <w:pStyle w:val="ListBullet"/>
        <w:spacing w:after="60"/>
      </w:pPr>
      <w:r>
        <w:rPr>
          <w:rFonts w:ascii="Times New Roman" w:hAnsi="Times New Roman" w:eastAsia="宋体"/>
          <w:b w:val="0"/>
          <w:sz w:val="24"/>
        </w:rPr>
        <w:t>Workspace:项目的技术实体名称,产品界面称"项目";是数据与权限的基本业务边界,不是功能模块。</w:t>
      </w:r>
    </w:p>
    <w:p>
      <w:pPr>
        <w:pStyle w:val="ListBullet"/>
        <w:spacing w:after="60"/>
      </w:pPr>
      <w:r>
        <w:rPr>
          <w:rFonts w:ascii="Times New Roman" w:hAnsi="Times New Roman" w:eastAsia="宋体"/>
          <w:b w:val="0"/>
          <w:sz w:val="24"/>
        </w:rPr>
        <w:t>Release:一次业务发布/迭代上下文,聚合策略、计划、执行、报告与门禁结果;不是功能模块。</w:t>
      </w:r>
    </w:p>
    <w:p>
      <w:pPr>
        <w:pStyle w:val="ListBullet"/>
        <w:spacing w:after="60"/>
      </w:pPr>
      <w:r>
        <w:rPr>
          <w:rFonts w:ascii="Times New Roman" w:hAnsi="Times New Roman" w:eastAsia="宋体"/>
          <w:b w:val="0"/>
          <w:sz w:val="24"/>
        </w:rPr>
        <w:t>WorkItem:测试工作生产线的统一编排单元,承载目标、状态、审核路由与产出物引用,不保存业务产出物正文。</w:t>
      </w:r>
    </w:p>
    <w:p>
      <w:pPr>
        <w:pStyle w:val="ListBullet"/>
        <w:spacing w:after="60"/>
      </w:pPr>
      <w:r>
        <w:rPr>
          <w:rFonts w:ascii="Times New Roman" w:hAnsi="Times New Roman" w:eastAsia="宋体"/>
          <w:b w:val="0"/>
          <w:sz w:val="24"/>
        </w:rPr>
        <w:t>WorkItemArtifact:工作项与业务产出物精确版本之间的关联对象,角色分为输入、输出、审核目标与证据。</w:t>
      </w:r>
    </w:p>
    <w:p>
      <w:pPr>
        <w:pStyle w:val="ListBullet"/>
        <w:spacing w:after="60"/>
      </w:pPr>
      <w:r>
        <w:rPr>
          <w:rFonts w:ascii="Times New Roman" w:hAnsi="Times New Roman" w:eastAsia="宋体"/>
          <w:b w:val="0"/>
          <w:sz w:val="24"/>
        </w:rPr>
        <w:t>ReviewTask:一次具体审核工单,绑定产出物精确版本与内容摘要;批准人是临时审核职责而非全局角色。</w:t>
      </w:r>
    </w:p>
    <w:p>
      <w:pPr>
        <w:pStyle w:val="ListBullet"/>
        <w:spacing w:after="60"/>
      </w:pPr>
      <w:r>
        <w:rPr>
          <w:rFonts w:ascii="Times New Roman" w:hAnsi="Times New Roman" w:eastAsia="宋体"/>
          <w:b w:val="0"/>
          <w:sz w:val="24"/>
        </w:rPr>
        <w:t>TestStrategy、TestPlan:测试策略与测试计划,分别为正式审核产出物;与 Release、ExecutionPlan 四个概念互不重叠。</w:t>
      </w:r>
    </w:p>
    <w:p>
      <w:pPr>
        <w:pStyle w:val="ListBullet"/>
        <w:spacing w:after="60"/>
      </w:pPr>
      <w:r>
        <w:rPr>
          <w:rFonts w:ascii="Times New Roman" w:hAnsi="Times New Roman" w:eastAsia="宋体"/>
          <w:b w:val="0"/>
          <w:sz w:val="24"/>
        </w:rPr>
        <w:t>ExecutionPlan:运行配置,绑定用例与脚本精确版本、环境、参数与并发策略;其版本冻结后形成不可变执行基线。</w:t>
      </w:r>
    </w:p>
    <w:p>
      <w:pPr>
        <w:pStyle w:val="ListBullet"/>
        <w:spacing w:after="60"/>
      </w:pPr>
      <w:r>
        <w:rPr>
          <w:rFonts w:ascii="Times New Roman" w:hAnsi="Times New Roman" w:eastAsia="宋体"/>
          <w:b w:val="0"/>
          <w:sz w:val="24"/>
        </w:rPr>
        <w:t>AutomationScriptVersion:自动化代码的不可变版本,区分 MANAGED 与 GIT 两种权威代码源。</w:t>
      </w:r>
    </w:p>
    <w:p>
      <w:pPr>
        <w:pStyle w:val="ListBullet"/>
        <w:spacing w:after="60"/>
      </w:pPr>
      <w:r>
        <w:rPr>
          <w:rFonts w:ascii="Times New Roman" w:hAnsi="Times New Roman" w:eastAsia="宋体"/>
          <w:b w:val="0"/>
          <w:sz w:val="24"/>
        </w:rPr>
        <w:t>ExecutionResult:一次执行 attempt 的不可变原始结果;FAILED 与 ERROR 语义分离,不可被分析结论反写。</w:t>
      </w:r>
    </w:p>
    <w:p>
      <w:pPr>
        <w:pStyle w:val="ListBullet"/>
        <w:spacing w:after="60"/>
      </w:pPr>
      <w:r>
        <w:rPr>
          <w:rFonts w:ascii="Times New Roman" w:hAnsi="Times New Roman" w:eastAsia="宋体"/>
          <w:b w:val="0"/>
          <w:sz w:val="24"/>
        </w:rPr>
        <w:t>Defect 与 DefectVersion:平台内正式缺陷的稳定身份与不可变正文版本;外部系统映射使用厂商中立的 ExternalDefectLink。</w:t>
      </w:r>
    </w:p>
    <w:p>
      <w:pPr>
        <w:pStyle w:val="ListBullet"/>
        <w:spacing w:after="60"/>
      </w:pPr>
      <w:r>
        <w:rPr>
          <w:rFonts w:ascii="Times New Roman" w:hAnsi="Times New Roman" w:eastAsia="宋体"/>
          <w:b w:val="0"/>
          <w:sz w:val="24"/>
        </w:rPr>
        <w:t>SourceSnapshot:知识库保存的原始、不可变来源快照,是溯源链的起点。</w:t>
      </w:r>
    </w:p>
    <w:p>
      <w:pPr>
        <w:pStyle w:val="ListBullet"/>
        <w:spacing w:after="60"/>
      </w:pPr>
      <w:r>
        <w:rPr>
          <w:rFonts w:ascii="Times New Roman" w:hAnsi="Times New Roman" w:eastAsia="宋体"/>
          <w:b w:val="0"/>
          <w:sz w:val="24"/>
        </w:rPr>
        <w:t>APIContractVersion 与 APIContractBaseline:规范化接口契约版本与按用途批准的基线;执行使用不可变 ExecutionContractBaseline。</w:t>
      </w:r>
    </w:p>
    <w:p>
      <w:pPr>
        <w:pStyle w:val="ListBullet"/>
        <w:spacing w:after="60"/>
      </w:pPr>
      <w:r>
        <w:rPr>
          <w:rFonts w:ascii="Times New Roman" w:hAnsi="Times New Roman" w:eastAsia="宋体"/>
          <w:b w:val="0"/>
          <w:sz w:val="24"/>
        </w:rPr>
        <w:t>稳定根加不可变版本:正式产出物以稳定身份表加版本表组织,发布版本不得原地 UPDATE 正文。</w:t>
      </w:r>
    </w:p>
    <w:p>
      <w:pPr>
        <w:pStyle w:val="ListBullet"/>
        <w:spacing w:after="60"/>
      </w:pPr>
      <w:r>
        <w:rPr>
          <w:rFonts w:ascii="Times New Roman" w:hAnsi="Times New Roman" w:eastAsia="宋体"/>
          <w:b w:val="0"/>
          <w:sz w:val="24"/>
        </w:rPr>
        <w:t>只追加表:审计、事件、结果、决定、Trace 类事实表,应用角色禁止 UPDATE 与 DELETE。</w:t>
      </w:r>
    </w:p>
    <w:p>
      <w:pPr>
        <w:pStyle w:val="ListBullet"/>
        <w:spacing w:after="60"/>
      </w:pPr>
      <w:r>
        <w:rPr>
          <w:rFonts w:ascii="Times New Roman" w:hAnsi="Times New Roman" w:eastAsia="宋体"/>
          <w:b w:val="0"/>
          <w:sz w:val="24"/>
        </w:rPr>
        <w:t>RLS:PostgreSQL 行级安全;本系统采用 FORCE RLS 加事务内 set_config 上下文注入,作为多租户纵深防御。</w:t>
      </w:r>
    </w:p>
    <w:p>
      <w:pPr>
        <w:pStyle w:val="ListBullet"/>
        <w:spacing w:after="60"/>
      </w:pPr>
      <w:r>
        <w:rPr>
          <w:rFonts w:ascii="Times New Roman" w:hAnsi="Times New Roman" w:eastAsia="宋体"/>
          <w:b w:val="0"/>
          <w:sz w:val="24"/>
        </w:rPr>
        <w:t>Outbox/Inbox:本地事务内写业务数据与待发布事件、消费者幂等处理的异步模式。</w:t>
      </w:r>
    </w:p>
    <w:p>
      <w:pPr>
        <w:pStyle w:val="ListBullet"/>
        <w:spacing w:after="60"/>
      </w:pPr>
      <w:r>
        <w:rPr>
          <w:rFonts w:ascii="Times New Roman" w:hAnsi="Times New Roman" w:eastAsia="宋体"/>
          <w:b w:val="0"/>
          <w:sz w:val="24"/>
        </w:rPr>
        <w:t>HITL:Human-in-the-loop,人工介入点;Agent 不得拥有 humanOnly 能力。</w:t>
      </w:r>
    </w:p>
    <w:p>
      <w:pPr>
        <w:pStyle w:val="ListBullet"/>
        <w:spacing w:after="60"/>
      </w:pPr>
      <w:r>
        <w:rPr>
          <w:rFonts w:ascii="Times New Roman" w:hAnsi="Times New Roman" w:eastAsia="宋体"/>
          <w:b w:val="0"/>
          <w:sz w:val="24"/>
        </w:rPr>
        <w:t>contentDigest:对可审核正文与结构化字段计算的规范化内容摘要,审核与批准必须绑定摘要。</w:t>
      </w:r>
    </w:p>
    <w:p>
      <w:pPr>
        <w:pStyle w:val="ListBullet"/>
        <w:spacing w:after="60"/>
      </w:pPr>
      <w:r>
        <w:rPr>
          <w:rFonts w:ascii="Times New Roman" w:hAnsi="Times New Roman" w:eastAsia="宋体"/>
          <w:b w:val="0"/>
          <w:sz w:val="24"/>
        </w:rPr>
        <w:t>唯一写入所有者:唯一有权定义实体语义、创建命令、版本规则与正式写入入口的模块。</w:t>
      </w:r>
    </w:p>
    <w:p>
      <w:pPr>
        <w:spacing w:after="80"/>
      </w:pPr>
      <w:r>
        <w:rPr>
          <w:rFonts w:ascii="Times New Roman" w:hAnsi="Times New Roman" w:eastAsia="宋体"/>
          <w:b w:val="0"/>
          <w:color w:val="666666"/>
          <w:sz w:val="18"/>
        </w:rPr>
        <w:t>（来源:03-术语表Glossary.md;05-功能模块重构方案 §3、§5.5、§5.12）</w:t>
      </w:r>
    </w:p>
    <w:p>
      <w:pPr>
        <w:pStyle w:val="Heading2"/>
        <w:spacing w:before="240" w:after="120"/>
      </w:pPr>
      <w:r>
        <w:rPr>
          <w:rFonts w:ascii="Times New Roman" w:hAnsi="Times New Roman" w:eastAsia="黑体"/>
          <w:b/>
          <w:color w:val="1F3A5F"/>
          <w:sz w:val="28"/>
        </w:rPr>
        <w:t>1.4 参考资料</w:t>
      </w:r>
    </w:p>
    <w:p>
      <w:pPr>
        <w:spacing w:after="120" w:line="360" w:lineRule="auto"/>
        <w:ind w:firstLine="480"/>
      </w:pPr>
      <w:r>
        <w:rPr>
          <w:rFonts w:ascii="Times New Roman" w:hAnsi="Times New Roman" w:eastAsia="宋体"/>
          <w:b w:val="0"/>
          <w:sz w:val="24"/>
        </w:rPr>
        <w:t>本说明书引用的主要参考文件如下,均以项目文档体系内的现行版本为准:</w:t>
      </w:r>
    </w:p>
    <w:p>
      <w:pPr>
        <w:pStyle w:val="ListBullet"/>
        <w:spacing w:after="60"/>
      </w:pPr>
      <w:r>
        <w:rPr>
          <w:rFonts w:ascii="Times New Roman" w:hAnsi="Times New Roman" w:eastAsia="宋体"/>
          <w:b w:val="0"/>
          <w:sz w:val="24"/>
        </w:rPr>
        <w:t>01-产品功能地图v2.0.md:功能地图与模块导航;</w:t>
      </w:r>
    </w:p>
    <w:p>
      <w:pPr>
        <w:pStyle w:val="ListBullet"/>
        <w:spacing w:after="60"/>
      </w:pPr>
      <w:r>
        <w:rPr>
          <w:rFonts w:ascii="Times New Roman" w:hAnsi="Times New Roman" w:eastAsia="宋体"/>
          <w:b w:val="0"/>
          <w:sz w:val="24"/>
        </w:rPr>
        <w:t>02-PRD总纲.md:产品定义、范围、核心业务规则与核心旅程;</w:t>
      </w:r>
    </w:p>
    <w:p>
      <w:pPr>
        <w:pStyle w:val="ListBullet"/>
        <w:spacing w:after="60"/>
      </w:pPr>
      <w:r>
        <w:rPr>
          <w:rFonts w:ascii="Times New Roman" w:hAnsi="Times New Roman" w:eastAsia="宋体"/>
          <w:b w:val="0"/>
          <w:sz w:val="24"/>
        </w:rPr>
        <w:t>03-术语表Glossary.md:术语、实体、状态与枚举的权威源;</w:t>
      </w:r>
    </w:p>
    <w:p>
      <w:pPr>
        <w:pStyle w:val="ListBullet"/>
        <w:spacing w:after="60"/>
      </w:pPr>
      <w:r>
        <w:rPr>
          <w:rFonts w:ascii="Times New Roman" w:hAnsi="Times New Roman" w:eastAsia="宋体"/>
          <w:b w:val="0"/>
          <w:sz w:val="24"/>
        </w:rPr>
        <w:t>04-核心领域模型.md:领域模型权威源;</w:t>
      </w:r>
    </w:p>
    <w:p>
      <w:pPr>
        <w:pStyle w:val="ListBullet"/>
        <w:spacing w:after="60"/>
      </w:pPr>
      <w:r>
        <w:rPr>
          <w:rFonts w:ascii="Times New Roman" w:hAnsi="Times New Roman" w:eastAsia="宋体"/>
          <w:b w:val="0"/>
          <w:sz w:val="24"/>
        </w:rPr>
        <w:t>05-功能模块重构方案.md:八模块划分、产出物契约、唯一写入所有者、RBAC 与批准权限契约;</w:t>
      </w:r>
    </w:p>
    <w:p>
      <w:pPr>
        <w:pStyle w:val="ListBullet"/>
        <w:spacing w:after="60"/>
      </w:pPr>
      <w:r>
        <w:rPr>
          <w:rFonts w:ascii="Times New Roman" w:hAnsi="Times New Roman" w:eastAsia="宋体"/>
          <w:b w:val="0"/>
          <w:sz w:val="24"/>
        </w:rPr>
        <w:t>14-PRD-QualityIntelligence.md:测试执行模块需求、状态规则、异常与恢复;</w:t>
      </w:r>
    </w:p>
    <w:p>
      <w:pPr>
        <w:pStyle w:val="ListBullet"/>
        <w:spacing w:after="60"/>
      </w:pPr>
      <w:r>
        <w:rPr>
          <w:rFonts w:ascii="Times New Roman" w:hAnsi="Times New Roman" w:eastAsia="宋体"/>
          <w:b w:val="0"/>
          <w:sz w:val="24"/>
        </w:rPr>
        <w:t>20-非功能需求.md:性能、可用性、一致性、安全与可观察性要求及 51 项受控指标;</w:t>
      </w:r>
    </w:p>
    <w:p>
      <w:pPr>
        <w:pStyle w:val="ListBullet"/>
        <w:spacing w:after="60"/>
      </w:pPr>
      <w:r>
        <w:rPr>
          <w:rFonts w:ascii="Times New Roman" w:hAnsi="Times New Roman" w:eastAsia="宋体"/>
          <w:b w:val="0"/>
          <w:sz w:val="24"/>
        </w:rPr>
        <w:t>30-技术选型决策.md:技术栈选型、架构取向与待验证事项;</w:t>
      </w:r>
    </w:p>
    <w:p>
      <w:pPr>
        <w:pStyle w:val="ListBullet"/>
        <w:spacing w:after="60"/>
      </w:pPr>
      <w:r>
        <w:rPr>
          <w:rFonts w:ascii="Times New Roman" w:hAnsi="Times New Roman" w:eastAsia="宋体"/>
          <w:b w:val="0"/>
          <w:sz w:val="24"/>
        </w:rPr>
        <w:t>31-系统架构设计.md:逻辑架构、数据流、事务一致性、Agent 编排、执行架构、安全架构与部署演进;</w:t>
      </w:r>
    </w:p>
    <w:p>
      <w:pPr>
        <w:pStyle w:val="ListBullet"/>
        <w:spacing w:after="60"/>
      </w:pPr>
      <w:r>
        <w:rPr>
          <w:rFonts w:ascii="Times New Roman" w:hAnsi="Times New Roman" w:eastAsia="宋体"/>
          <w:b w:val="0"/>
          <w:sz w:val="24"/>
        </w:rPr>
        <w:t>32-API规范.yaml:OpenAPI 契约,8 个标签、82 条路径、108 个端点、105 个 Schema;</w:t>
      </w:r>
    </w:p>
    <w:p>
      <w:pPr>
        <w:pStyle w:val="ListBullet"/>
        <w:spacing w:after="60"/>
      </w:pPr>
      <w:r>
        <w:rPr>
          <w:rFonts w:ascii="Times New Roman" w:hAnsi="Times New Roman" w:eastAsia="宋体"/>
          <w:b w:val="0"/>
          <w:sz w:val="24"/>
        </w:rPr>
        <w:t>33-数据库Schema设计.md:PostgreSQL 目标 Schema,九大领域、106 张目标表、RLS 与只追加权限;</w:t>
      </w:r>
    </w:p>
    <w:p>
      <w:pPr>
        <w:pStyle w:val="ListBullet"/>
        <w:spacing w:after="60"/>
      </w:pPr>
      <w:r>
        <w:rPr>
          <w:rFonts w:ascii="Times New Roman" w:hAnsi="Times New Roman" w:eastAsia="宋体"/>
          <w:b w:val="0"/>
          <w:sz w:val="24"/>
        </w:rPr>
        <w:t>34-认证授权设计.md:身份、作用域 RBAC、审核授权、Agent 授权、RLS 与 Secret 安全;</w:t>
      </w:r>
    </w:p>
    <w:p>
      <w:pPr>
        <w:pStyle w:val="ListBullet"/>
        <w:spacing w:after="60"/>
      </w:pPr>
      <w:r>
        <w:rPr>
          <w:rFonts w:ascii="Times New Roman" w:hAnsi="Times New Roman" w:eastAsia="宋体"/>
          <w:b w:val="0"/>
          <w:sz w:val="24"/>
        </w:rPr>
        <w:t>35-变更记录CHANGELOG.md:架构选型与契约变更历史;</w:t>
      </w:r>
    </w:p>
    <w:p>
      <w:pPr>
        <w:pStyle w:val="ListBullet"/>
        <w:spacing w:after="60"/>
      </w:pPr>
      <w:r>
        <w:rPr>
          <w:rFonts w:ascii="Times New Roman" w:hAnsi="Times New Roman" w:eastAsia="宋体"/>
          <w:b w:val="0"/>
          <w:sz w:val="24"/>
        </w:rPr>
        <w:t>36-WebSocket实时契约.md:实时通道、事件信封与票据鉴权;</w:t>
      </w:r>
    </w:p>
    <w:p>
      <w:pPr>
        <w:pStyle w:val="ListBullet"/>
        <w:spacing w:after="60"/>
      </w:pPr>
      <w:r>
        <w:rPr>
          <w:rFonts w:ascii="Times New Roman" w:hAnsi="Times New Roman" w:eastAsia="宋体"/>
          <w:b w:val="0"/>
          <w:sz w:val="24"/>
        </w:rPr>
        <w:t>37-API接口总览.md:API 总览与错误处理约定;</w:t>
      </w:r>
    </w:p>
    <w:p>
      <w:pPr>
        <w:pStyle w:val="ListBullet"/>
        <w:spacing w:after="60"/>
      </w:pPr>
      <w:r>
        <w:rPr>
          <w:rFonts w:ascii="Times New Roman" w:hAnsi="Times New Roman" w:eastAsia="宋体"/>
          <w:b w:val="0"/>
          <w:sz w:val="24"/>
        </w:rPr>
        <w:t>38-数据库迁移与种子数据约定.md:迁移、种子与回滚约定;</w:t>
      </w:r>
    </w:p>
    <w:p>
      <w:pPr>
        <w:pStyle w:val="ListBullet"/>
        <w:spacing w:after="60"/>
      </w:pPr>
      <w:r>
        <w:rPr>
          <w:rFonts w:ascii="Times New Roman" w:hAnsi="Times New Roman" w:eastAsia="宋体"/>
          <w:b w:val="0"/>
          <w:sz w:val="24"/>
        </w:rPr>
        <w:t>GB/T 8567-2006《计算机软件文档编制规范》。</w:t>
      </w:r>
    </w:p>
    <w:p>
      <w:pPr>
        <w:spacing w:after="80"/>
      </w:pPr>
      <w:r>
        <w:rPr>
          <w:rFonts w:ascii="Times New Roman" w:hAnsi="Times New Roman" w:eastAsia="宋体"/>
          <w:b w:val="0"/>
          <w:color w:val="666666"/>
          <w:sz w:val="18"/>
        </w:rPr>
        <w:t>（来源:01/02/03/04/05/14/20/30/31/32/33/34/35/36/37/38 号文档;GB/T 8567-2006）</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2 章 总体设计</w:t>
      </w:r>
    </w:p>
    <w:p>
      <w:pPr>
        <w:pStyle w:val="Heading2"/>
        <w:spacing w:before="240" w:after="120"/>
      </w:pPr>
      <w:r>
        <w:rPr>
          <w:rFonts w:ascii="Times New Roman" w:hAnsi="Times New Roman" w:eastAsia="黑体"/>
          <w:b/>
          <w:color w:val="1F3A5F"/>
          <w:sz w:val="28"/>
        </w:rPr>
        <w:t>2.1 需求规定</w:t>
      </w:r>
    </w:p>
    <w:p>
      <w:pPr>
        <w:spacing w:after="120" w:line="360" w:lineRule="auto"/>
        <w:ind w:firstLine="480"/>
      </w:pPr>
      <w:r>
        <w:rPr>
          <w:rFonts w:ascii="Times New Roman" w:hAnsi="Times New Roman" w:eastAsia="宋体"/>
          <w:b w:val="0"/>
          <w:sz w:val="24"/>
        </w:rPr>
        <w:t>系统需要满足八个一级功能模块的业务要求与全局结构约束。八个模块的定位、核心功能与关键实体归纳如下表。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模块</w:t>
            </w:r>
          </w:p>
        </w:tc>
        <w:tc>
          <w:tcPr>
            <w:tcW w:type="dxa" w:w="2161"/>
            <w:shd w:val="clear" w:fill="EDF0F5"/>
          </w:tcPr>
          <w:p>
            <w:pPr>
              <w:spacing w:after="40"/>
            </w:pPr>
            <w:r/>
            <w:r>
              <w:rPr>
                <w:rFonts w:ascii="Times New Roman" w:hAnsi="Times New Roman" w:eastAsia="黑体"/>
                <w:b/>
                <w:sz w:val="18"/>
              </w:rPr>
              <w:t>定位</w:t>
            </w:r>
          </w:p>
        </w:tc>
        <w:tc>
          <w:tcPr>
            <w:tcW w:type="dxa" w:w="2161"/>
            <w:shd w:val="clear" w:fill="EDF0F5"/>
          </w:tcPr>
          <w:p>
            <w:pPr>
              <w:spacing w:after="40"/>
            </w:pPr>
            <w:r/>
            <w:r>
              <w:rPr>
                <w:rFonts w:ascii="Times New Roman" w:hAnsi="Times New Roman" w:eastAsia="黑体"/>
                <w:b/>
                <w:sz w:val="18"/>
              </w:rPr>
              <w:t>核心功能</w:t>
            </w:r>
          </w:p>
        </w:tc>
        <w:tc>
          <w:tcPr>
            <w:tcW w:type="dxa" w:w="2161"/>
            <w:shd w:val="clear" w:fill="EDF0F5"/>
          </w:tcPr>
          <w:p>
            <w:pPr>
              <w:spacing w:after="40"/>
            </w:pPr>
            <w:r/>
            <w:r>
              <w:rPr>
                <w:rFonts w:ascii="Times New Roman" w:hAnsi="Times New Roman" w:eastAsia="黑体"/>
                <w:b/>
                <w:sz w:val="18"/>
              </w:rPr>
              <w:t>关键实体</w:t>
            </w:r>
          </w:p>
        </w:tc>
      </w:tr>
      <w:tr>
        <w:tc>
          <w:tcPr>
            <w:tcW w:type="dxa" w:w="2161"/>
          </w:tcPr>
          <w:p>
            <w:pPr>
              <w:spacing w:after="40"/>
            </w:pPr>
            <w:r/>
            <w:r>
              <w:rPr>
                <w:rFonts w:ascii="Times New Roman" w:hAnsi="Times New Roman" w:eastAsia="宋体"/>
                <w:b w:val="0"/>
                <w:sz w:val="18"/>
              </w:rPr>
              <w:t>任务看板</w:t>
            </w:r>
          </w:p>
        </w:tc>
        <w:tc>
          <w:tcPr>
            <w:tcW w:type="dxa" w:w="2161"/>
          </w:tcPr>
          <w:p>
            <w:pPr>
              <w:spacing w:after="40"/>
            </w:pPr>
            <w:r/>
            <w:r>
              <w:rPr>
                <w:rFonts w:ascii="Times New Roman" w:hAnsi="Times New Roman" w:eastAsia="宋体"/>
                <w:b w:val="0"/>
                <w:sz w:val="18"/>
              </w:rPr>
              <w:t>测试人员与 AI 协作的任务控制中心,默认首页</w:t>
            </w:r>
          </w:p>
        </w:tc>
        <w:tc>
          <w:tcPr>
            <w:tcW w:type="dxa" w:w="2161"/>
          </w:tcPr>
          <w:p>
            <w:pPr>
              <w:spacing w:after="40"/>
            </w:pPr>
            <w:r/>
            <w:r>
              <w:rPr>
                <w:rFonts w:ascii="Times New Roman" w:hAnsi="Times New Roman" w:eastAsia="宋体"/>
                <w:b w:val="0"/>
                <w:sz w:val="18"/>
              </w:rPr>
              <w:t>工作项创建拆解、AI 分派与进度、待我审核队列、审核批注批准、阻塞风险 SLA、效率指标</w:t>
            </w:r>
          </w:p>
        </w:tc>
        <w:tc>
          <w:tcPr>
            <w:tcW w:type="dxa" w:w="2161"/>
          </w:tcPr>
          <w:p>
            <w:pPr>
              <w:spacing w:after="40"/>
            </w:pPr>
            <w:r/>
            <w:r>
              <w:rPr>
                <w:rFonts w:ascii="Times New Roman" w:hAnsi="Times New Roman" w:eastAsia="宋体"/>
                <w:b w:val="0"/>
                <w:sz w:val="18"/>
              </w:rPr>
              <w:t>WorkItem、WorkItemArtifact、WorkItemRun、WorkItemEvent、WorkItemDependency、ReviewTask</w:t>
            </w:r>
          </w:p>
        </w:tc>
      </w:tr>
      <w:tr>
        <w:tc>
          <w:tcPr>
            <w:tcW w:type="dxa" w:w="2161"/>
          </w:tcPr>
          <w:p>
            <w:pPr>
              <w:spacing w:after="40"/>
            </w:pPr>
            <w:r/>
            <w:r>
              <w:rPr>
                <w:rFonts w:ascii="Times New Roman" w:hAnsi="Times New Roman" w:eastAsia="宋体"/>
                <w:b w:val="0"/>
                <w:sz w:val="18"/>
              </w:rPr>
              <w:t>知识库</w:t>
            </w:r>
          </w:p>
        </w:tc>
        <w:tc>
          <w:tcPr>
            <w:tcW w:type="dxa" w:w="2161"/>
          </w:tcPr>
          <w:p>
            <w:pPr>
              <w:spacing w:after="40"/>
            </w:pPr>
            <w:r/>
            <w:r>
              <w:rPr>
                <w:rFonts w:ascii="Times New Roman" w:hAnsi="Times New Roman" w:eastAsia="宋体"/>
                <w:b w:val="0"/>
                <w:sz w:val="18"/>
              </w:rPr>
              <w:t>AI 工作的可信输入源与经验沉淀中心</w:t>
            </w:r>
          </w:p>
        </w:tc>
        <w:tc>
          <w:tcPr>
            <w:tcW w:type="dxa" w:w="2161"/>
          </w:tcPr>
          <w:p>
            <w:pPr>
              <w:spacing w:after="40"/>
            </w:pPr>
            <w:r/>
            <w:r>
              <w:rPr>
                <w:rFonts w:ascii="Times New Roman" w:hAnsi="Times New Roman" w:eastAsia="宋体"/>
                <w:b w:val="0"/>
                <w:sz w:val="18"/>
              </w:rPr>
              <w:t>原始来源接入、项目结构、业务规则与术语、知识候选审核发布、Source Trace 与检索</w:t>
            </w:r>
          </w:p>
        </w:tc>
        <w:tc>
          <w:tcPr>
            <w:tcW w:type="dxa" w:w="2161"/>
          </w:tcPr>
          <w:p>
            <w:pPr>
              <w:spacing w:after="40"/>
            </w:pPr>
            <w:r/>
            <w:r>
              <w:rPr>
                <w:rFonts w:ascii="Times New Roman" w:hAnsi="Times New Roman" w:eastAsia="宋体"/>
                <w:b w:val="0"/>
                <w:sz w:val="18"/>
              </w:rPr>
              <w:t>SourceSnapshot、RequirementDocument、APIContract、KnowledgeEntry、KnowledgeVector、KG Node/Edge</w:t>
            </w:r>
          </w:p>
        </w:tc>
      </w:tr>
      <w:tr>
        <w:tc>
          <w:tcPr>
            <w:tcW w:type="dxa" w:w="2161"/>
          </w:tcPr>
          <w:p>
            <w:pPr>
              <w:spacing w:after="40"/>
            </w:pPr>
            <w:r/>
            <w:r>
              <w:rPr>
                <w:rFonts w:ascii="Times New Roman" w:hAnsi="Times New Roman" w:eastAsia="宋体"/>
                <w:b w:val="0"/>
                <w:sz w:val="18"/>
              </w:rPr>
              <w:t>测试策划与设计</w:t>
            </w:r>
          </w:p>
        </w:tc>
        <w:tc>
          <w:tcPr>
            <w:tcW w:type="dxa" w:w="2161"/>
          </w:tcPr>
          <w:p>
            <w:pPr>
              <w:spacing w:after="40"/>
            </w:pPr>
            <w:r/>
            <w:r>
              <w:rPr>
                <w:rFonts w:ascii="Times New Roman" w:hAnsi="Times New Roman" w:eastAsia="宋体"/>
                <w:b w:val="0"/>
                <w:sz w:val="18"/>
              </w:rPr>
              <w:t>把目标、需求与风险转化为经审核的测试资产</w:t>
            </w:r>
          </w:p>
        </w:tc>
        <w:tc>
          <w:tcPr>
            <w:tcW w:type="dxa" w:w="2161"/>
          </w:tcPr>
          <w:p>
            <w:pPr>
              <w:spacing w:after="40"/>
            </w:pPr>
            <w:r/>
            <w:r>
              <w:rPr>
                <w:rFonts w:ascii="Times New Roman" w:hAnsi="Times New Roman" w:eastAsia="宋体"/>
                <w:b w:val="0"/>
                <w:sz w:val="18"/>
              </w:rPr>
              <w:t>策略生成审核、计划排期、TestingIR 编译、场景用例断言生成、覆盖率分析</w:t>
            </w:r>
          </w:p>
        </w:tc>
        <w:tc>
          <w:tcPr>
            <w:tcW w:type="dxa" w:w="2161"/>
          </w:tcPr>
          <w:p>
            <w:pPr>
              <w:spacing w:after="40"/>
            </w:pPr>
            <w:r/>
            <w:r>
              <w:rPr>
                <w:rFonts w:ascii="Times New Roman" w:hAnsi="Times New Roman" w:eastAsia="宋体"/>
                <w:b w:val="0"/>
                <w:sz w:val="18"/>
              </w:rPr>
              <w:t>TestStrategy、TestPlan、TestingIR、BusinessRule、TestScenario、DesignTestCase、TestCase、Assertion、TestSuite</w:t>
            </w:r>
          </w:p>
        </w:tc>
      </w:tr>
      <w:tr>
        <w:tc>
          <w:tcPr>
            <w:tcW w:type="dxa" w:w="2161"/>
          </w:tcPr>
          <w:p>
            <w:pPr>
              <w:spacing w:after="40"/>
            </w:pPr>
            <w:r/>
            <w:r>
              <w:rPr>
                <w:rFonts w:ascii="Times New Roman" w:hAnsi="Times New Roman" w:eastAsia="宋体"/>
                <w:b w:val="0"/>
                <w:sz w:val="18"/>
              </w:rPr>
              <w:t>自动化测试开发</w:t>
            </w:r>
          </w:p>
        </w:tc>
        <w:tc>
          <w:tcPr>
            <w:tcW w:type="dxa" w:w="2161"/>
          </w:tcPr>
          <w:p>
            <w:pPr>
              <w:spacing w:after="40"/>
            </w:pPr>
            <w:r/>
            <w:r>
              <w:rPr>
                <w:rFonts w:ascii="Times New Roman" w:hAnsi="Times New Roman" w:eastAsia="宋体"/>
                <w:b w:val="0"/>
                <w:sz w:val="18"/>
              </w:rPr>
              <w:t>把设计转换为可审查、可执行、可调试的自动化代码</w:t>
            </w:r>
          </w:p>
        </w:tc>
        <w:tc>
          <w:tcPr>
            <w:tcW w:type="dxa" w:w="2161"/>
          </w:tcPr>
          <w:p>
            <w:pPr>
              <w:spacing w:after="40"/>
            </w:pPr>
            <w:r/>
            <w:r>
              <w:rPr>
                <w:rFonts w:ascii="Times New Roman" w:hAnsi="Times New Roman" w:eastAsia="宋体"/>
                <w:b w:val="0"/>
                <w:sz w:val="18"/>
              </w:rPr>
              <w:t>Web/API 代码生成维护、Diff 与 Code Review、确定性检查与试运行、用例绑定、仓库同步</w:t>
            </w:r>
          </w:p>
        </w:tc>
        <w:tc>
          <w:tcPr>
            <w:tcW w:type="dxa" w:w="2161"/>
          </w:tcPr>
          <w:p>
            <w:pPr>
              <w:spacing w:after="40"/>
            </w:pPr>
            <w:r/>
            <w:r>
              <w:rPr>
                <w:rFonts w:ascii="Times New Roman" w:hAnsi="Times New Roman" w:eastAsia="宋体"/>
                <w:b w:val="0"/>
                <w:sz w:val="18"/>
              </w:rPr>
              <w:t>AutomationScript、AutomationScriptVersion、TestData、Locator、MockConfig、AutomationCheckRun</w:t>
            </w:r>
          </w:p>
        </w:tc>
      </w:tr>
      <w:tr>
        <w:tc>
          <w:tcPr>
            <w:tcW w:type="dxa" w:w="2161"/>
          </w:tcPr>
          <w:p>
            <w:pPr>
              <w:spacing w:after="40"/>
            </w:pPr>
            <w:r/>
            <w:r>
              <w:rPr>
                <w:rFonts w:ascii="Times New Roman" w:hAnsi="Times New Roman" w:eastAsia="宋体"/>
                <w:b w:val="0"/>
                <w:sz w:val="18"/>
              </w:rPr>
              <w:t>测试执行</w:t>
            </w:r>
          </w:p>
        </w:tc>
        <w:tc>
          <w:tcPr>
            <w:tcW w:type="dxa" w:w="2161"/>
          </w:tcPr>
          <w:p>
            <w:pPr>
              <w:spacing w:after="40"/>
            </w:pPr>
            <w:r/>
            <w:r>
              <w:rPr>
                <w:rFonts w:ascii="Times New Roman" w:hAnsi="Times New Roman" w:eastAsia="宋体"/>
                <w:b w:val="0"/>
                <w:sz w:val="18"/>
              </w:rPr>
              <w:t>将批准资产转化为完整可观察可复现的执行证据</w:t>
            </w:r>
          </w:p>
        </w:tc>
        <w:tc>
          <w:tcPr>
            <w:tcW w:type="dxa" w:w="2161"/>
          </w:tcPr>
          <w:p>
            <w:pPr>
              <w:spacing w:after="40"/>
            </w:pPr>
            <w:r/>
            <w:r>
              <w:rPr>
                <w:rFonts w:ascii="Times New Roman" w:hAnsi="Times New Roman" w:eastAsia="宋体"/>
                <w:b w:val="0"/>
                <w:sz w:val="18"/>
              </w:rPr>
              <w:t>执行计划冻结、调度与 Runner 选择、实时进度日志制品、结果取消重试、契约检查</w:t>
            </w:r>
          </w:p>
        </w:tc>
        <w:tc>
          <w:tcPr>
            <w:tcW w:type="dxa" w:w="2161"/>
          </w:tcPr>
          <w:p>
            <w:pPr>
              <w:spacing w:after="40"/>
            </w:pPr>
            <w:r/>
            <w:r>
              <w:rPr>
                <w:rFonts w:ascii="Times New Roman" w:hAnsi="Times New Roman" w:eastAsia="宋体"/>
                <w:b w:val="0"/>
                <w:sz w:val="18"/>
              </w:rPr>
              <w:t>ExecutionPlan、ExecutionTask、ExecutionResult、ExecutionArtifact、APIObservation、ContractCheckResult</w:t>
            </w:r>
          </w:p>
        </w:tc>
      </w:tr>
      <w:tr>
        <w:tc>
          <w:tcPr>
            <w:tcW w:type="dxa" w:w="2161"/>
          </w:tcPr>
          <w:p>
            <w:pPr>
              <w:spacing w:after="40"/>
            </w:pPr>
            <w:r/>
            <w:r>
              <w:rPr>
                <w:rFonts w:ascii="Times New Roman" w:hAnsi="Times New Roman" w:eastAsia="宋体"/>
                <w:b w:val="0"/>
                <w:sz w:val="18"/>
              </w:rPr>
              <w:t>质量分析与缺陷</w:t>
            </w:r>
          </w:p>
        </w:tc>
        <w:tc>
          <w:tcPr>
            <w:tcW w:type="dxa" w:w="2161"/>
          </w:tcPr>
          <w:p>
            <w:pPr>
              <w:spacing w:after="40"/>
            </w:pPr>
            <w:r/>
            <w:r>
              <w:rPr>
                <w:rFonts w:ascii="Times New Roman" w:hAnsi="Times New Roman" w:eastAsia="宋体"/>
                <w:b w:val="0"/>
                <w:sz w:val="18"/>
              </w:rPr>
              <w:t>把原始结果转化为经确认的分析、Bug、报告与质量结论</w:t>
            </w:r>
          </w:p>
        </w:tc>
        <w:tc>
          <w:tcPr>
            <w:tcW w:type="dxa" w:w="2161"/>
          </w:tcPr>
          <w:p>
            <w:pPr>
              <w:spacing w:after="40"/>
            </w:pPr>
            <w:r/>
            <w:r>
              <w:rPr>
                <w:rFonts w:ascii="Times New Roman" w:hAnsi="Times New Roman" w:eastAsia="宋体"/>
                <w:b w:val="0"/>
                <w:sz w:val="18"/>
              </w:rPr>
              <w:t>失败聚类、RCA、Defect 草稿审核提交、报告签署、质量门禁、知识回流</w:t>
            </w:r>
          </w:p>
        </w:tc>
        <w:tc>
          <w:tcPr>
            <w:tcW w:type="dxa" w:w="2161"/>
          </w:tcPr>
          <w:p>
            <w:pPr>
              <w:spacing w:after="40"/>
            </w:pPr>
            <w:r/>
            <w:r>
              <w:rPr>
                <w:rFonts w:ascii="Times New Roman" w:hAnsi="Times New Roman" w:eastAsia="宋体"/>
                <w:b w:val="0"/>
                <w:sz w:val="18"/>
              </w:rPr>
              <w:t>ResultAnalysis、FailureCluster、Defect、DefectVersion、TestReport、QualityGate、PipelineConfig</w:t>
            </w:r>
          </w:p>
        </w:tc>
      </w:tr>
      <w:tr>
        <w:tc>
          <w:tcPr>
            <w:tcW w:type="dxa" w:w="2161"/>
          </w:tcPr>
          <w:p>
            <w:pPr>
              <w:spacing w:after="40"/>
            </w:pPr>
            <w:r/>
            <w:r>
              <w:rPr>
                <w:rFonts w:ascii="Times New Roman" w:hAnsi="Times New Roman" w:eastAsia="宋体"/>
                <w:b w:val="0"/>
                <w:sz w:val="18"/>
              </w:rPr>
              <w:t>AI Agent 中心</w:t>
            </w:r>
          </w:p>
        </w:tc>
        <w:tc>
          <w:tcPr>
            <w:tcW w:type="dxa" w:w="2161"/>
          </w:tcPr>
          <w:p>
            <w:pPr>
              <w:spacing w:after="40"/>
            </w:pPr>
            <w:r/>
            <w:r>
              <w:rPr>
                <w:rFonts w:ascii="Times New Roman" w:hAnsi="Times New Roman" w:eastAsia="宋体"/>
                <w:b w:val="0"/>
                <w:sz w:val="18"/>
              </w:rPr>
              <w:t>管理 AI 生产力、责任边界、权限与运行证据</w:t>
            </w:r>
          </w:p>
        </w:tc>
        <w:tc>
          <w:tcPr>
            <w:tcW w:type="dxa" w:w="2161"/>
          </w:tcPr>
          <w:p>
            <w:pPr>
              <w:spacing w:after="40"/>
            </w:pPr>
            <w:r/>
            <w:r>
              <w:rPr>
                <w:rFonts w:ascii="Times New Roman" w:hAnsi="Times New Roman" w:eastAsia="宋体"/>
                <w:b w:val="0"/>
                <w:sz w:val="18"/>
              </w:rPr>
              <w:t>Agent/Skill 注册版本、Workflow 与 Prompt 治理、Session 与 Trace、Eval 评测、风险降级</w:t>
            </w:r>
          </w:p>
        </w:tc>
        <w:tc>
          <w:tcPr>
            <w:tcW w:type="dxa" w:w="2161"/>
          </w:tcPr>
          <w:p>
            <w:pPr>
              <w:spacing w:after="40"/>
            </w:pPr>
            <w:r/>
            <w:r>
              <w:rPr>
                <w:rFonts w:ascii="Times New Roman" w:hAnsi="Times New Roman" w:eastAsia="宋体"/>
                <w:b w:val="0"/>
                <w:sz w:val="18"/>
              </w:rPr>
              <w:t>Agent、Skill、AgentWorkflow、AgentPromptVersion、AgentSession、AgentTraceNode、SkillInvocation</w:t>
            </w:r>
          </w:p>
        </w:tc>
      </w:tr>
      <w:tr>
        <w:tc>
          <w:tcPr>
            <w:tcW w:type="dxa" w:w="2161"/>
          </w:tcPr>
          <w:p>
            <w:pPr>
              <w:spacing w:after="40"/>
            </w:pPr>
            <w:r/>
            <w:r>
              <w:rPr>
                <w:rFonts w:ascii="Times New Roman" w:hAnsi="Times New Roman" w:eastAsia="宋体"/>
                <w:b w:val="0"/>
                <w:sz w:val="18"/>
              </w:rPr>
              <w:t>平台管理</w:t>
            </w:r>
          </w:p>
        </w:tc>
        <w:tc>
          <w:tcPr>
            <w:tcW w:type="dxa" w:w="2161"/>
          </w:tcPr>
          <w:p>
            <w:pPr>
              <w:spacing w:after="40"/>
            </w:pPr>
            <w:r/>
            <w:r>
              <w:rPr>
                <w:rFonts w:ascii="Times New Roman" w:hAnsi="Times New Roman" w:eastAsia="宋体"/>
                <w:b w:val="0"/>
                <w:sz w:val="18"/>
              </w:rPr>
              <w:t>提供租户、安全、集成、模型与执行基础设施管理</w:t>
            </w:r>
          </w:p>
        </w:tc>
        <w:tc>
          <w:tcPr>
            <w:tcW w:type="dxa" w:w="2161"/>
          </w:tcPr>
          <w:p>
            <w:pPr>
              <w:spacing w:after="40"/>
            </w:pPr>
            <w:r/>
            <w:r>
              <w:rPr>
                <w:rFonts w:ascii="Times New Roman" w:hAnsi="Times New Roman" w:eastAsia="宋体"/>
                <w:b w:val="0"/>
                <w:sz w:val="18"/>
              </w:rPr>
              <w:t>租户用户角色、Secrets、LLM Provider、Runner 节点、外部集成、审计与健康</w:t>
            </w:r>
          </w:p>
        </w:tc>
        <w:tc>
          <w:tcPr>
            <w:tcW w:type="dxa" w:w="2161"/>
          </w:tcPr>
          <w:p>
            <w:pPr>
              <w:spacing w:after="40"/>
            </w:pPr>
            <w:r/>
            <w:r>
              <w:rPr>
                <w:rFonts w:ascii="Times New Roman" w:hAnsi="Times New Roman" w:eastAsia="宋体"/>
                <w:b w:val="0"/>
                <w:sz w:val="18"/>
              </w:rPr>
              <w:t>Tenant、User、Workspace、WorkspaceSecret、LlmConfig、RunnerNode、AuditLog</w:t>
            </w:r>
          </w:p>
        </w:tc>
      </w:tr>
    </w:tbl>
    <w:p>
      <w:pPr>
        <w:spacing w:after="120" w:line="360" w:lineRule="auto"/>
        <w:ind w:firstLine="480"/>
      </w:pPr>
      <w:r>
        <w:rPr>
          <w:rFonts w:ascii="Times New Roman" w:hAnsi="Times New Roman" w:eastAsia="宋体"/>
          <w:b w:val="0"/>
          <w:sz w:val="24"/>
        </w:rPr>
        <w:t>全局结构约束是总体设计的硬边界,任何实现不得违背,主要包括:其一,每个业务实体只有一个唯一写入所有者,其他模块只能消费精确版本或提交候选;其二,正式产出物采用稳定根加不可变版本,审核与批准绑定精确版本和内容摘要;其三,执行结果、证据、审核决定、授权决定与审计日志只追加,不可覆盖;其四,AI 是主要生产者但永远不能批准正式产出物,人工批准是正式生效的必要条件;其五,管理员身份不自动获得业务批准权,最终授权取多层权限交集并 fail-closed;其六,外部写入(缺陷系统、Git、发布)逐次人工批准、幂等并保留回执。</w:t>
      </w:r>
    </w:p>
    <w:p>
      <w:pPr>
        <w:spacing w:after="80"/>
      </w:pPr>
      <w:r>
        <w:rPr>
          <w:rFonts w:ascii="Times New Roman" w:hAnsi="Times New Roman" w:eastAsia="宋体"/>
          <w:b w:val="0"/>
          <w:color w:val="666666"/>
          <w:sz w:val="18"/>
        </w:rPr>
        <w:t>（来源:05-功能模块重构方案 §4、§5.1、§5.11、§5.12;02-PRD总纲 §4、§5）</w:t>
      </w:r>
    </w:p>
    <w:p>
      <w:pPr>
        <w:pStyle w:val="Heading2"/>
        <w:spacing w:before="240" w:after="120"/>
      </w:pPr>
      <w:r>
        <w:rPr>
          <w:rFonts w:ascii="Times New Roman" w:hAnsi="Times New Roman" w:eastAsia="黑体"/>
          <w:b/>
          <w:color w:val="1F3A5F"/>
          <w:sz w:val="28"/>
        </w:rPr>
        <w:t>2.2 运行环境</w:t>
      </w:r>
    </w:p>
    <w:p>
      <w:pPr>
        <w:spacing w:after="120" w:line="360" w:lineRule="auto"/>
        <w:ind w:firstLine="480"/>
      </w:pPr>
      <w:r>
        <w:rPr>
          <w:rFonts w:ascii="Times New Roman" w:hAnsi="Times New Roman" w:eastAsia="宋体"/>
          <w:b w:val="0"/>
          <w:sz w:val="24"/>
        </w:rPr>
        <w:t>目标运行环境采用纯 Python 技术栈与 PostgreSQL 数据底座。V1 部署拓扑由四个应用服务与三类基础设施构成,合计七个运行时组件,如下表所示。</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序号</w:t>
            </w:r>
          </w:p>
        </w:tc>
        <w:tc>
          <w:tcPr>
            <w:tcW w:type="dxa" w:w="2161"/>
            <w:shd w:val="clear" w:fill="EDF0F5"/>
          </w:tcPr>
          <w:p>
            <w:pPr>
              <w:spacing w:after="40"/>
            </w:pPr>
            <w:r/>
            <w:r>
              <w:rPr>
                <w:rFonts w:ascii="Times New Roman" w:hAnsi="Times New Roman" w:eastAsia="黑体"/>
                <w:b/>
                <w:sz w:val="18"/>
              </w:rPr>
              <w:t>组件</w:t>
            </w:r>
          </w:p>
        </w:tc>
        <w:tc>
          <w:tcPr>
            <w:tcW w:type="dxa" w:w="2161"/>
            <w:shd w:val="clear" w:fill="EDF0F5"/>
          </w:tcPr>
          <w:p>
            <w:pPr>
              <w:spacing w:after="40"/>
            </w:pPr>
            <w:r/>
            <w:r>
              <w:rPr>
                <w:rFonts w:ascii="Times New Roman" w:hAnsi="Times New Roman" w:eastAsia="黑体"/>
                <w:b/>
                <w:sz w:val="18"/>
              </w:rPr>
              <w:t>职责</w:t>
            </w:r>
          </w:p>
        </w:tc>
        <w:tc>
          <w:tcPr>
            <w:tcW w:type="dxa" w:w="2161"/>
            <w:shd w:val="clear" w:fill="EDF0F5"/>
          </w:tcPr>
          <w:p>
            <w:pPr>
              <w:spacing w:after="40"/>
            </w:pPr>
            <w:r/>
            <w:r>
              <w:rPr>
                <w:rFonts w:ascii="Times New Roman" w:hAnsi="Times New Roman" w:eastAsia="黑体"/>
                <w:b/>
                <w:sz w:val="18"/>
              </w:rPr>
              <w:t>关键技术选型</w:t>
            </w:r>
          </w:p>
        </w:tc>
      </w:tr>
      <w:tr>
        <w:tc>
          <w:tcPr>
            <w:tcW w:type="dxa" w:w="2161"/>
          </w:tcPr>
          <w:p>
            <w:pPr>
              <w:spacing w:after="40"/>
            </w:pPr>
            <w:r/>
            <w:r>
              <w:rPr>
                <w:rFonts w:ascii="Times New Roman" w:hAnsi="Times New Roman" w:eastAsia="宋体"/>
                <w:b w:val="0"/>
                <w:sz w:val="18"/>
              </w:rPr>
              <w:t>1</w:t>
            </w:r>
          </w:p>
        </w:tc>
        <w:tc>
          <w:tcPr>
            <w:tcW w:type="dxa" w:w="2161"/>
          </w:tcPr>
          <w:p>
            <w:pPr>
              <w:spacing w:after="40"/>
            </w:pPr>
            <w:r/>
            <w:r>
              <w:rPr>
                <w:rFonts w:ascii="Times New Roman" w:hAnsi="Times New Roman" w:eastAsia="宋体"/>
                <w:b w:val="0"/>
                <w:sz w:val="18"/>
              </w:rPr>
              <w:t>网关服务</w:t>
            </w:r>
          </w:p>
        </w:tc>
        <w:tc>
          <w:tcPr>
            <w:tcW w:type="dxa" w:w="2161"/>
          </w:tcPr>
          <w:p>
            <w:pPr>
              <w:spacing w:after="40"/>
            </w:pPr>
            <w:r/>
            <w:r>
              <w:rPr>
                <w:rFonts w:ascii="Times New Roman" w:hAnsi="Times New Roman" w:eastAsia="宋体"/>
                <w:b w:val="0"/>
                <w:sz w:val="18"/>
              </w:rPr>
              <w:t>令牌校验、速率限制、剥离伪造身份 Header、WebSocket 票据校验、可选边缘代理</w:t>
            </w:r>
          </w:p>
        </w:tc>
        <w:tc>
          <w:tcPr>
            <w:tcW w:type="dxa" w:w="2161"/>
          </w:tcPr>
          <w:p>
            <w:pPr>
              <w:spacing w:after="40"/>
            </w:pPr>
            <w:r/>
            <w:r>
              <w:rPr>
                <w:rFonts w:ascii="Times New Roman" w:hAnsi="Times New Roman" w:eastAsia="宋体"/>
                <w:b w:val="0"/>
                <w:sz w:val="18"/>
              </w:rPr>
              <w:t>FastAPI + Uvicorn,可选 Traefik/APISIX</w:t>
            </w:r>
          </w:p>
        </w:tc>
      </w:tr>
      <w:tr>
        <w:tc>
          <w:tcPr>
            <w:tcW w:type="dxa" w:w="2161"/>
          </w:tcPr>
          <w:p>
            <w:pPr>
              <w:spacing w:after="40"/>
            </w:pPr>
            <w:r/>
            <w:r>
              <w:rPr>
                <w:rFonts w:ascii="Times New Roman" w:hAnsi="Times New Roman" w:eastAsia="宋体"/>
                <w:b w:val="0"/>
                <w:sz w:val="18"/>
              </w:rPr>
              <w:t>2</w:t>
            </w:r>
          </w:p>
        </w:tc>
        <w:tc>
          <w:tcPr>
            <w:tcW w:type="dxa" w:w="2161"/>
          </w:tcPr>
          <w:p>
            <w:pPr>
              <w:spacing w:after="40"/>
            </w:pPr>
            <w:r/>
            <w:r>
              <w:rPr>
                <w:rFonts w:ascii="Times New Roman" w:hAnsi="Times New Roman" w:eastAsia="宋体"/>
                <w:b w:val="0"/>
                <w:sz w:val="18"/>
              </w:rPr>
              <w:t>模块化核心应用</w:t>
            </w:r>
          </w:p>
        </w:tc>
        <w:tc>
          <w:tcPr>
            <w:tcW w:type="dxa" w:w="2161"/>
          </w:tcPr>
          <w:p>
            <w:pPr>
              <w:spacing w:after="40"/>
            </w:pPr>
            <w:r/>
            <w:r>
              <w:rPr>
                <w:rFonts w:ascii="Times New Roman" w:hAnsi="Times New Roman" w:eastAsia="宋体"/>
                <w:b w:val="0"/>
                <w:sz w:val="18"/>
              </w:rPr>
              <w:t>承载八个模块的领域逻辑与数据 Owner 边界,短 CRUD、查询、授权与审核决定走 REST 事务</w:t>
            </w:r>
          </w:p>
        </w:tc>
        <w:tc>
          <w:tcPr>
            <w:tcW w:type="dxa" w:w="2161"/>
          </w:tcPr>
          <w:p>
            <w:pPr>
              <w:spacing w:after="40"/>
            </w:pPr>
            <w:r/>
            <w:r>
              <w:rPr>
                <w:rFonts w:ascii="Times New Roman" w:hAnsi="Times New Roman" w:eastAsia="宋体"/>
                <w:b w:val="0"/>
                <w:sz w:val="18"/>
              </w:rPr>
              <w:t>Python 3.12 + FastAPI + Pydantic v2 + SQLAlchemy 2 async</w:t>
            </w:r>
          </w:p>
        </w:tc>
      </w:tr>
      <w:tr>
        <w:tc>
          <w:tcPr>
            <w:tcW w:type="dxa" w:w="2161"/>
          </w:tcPr>
          <w:p>
            <w:pPr>
              <w:spacing w:after="40"/>
            </w:pPr>
            <w:r/>
            <w:r>
              <w:rPr>
                <w:rFonts w:ascii="Times New Roman" w:hAnsi="Times New Roman" w:eastAsia="宋体"/>
                <w:b w:val="0"/>
                <w:sz w:val="18"/>
              </w:rPr>
              <w:t>3</w:t>
            </w:r>
          </w:p>
        </w:tc>
        <w:tc>
          <w:tcPr>
            <w:tcW w:type="dxa" w:w="2161"/>
          </w:tcPr>
          <w:p>
            <w:pPr>
              <w:spacing w:after="40"/>
            </w:pPr>
            <w:r/>
            <w:r>
              <w:rPr>
                <w:rFonts w:ascii="Times New Roman" w:hAnsi="Times New Roman" w:eastAsia="宋体"/>
                <w:b w:val="0"/>
                <w:sz w:val="18"/>
              </w:rPr>
              <w:t>Agent Worker</w:t>
            </w:r>
          </w:p>
        </w:tc>
        <w:tc>
          <w:tcPr>
            <w:tcW w:type="dxa" w:w="2161"/>
          </w:tcPr>
          <w:p>
            <w:pPr>
              <w:spacing w:after="40"/>
            </w:pPr>
            <w:r/>
            <w:r>
              <w:rPr>
                <w:rFonts w:ascii="Times New Roman" w:hAnsi="Times New Roman" w:eastAsia="宋体"/>
                <w:b w:val="0"/>
                <w:sz w:val="18"/>
              </w:rPr>
              <w:t>运行 LangGraph Agent 工作流,执行结构化预检、生成、独立验证与 HITL 挂起</w:t>
            </w:r>
          </w:p>
        </w:tc>
        <w:tc>
          <w:tcPr>
            <w:tcW w:type="dxa" w:w="2161"/>
          </w:tcPr>
          <w:p>
            <w:pPr>
              <w:spacing w:after="40"/>
            </w:pPr>
            <w:r/>
            <w:r>
              <w:rPr>
                <w:rFonts w:ascii="Times New Roman" w:hAnsi="Times New Roman" w:eastAsia="宋体"/>
                <w:b w:val="0"/>
                <w:sz w:val="18"/>
              </w:rPr>
              <w:t>LangGraph,进程级独立部署</w:t>
            </w:r>
          </w:p>
        </w:tc>
      </w:tr>
      <w:tr>
        <w:tc>
          <w:tcPr>
            <w:tcW w:type="dxa" w:w="2161"/>
          </w:tcPr>
          <w:p>
            <w:pPr>
              <w:spacing w:after="40"/>
            </w:pPr>
            <w:r/>
            <w:r>
              <w:rPr>
                <w:rFonts w:ascii="Times New Roman" w:hAnsi="Times New Roman" w:eastAsia="宋体"/>
                <w:b w:val="0"/>
                <w:sz w:val="18"/>
              </w:rPr>
              <w:t>4</w:t>
            </w:r>
          </w:p>
        </w:tc>
        <w:tc>
          <w:tcPr>
            <w:tcW w:type="dxa" w:w="2161"/>
          </w:tcPr>
          <w:p>
            <w:pPr>
              <w:spacing w:after="40"/>
            </w:pPr>
            <w:r/>
            <w:r>
              <w:rPr>
                <w:rFonts w:ascii="Times New Roman" w:hAnsi="Times New Roman" w:eastAsia="宋体"/>
                <w:b w:val="0"/>
                <w:sz w:val="18"/>
              </w:rPr>
              <w:t>Runner</w:t>
            </w:r>
          </w:p>
        </w:tc>
        <w:tc>
          <w:tcPr>
            <w:tcW w:type="dxa" w:w="2161"/>
          </w:tcPr>
          <w:p>
            <w:pPr>
              <w:spacing w:after="40"/>
            </w:pPr>
            <w:r/>
            <w:r>
              <w:rPr>
                <w:rFonts w:ascii="Times New Roman" w:hAnsi="Times New Roman" w:eastAsia="宋体"/>
                <w:b w:val="0"/>
                <w:sz w:val="18"/>
              </w:rPr>
              <w:t>容器化隔离执行测试代码,流式上传日志与证据,按租约与心跳受控</w:t>
            </w:r>
          </w:p>
        </w:tc>
        <w:tc>
          <w:tcPr>
            <w:tcW w:type="dxa" w:w="2161"/>
          </w:tcPr>
          <w:p>
            <w:pPr>
              <w:spacing w:after="40"/>
            </w:pPr>
            <w:r/>
            <w:r>
              <w:rPr>
                <w:rFonts w:ascii="Times New Roman" w:hAnsi="Times New Roman" w:eastAsia="宋体"/>
                <w:b w:val="0"/>
                <w:sz w:val="18"/>
              </w:rPr>
              <w:t>容器/沙箱隔离 Worker</w:t>
            </w:r>
          </w:p>
        </w:tc>
      </w:tr>
      <w:tr>
        <w:tc>
          <w:tcPr>
            <w:tcW w:type="dxa" w:w="2161"/>
          </w:tcPr>
          <w:p>
            <w:pPr>
              <w:spacing w:after="40"/>
            </w:pPr>
            <w:r/>
            <w:r>
              <w:rPr>
                <w:rFonts w:ascii="Times New Roman" w:hAnsi="Times New Roman" w:eastAsia="宋体"/>
                <w:b w:val="0"/>
                <w:sz w:val="18"/>
              </w:rPr>
              <w:t>5</w:t>
            </w:r>
          </w:p>
        </w:tc>
        <w:tc>
          <w:tcPr>
            <w:tcW w:type="dxa" w:w="2161"/>
          </w:tcPr>
          <w:p>
            <w:pPr>
              <w:spacing w:after="40"/>
            </w:pPr>
            <w:r/>
            <w:r>
              <w:rPr>
                <w:rFonts w:ascii="Times New Roman" w:hAnsi="Times New Roman" w:eastAsia="宋体"/>
                <w:b w:val="0"/>
                <w:sz w:val="18"/>
              </w:rPr>
              <w:t>数据库</w:t>
            </w:r>
          </w:p>
        </w:tc>
        <w:tc>
          <w:tcPr>
            <w:tcW w:type="dxa" w:w="2161"/>
          </w:tcPr>
          <w:p>
            <w:pPr>
              <w:spacing w:after="40"/>
            </w:pPr>
            <w:r/>
            <w:r>
              <w:rPr>
                <w:rFonts w:ascii="Times New Roman" w:hAnsi="Times New Roman" w:eastAsia="宋体"/>
                <w:b w:val="0"/>
                <w:sz w:val="18"/>
              </w:rPr>
              <w:t>业务真相源,结构化实体、版本、RLS、向量检索同库</w:t>
            </w:r>
          </w:p>
        </w:tc>
        <w:tc>
          <w:tcPr>
            <w:tcW w:type="dxa" w:w="2161"/>
          </w:tcPr>
          <w:p>
            <w:pPr>
              <w:spacing w:after="40"/>
            </w:pPr>
            <w:r/>
            <w:r>
              <w:rPr>
                <w:rFonts w:ascii="Times New Roman" w:hAnsi="Times New Roman" w:eastAsia="宋体"/>
                <w:b w:val="0"/>
                <w:sz w:val="18"/>
              </w:rPr>
              <w:t>PostgreSQL 16 + PGVector</w:t>
            </w:r>
          </w:p>
        </w:tc>
      </w:tr>
      <w:tr>
        <w:tc>
          <w:tcPr>
            <w:tcW w:type="dxa" w:w="2161"/>
          </w:tcPr>
          <w:p>
            <w:pPr>
              <w:spacing w:after="40"/>
            </w:pPr>
            <w:r/>
            <w:r>
              <w:rPr>
                <w:rFonts w:ascii="Times New Roman" w:hAnsi="Times New Roman" w:eastAsia="宋体"/>
                <w:b w:val="0"/>
                <w:sz w:val="18"/>
              </w:rPr>
              <w:t>6</w:t>
            </w:r>
          </w:p>
        </w:tc>
        <w:tc>
          <w:tcPr>
            <w:tcW w:type="dxa" w:w="2161"/>
          </w:tcPr>
          <w:p>
            <w:pPr>
              <w:spacing w:after="40"/>
            </w:pPr>
            <w:r/>
            <w:r>
              <w:rPr>
                <w:rFonts w:ascii="Times New Roman" w:hAnsi="Times New Roman" w:eastAsia="宋体"/>
                <w:b w:val="0"/>
                <w:sz w:val="18"/>
              </w:rPr>
              <w:t>缓存与消息</w:t>
            </w:r>
          </w:p>
        </w:tc>
        <w:tc>
          <w:tcPr>
            <w:tcW w:type="dxa" w:w="2161"/>
          </w:tcPr>
          <w:p>
            <w:pPr>
              <w:spacing w:after="40"/>
            </w:pPr>
            <w:r/>
            <w:r>
              <w:rPr>
                <w:rFonts w:ascii="Times New Roman" w:hAnsi="Times New Roman" w:eastAsia="宋体"/>
                <w:b w:val="0"/>
                <w:sz w:val="18"/>
              </w:rPr>
              <w:t>短期缓存、限流、锁与租约;消息中间件在 RabbitMQ 与 Redis Streams 间按负载实测选型</w:t>
            </w:r>
          </w:p>
        </w:tc>
        <w:tc>
          <w:tcPr>
            <w:tcW w:type="dxa" w:w="2161"/>
          </w:tcPr>
          <w:p>
            <w:pPr>
              <w:spacing w:after="40"/>
            </w:pPr>
            <w:r/>
            <w:r>
              <w:rPr>
                <w:rFonts w:ascii="Times New Roman" w:hAnsi="Times New Roman" w:eastAsia="宋体"/>
                <w:b w:val="0"/>
                <w:sz w:val="18"/>
              </w:rPr>
              <w:t>Redis 7(候选 RabbitMQ/Redis Streams)</w:t>
            </w:r>
          </w:p>
        </w:tc>
      </w:tr>
      <w:tr>
        <w:tc>
          <w:tcPr>
            <w:tcW w:type="dxa" w:w="2161"/>
          </w:tcPr>
          <w:p>
            <w:pPr>
              <w:spacing w:after="40"/>
            </w:pPr>
            <w:r/>
            <w:r>
              <w:rPr>
                <w:rFonts w:ascii="Times New Roman" w:hAnsi="Times New Roman" w:eastAsia="宋体"/>
                <w:b w:val="0"/>
                <w:sz w:val="18"/>
              </w:rPr>
              <w:t>7</w:t>
            </w:r>
          </w:p>
        </w:tc>
        <w:tc>
          <w:tcPr>
            <w:tcW w:type="dxa" w:w="2161"/>
          </w:tcPr>
          <w:p>
            <w:pPr>
              <w:spacing w:after="40"/>
            </w:pPr>
            <w:r/>
            <w:r>
              <w:rPr>
                <w:rFonts w:ascii="Times New Roman" w:hAnsi="Times New Roman" w:eastAsia="宋体"/>
                <w:b w:val="0"/>
                <w:sz w:val="18"/>
              </w:rPr>
              <w:t>对象存储</w:t>
            </w:r>
          </w:p>
        </w:tc>
        <w:tc>
          <w:tcPr>
            <w:tcW w:type="dxa" w:w="2161"/>
          </w:tcPr>
          <w:p>
            <w:pPr>
              <w:spacing w:after="40"/>
            </w:pPr>
            <w:r/>
            <w:r>
              <w:rPr>
                <w:rFonts w:ascii="Times New Roman" w:hAnsi="Times New Roman" w:eastAsia="宋体"/>
                <w:b w:val="0"/>
                <w:sz w:val="18"/>
              </w:rPr>
              <w:t>日志、截图、视频、报告与代码制品,签名 URL 与保留策略</w:t>
            </w:r>
          </w:p>
        </w:tc>
        <w:tc>
          <w:tcPr>
            <w:tcW w:type="dxa" w:w="2161"/>
          </w:tcPr>
          <w:p>
            <w:pPr>
              <w:spacing w:after="40"/>
            </w:pPr>
            <w:r/>
            <w:r>
              <w:rPr>
                <w:rFonts w:ascii="Times New Roman" w:hAnsi="Times New Roman" w:eastAsia="宋体"/>
                <w:b w:val="0"/>
                <w:sz w:val="18"/>
              </w:rPr>
              <w:t>S3 兼容对象存储</w:t>
            </w:r>
          </w:p>
        </w:tc>
      </w:tr>
    </w:tbl>
    <w:p>
      <w:pPr>
        <w:spacing w:after="120" w:line="360" w:lineRule="auto"/>
        <w:ind w:firstLine="480"/>
      </w:pPr>
      <w:r>
        <w:rPr>
          <w:rFonts w:ascii="Times New Roman" w:hAnsi="Times New Roman" w:eastAsia="宋体"/>
          <w:b w:val="0"/>
          <w:sz w:val="24"/>
        </w:rPr>
        <w:t>开发与单机验证环境使用 Stage 4 本地 Profile:React 19 加 TypeScript 加 Vite 加 Fluent UI 审核工作台、Python 3.12 加 FastAPI 单进程、SQLite(WAL、单文件 0600 权限)、本地 scrypt 密码与 HS256 JWT、deterministic-local 确定性 Provider。该 Profile 不承诺 RLS、向量检索与高并发,仅用于降低个人电脑验证门槛;进入多人协作、并发写入、原生 RLS、PGVector 或生产备份恢复需求时,数据库 Profile 升级为 PostgreSQL 目标配置。</w:t>
      </w:r>
    </w:p>
    <w:p>
      <w:pPr>
        <w:spacing w:after="80"/>
      </w:pPr>
      <w:r>
        <w:rPr>
          <w:rFonts w:ascii="Times New Roman" w:hAnsi="Times New Roman" w:eastAsia="宋体"/>
          <w:b w:val="0"/>
          <w:color w:val="666666"/>
          <w:sz w:val="18"/>
        </w:rPr>
        <w:t>（来源:30-技术选型决策.md §1、§1.1;31-系统架构设计.md §1、§9）</w:t>
      </w:r>
    </w:p>
    <w:p>
      <w:pPr>
        <w:pStyle w:val="Heading2"/>
        <w:spacing w:before="240" w:after="120"/>
      </w:pPr>
      <w:r>
        <w:rPr>
          <w:rFonts w:ascii="Times New Roman" w:hAnsi="Times New Roman" w:eastAsia="黑体"/>
          <w:b/>
          <w:color w:val="1F3A5F"/>
          <w:sz w:val="28"/>
        </w:rPr>
        <w:t>2.3 基本处理流程</w:t>
      </w:r>
    </w:p>
    <w:p>
      <w:pPr>
        <w:spacing w:after="120" w:line="360" w:lineRule="auto"/>
        <w:ind w:firstLine="480"/>
      </w:pPr>
      <w:r>
        <w:rPr>
          <w:rFonts w:ascii="Times New Roman" w:hAnsi="Times New Roman" w:eastAsia="宋体"/>
          <w:b w:val="0"/>
          <w:sz w:val="24"/>
        </w:rPr>
        <w:t>系统的主链路覆盖从需求输入到质量交付的完整测试生产线,文字图如下。</w:t>
      </w:r>
    </w:p>
    <w:p>
      <w:pPr>
        <w:spacing w:after="120" w:line="360" w:lineRule="auto"/>
        <w:ind w:firstLine="480"/>
      </w:pPr>
      <w:r>
        <w:rPr>
          <w:rFonts w:ascii="Times New Roman" w:hAnsi="Times New Roman" w:eastAsia="宋体"/>
          <w:b w:val="0"/>
          <w:sz w:val="24"/>
        </w:rPr>
        <w:t>围绕主链路,系统定义了三条核心旅程。旅程 A 从需求到可审核测试资产:导入来源、固化 SourceSnapshot、AI 编译 TestingIR、AI 生成策略计划用例草稿、确定性检查与独立验证、测试人员在 ReviewTask 中查看 Diff 证据与风险、批准或退回新版本。旅程 B 从正式用例到自动化结果:选择已批准用例版本、AI 生成脚本版本、代码检查与人工 Review、创建 ExecutionPlanVersion 冻结资产、Runner 执行、只追加结果日志与证据。旅程 C 从失败到质量交付:AI 基于执行事实聚类与 RCA、人工审核分析结论、AI 生成 Defect 与报告草稿、人工批准与签署、经单次外部写入批准同步缺陷、已审核知识回流。</w:t>
      </w:r>
    </w:p>
    <w:p>
      <w:pPr>
        <w:spacing w:after="120" w:line="360" w:lineRule="auto"/>
        <w:ind w:firstLine="480"/>
      </w:pPr>
      <w:r>
        <w:rPr>
          <w:rFonts w:ascii="Times New Roman" w:hAnsi="Times New Roman" w:eastAsia="宋体"/>
          <w:b w:val="0"/>
          <w:sz w:val="24"/>
        </w:rPr>
        <w:t>正式产出物的发布采用事务化发布流程,任何一步失败即整体回滚:</w:t>
      </w:r>
    </w:p>
    <w:p>
      <w:pPr>
        <w:spacing w:after="120" w:line="360" w:lineRule="auto"/>
        <w:ind w:firstLine="480"/>
      </w:pPr>
      <w:r>
        <w:rPr>
          <w:rFonts w:ascii="Times New Roman" w:hAnsi="Times New Roman" w:eastAsia="宋体"/>
          <w:b w:val="0"/>
          <w:sz w:val="24"/>
        </w:rPr>
        <w:t>Agent 生产流程同样受结构约束:WorkItem 加版本锁进入预检,经需求 Agent、独立验证、设计生成、断言与覆盖验证,到达人工审核节点,由人工 ReviewDecision 决定是否发布;Agent 不得直接写权威源,不得拥有 humanOnly 能力。</w:t>
      </w:r>
    </w:p>
    <w:p>
      <w:pPr>
        <w:spacing w:after="80"/>
      </w:pPr>
      <w:r>
        <w:rPr>
          <w:rFonts w:ascii="Times New Roman" w:hAnsi="Times New Roman" w:eastAsia="宋体"/>
          <w:b w:val="0"/>
          <w:color w:val="666666"/>
          <w:sz w:val="18"/>
        </w:rPr>
        <w:t>（来源:02-PRD总纲 §6;05-功能模块重构方案 §3.1、§3.3、§5.7.1;31-系统架构设计.md §4、§5）</w:t>
      </w:r>
    </w:p>
    <w:p>
      <w:pPr>
        <w:pStyle w:val="Heading2"/>
        <w:spacing w:before="240" w:after="120"/>
      </w:pPr>
      <w:r>
        <w:rPr>
          <w:rFonts w:ascii="Times New Roman" w:hAnsi="Times New Roman" w:eastAsia="黑体"/>
          <w:b/>
          <w:color w:val="1F3A5F"/>
          <w:sz w:val="28"/>
        </w:rPr>
        <w:t>2.4 软件结构</w:t>
      </w:r>
    </w:p>
    <w:p>
      <w:pPr>
        <w:spacing w:after="120" w:line="360" w:lineRule="auto"/>
        <w:ind w:firstLine="480"/>
      </w:pPr>
      <w:r>
        <w:rPr>
          <w:rFonts w:ascii="Times New Roman" w:hAnsi="Times New Roman" w:eastAsia="宋体"/>
          <w:b w:val="0"/>
          <w:sz w:val="24"/>
        </w:rPr>
        <w:t>系统采用"模块化单体优先、异步 Worker 分离"的总体结构:八个产品模块在模块化核心应用中保持代码、Schema 与权限边界,Agent 执行、Runner 与长任务 Worker 按隔离与资源需求分进程部署;只有出现独立扩缩容、故障隔离、团队 Ownership 或合规边界证据时才拆分为独立微服务。模块是代码与数据 Owner 边界,不等同于必须独立部署的微服务。</w:t>
      </w:r>
    </w:p>
    <w:p>
      <w:pPr>
        <w:spacing w:after="120" w:line="360" w:lineRule="auto"/>
        <w:ind w:firstLine="480"/>
      </w:pPr>
      <w:r>
        <w:rPr>
          <w:rFonts w:ascii="Times New Roman" w:hAnsi="Times New Roman" w:eastAsia="宋体"/>
          <w:b w:val="0"/>
          <w:sz w:val="24"/>
        </w:rPr>
        <w:t>八模块与运行时组件、数据仓库的映射关系如下表。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一级模块</w:t>
            </w:r>
          </w:p>
        </w:tc>
        <w:tc>
          <w:tcPr>
            <w:tcW w:type="dxa" w:w="2161"/>
            <w:shd w:val="clear" w:fill="EDF0F5"/>
          </w:tcPr>
          <w:p>
            <w:pPr>
              <w:spacing w:after="40"/>
            </w:pPr>
            <w:r/>
            <w:r>
              <w:rPr>
                <w:rFonts w:ascii="Times New Roman" w:hAnsi="Times New Roman" w:eastAsia="黑体"/>
                <w:b/>
                <w:sz w:val="18"/>
              </w:rPr>
              <w:t>逻辑载体</w:t>
            </w:r>
          </w:p>
        </w:tc>
        <w:tc>
          <w:tcPr>
            <w:tcW w:type="dxa" w:w="2161"/>
            <w:shd w:val="clear" w:fill="EDF0F5"/>
          </w:tcPr>
          <w:p>
            <w:pPr>
              <w:spacing w:after="40"/>
            </w:pPr>
            <w:r/>
            <w:r>
              <w:rPr>
                <w:rFonts w:ascii="Times New Roman" w:hAnsi="Times New Roman" w:eastAsia="黑体"/>
                <w:b/>
                <w:sz w:val="18"/>
              </w:rPr>
              <w:t>主要数据仓库/表域</w:t>
            </w:r>
          </w:p>
        </w:tc>
        <w:tc>
          <w:tcPr>
            <w:tcW w:type="dxa" w:w="2161"/>
            <w:shd w:val="clear" w:fill="EDF0F5"/>
          </w:tcPr>
          <w:p>
            <w:pPr>
              <w:spacing w:after="40"/>
            </w:pPr>
            <w:r/>
            <w:r>
              <w:rPr>
                <w:rFonts w:ascii="Times New Roman" w:hAnsi="Times New Roman" w:eastAsia="黑体"/>
                <w:b/>
                <w:sz w:val="18"/>
              </w:rPr>
              <w:t>唯一写入边界要点</w:t>
            </w:r>
          </w:p>
        </w:tc>
      </w:tr>
      <w:tr>
        <w:tc>
          <w:tcPr>
            <w:tcW w:type="dxa" w:w="2161"/>
          </w:tcPr>
          <w:p>
            <w:pPr>
              <w:spacing w:after="40"/>
            </w:pPr>
            <w:r/>
            <w:r>
              <w:rPr>
                <w:rFonts w:ascii="Times New Roman" w:hAnsi="Times New Roman" w:eastAsia="宋体"/>
                <w:b w:val="0"/>
                <w:sz w:val="18"/>
              </w:rPr>
              <w:t>任务看板</w:t>
            </w:r>
          </w:p>
        </w:tc>
        <w:tc>
          <w:tcPr>
            <w:tcW w:type="dxa" w:w="2161"/>
          </w:tcPr>
          <w:p>
            <w:pPr>
              <w:spacing w:after="40"/>
            </w:pPr>
            <w:r/>
            <w:r>
              <w:rPr>
                <w:rFonts w:ascii="Times New Roman" w:hAnsi="Times New Roman" w:eastAsia="宋体"/>
                <w:b w:val="0"/>
                <w:sz w:val="18"/>
              </w:rPr>
              <w:t>模块化核心应用(WorkBoard 域)</w:t>
            </w:r>
          </w:p>
        </w:tc>
        <w:tc>
          <w:tcPr>
            <w:tcW w:type="dxa" w:w="2161"/>
          </w:tcPr>
          <w:p>
            <w:pPr>
              <w:spacing w:after="40"/>
            </w:pPr>
            <w:r/>
            <w:r>
              <w:rPr>
                <w:rFonts w:ascii="Times New Roman" w:hAnsi="Times New Roman" w:eastAsia="宋体"/>
                <w:b w:val="0"/>
                <w:sz w:val="18"/>
              </w:rPr>
              <w:t>任务看板域 7 表</w:t>
            </w:r>
          </w:p>
        </w:tc>
        <w:tc>
          <w:tcPr>
            <w:tcW w:type="dxa" w:w="2161"/>
          </w:tcPr>
          <w:p>
            <w:pPr>
              <w:spacing w:after="40"/>
            </w:pPr>
            <w:r/>
            <w:r>
              <w:rPr>
                <w:rFonts w:ascii="Times New Roman" w:hAnsi="Times New Roman" w:eastAsia="宋体"/>
                <w:b w:val="0"/>
                <w:sz w:val="18"/>
              </w:rPr>
              <w:t>拥有 WorkItem 及其关联对象与 ReviewTask 分配流转</w:t>
            </w:r>
          </w:p>
        </w:tc>
      </w:tr>
      <w:tr>
        <w:tc>
          <w:tcPr>
            <w:tcW w:type="dxa" w:w="2161"/>
          </w:tcPr>
          <w:p>
            <w:pPr>
              <w:spacing w:after="40"/>
            </w:pPr>
            <w:r/>
            <w:r>
              <w:rPr>
                <w:rFonts w:ascii="Times New Roman" w:hAnsi="Times New Roman" w:eastAsia="宋体"/>
                <w:b w:val="0"/>
                <w:sz w:val="18"/>
              </w:rPr>
              <w:t>知识库</w:t>
            </w:r>
          </w:p>
        </w:tc>
        <w:tc>
          <w:tcPr>
            <w:tcW w:type="dxa" w:w="2161"/>
          </w:tcPr>
          <w:p>
            <w:pPr>
              <w:spacing w:after="40"/>
            </w:pPr>
            <w:r/>
            <w:r>
              <w:rPr>
                <w:rFonts w:ascii="Times New Roman" w:hAnsi="Times New Roman" w:eastAsia="宋体"/>
                <w:b w:val="0"/>
                <w:sz w:val="18"/>
              </w:rPr>
              <w:t>模块化核心应用(Knowledge 域)</w:t>
            </w:r>
          </w:p>
        </w:tc>
        <w:tc>
          <w:tcPr>
            <w:tcW w:type="dxa" w:w="2161"/>
          </w:tcPr>
          <w:p>
            <w:pPr>
              <w:spacing w:after="40"/>
            </w:pPr>
            <w:r/>
            <w:r>
              <w:rPr>
                <w:rFonts w:ascii="Times New Roman" w:hAnsi="Times New Roman" w:eastAsia="宋体"/>
                <w:b w:val="0"/>
                <w:sz w:val="18"/>
              </w:rPr>
              <w:t>知识库域 15 表</w:t>
            </w:r>
          </w:p>
        </w:tc>
        <w:tc>
          <w:tcPr>
            <w:tcW w:type="dxa" w:w="2161"/>
          </w:tcPr>
          <w:p>
            <w:pPr>
              <w:spacing w:after="40"/>
            </w:pPr>
            <w:r/>
            <w:r>
              <w:rPr>
                <w:rFonts w:ascii="Times New Roman" w:hAnsi="Times New Roman" w:eastAsia="宋体"/>
                <w:b w:val="0"/>
                <w:sz w:val="18"/>
              </w:rPr>
              <w:t>拥有来源快照、APIContract 及其版本基线、知识条目</w:t>
            </w:r>
          </w:p>
        </w:tc>
      </w:tr>
      <w:tr>
        <w:tc>
          <w:tcPr>
            <w:tcW w:type="dxa" w:w="2161"/>
          </w:tcPr>
          <w:p>
            <w:pPr>
              <w:spacing w:after="40"/>
            </w:pPr>
            <w:r/>
            <w:r>
              <w:rPr>
                <w:rFonts w:ascii="Times New Roman" w:hAnsi="Times New Roman" w:eastAsia="宋体"/>
                <w:b w:val="0"/>
                <w:sz w:val="18"/>
              </w:rPr>
              <w:t>测试策划与设计</w:t>
            </w:r>
          </w:p>
        </w:tc>
        <w:tc>
          <w:tcPr>
            <w:tcW w:type="dxa" w:w="2161"/>
          </w:tcPr>
          <w:p>
            <w:pPr>
              <w:spacing w:after="40"/>
            </w:pPr>
            <w:r/>
            <w:r>
              <w:rPr>
                <w:rFonts w:ascii="Times New Roman" w:hAnsi="Times New Roman" w:eastAsia="宋体"/>
                <w:b w:val="0"/>
                <w:sz w:val="18"/>
              </w:rPr>
              <w:t>模块化核心应用(TestPlanning 域)</w:t>
            </w:r>
          </w:p>
        </w:tc>
        <w:tc>
          <w:tcPr>
            <w:tcW w:type="dxa" w:w="2161"/>
          </w:tcPr>
          <w:p>
            <w:pPr>
              <w:spacing w:after="40"/>
            </w:pPr>
            <w:r/>
            <w:r>
              <w:rPr>
                <w:rFonts w:ascii="Times New Roman" w:hAnsi="Times New Roman" w:eastAsia="宋体"/>
                <w:b w:val="0"/>
                <w:sz w:val="18"/>
              </w:rPr>
              <w:t>测试策划与设计域 14 表</w:t>
            </w:r>
          </w:p>
        </w:tc>
        <w:tc>
          <w:tcPr>
            <w:tcW w:type="dxa" w:w="2161"/>
          </w:tcPr>
          <w:p>
            <w:pPr>
              <w:spacing w:after="40"/>
            </w:pPr>
            <w:r/>
            <w:r>
              <w:rPr>
                <w:rFonts w:ascii="Times New Roman" w:hAnsi="Times New Roman" w:eastAsia="宋体"/>
                <w:b w:val="0"/>
                <w:sz w:val="18"/>
              </w:rPr>
              <w:t>拥有策略、计划、场景、用例与断言</w:t>
            </w:r>
          </w:p>
        </w:tc>
      </w:tr>
      <w:tr>
        <w:tc>
          <w:tcPr>
            <w:tcW w:type="dxa" w:w="2161"/>
          </w:tcPr>
          <w:p>
            <w:pPr>
              <w:spacing w:after="40"/>
            </w:pPr>
            <w:r/>
            <w:r>
              <w:rPr>
                <w:rFonts w:ascii="Times New Roman" w:hAnsi="Times New Roman" w:eastAsia="宋体"/>
                <w:b w:val="0"/>
                <w:sz w:val="18"/>
              </w:rPr>
              <w:t>自动化测试开发</w:t>
            </w:r>
          </w:p>
        </w:tc>
        <w:tc>
          <w:tcPr>
            <w:tcW w:type="dxa" w:w="2161"/>
          </w:tcPr>
          <w:p>
            <w:pPr>
              <w:spacing w:after="40"/>
            </w:pPr>
            <w:r/>
            <w:r>
              <w:rPr>
                <w:rFonts w:ascii="Times New Roman" w:hAnsi="Times New Roman" w:eastAsia="宋体"/>
                <w:b w:val="0"/>
                <w:sz w:val="18"/>
              </w:rPr>
              <w:t>模块化核心应用(Automation 域)</w:t>
            </w:r>
          </w:p>
        </w:tc>
        <w:tc>
          <w:tcPr>
            <w:tcW w:type="dxa" w:w="2161"/>
          </w:tcPr>
          <w:p>
            <w:pPr>
              <w:spacing w:after="40"/>
            </w:pPr>
            <w:r/>
            <w:r>
              <w:rPr>
                <w:rFonts w:ascii="Times New Roman" w:hAnsi="Times New Roman" w:eastAsia="宋体"/>
                <w:b w:val="0"/>
                <w:sz w:val="18"/>
              </w:rPr>
              <w:t>自动化测试开发域 10 表</w:t>
            </w:r>
          </w:p>
        </w:tc>
        <w:tc>
          <w:tcPr>
            <w:tcW w:type="dxa" w:w="2161"/>
          </w:tcPr>
          <w:p>
            <w:pPr>
              <w:spacing w:after="40"/>
            </w:pPr>
            <w:r/>
            <w:r>
              <w:rPr>
                <w:rFonts w:ascii="Times New Roman" w:hAnsi="Times New Roman" w:eastAsia="宋体"/>
                <w:b w:val="0"/>
                <w:sz w:val="18"/>
              </w:rPr>
              <w:t>拥有脚本身份、代码版本、用例绑定与检查记录</w:t>
            </w:r>
          </w:p>
        </w:tc>
      </w:tr>
      <w:tr>
        <w:tc>
          <w:tcPr>
            <w:tcW w:type="dxa" w:w="2161"/>
          </w:tcPr>
          <w:p>
            <w:pPr>
              <w:spacing w:after="40"/>
            </w:pPr>
            <w:r/>
            <w:r>
              <w:rPr>
                <w:rFonts w:ascii="Times New Roman" w:hAnsi="Times New Roman" w:eastAsia="宋体"/>
                <w:b w:val="0"/>
                <w:sz w:val="18"/>
              </w:rPr>
              <w:t>测试执行</w:t>
            </w:r>
          </w:p>
        </w:tc>
        <w:tc>
          <w:tcPr>
            <w:tcW w:type="dxa" w:w="2161"/>
          </w:tcPr>
          <w:p>
            <w:pPr>
              <w:spacing w:after="40"/>
            </w:pPr>
            <w:r/>
            <w:r>
              <w:rPr>
                <w:rFonts w:ascii="Times New Roman" w:hAnsi="Times New Roman" w:eastAsia="宋体"/>
                <w:b w:val="0"/>
                <w:sz w:val="18"/>
              </w:rPr>
              <w:t>模块化核心应用(Execution 域)+ Runner</w:t>
            </w:r>
          </w:p>
        </w:tc>
        <w:tc>
          <w:tcPr>
            <w:tcW w:type="dxa" w:w="2161"/>
          </w:tcPr>
          <w:p>
            <w:pPr>
              <w:spacing w:after="40"/>
            </w:pPr>
            <w:r/>
            <w:r>
              <w:rPr>
                <w:rFonts w:ascii="Times New Roman" w:hAnsi="Times New Roman" w:eastAsia="宋体"/>
                <w:b w:val="0"/>
                <w:sz w:val="18"/>
              </w:rPr>
              <w:t>测试执行域 9 表</w:t>
            </w:r>
          </w:p>
        </w:tc>
        <w:tc>
          <w:tcPr>
            <w:tcW w:type="dxa" w:w="2161"/>
          </w:tcPr>
          <w:p>
            <w:pPr>
              <w:spacing w:after="40"/>
            </w:pPr>
            <w:r/>
            <w:r>
              <w:rPr>
                <w:rFonts w:ascii="Times New Roman" w:hAnsi="Times New Roman" w:eastAsia="宋体"/>
                <w:b w:val="0"/>
                <w:sz w:val="18"/>
              </w:rPr>
              <w:t>拥有执行计划、任务、结果与执行证据</w:t>
            </w:r>
          </w:p>
        </w:tc>
      </w:tr>
      <w:tr>
        <w:tc>
          <w:tcPr>
            <w:tcW w:type="dxa" w:w="2161"/>
          </w:tcPr>
          <w:p>
            <w:pPr>
              <w:spacing w:after="40"/>
            </w:pPr>
            <w:r/>
            <w:r>
              <w:rPr>
                <w:rFonts w:ascii="Times New Roman" w:hAnsi="Times New Roman" w:eastAsia="宋体"/>
                <w:b w:val="0"/>
                <w:sz w:val="18"/>
              </w:rPr>
              <w:t>质量分析与缺陷</w:t>
            </w:r>
          </w:p>
        </w:tc>
        <w:tc>
          <w:tcPr>
            <w:tcW w:type="dxa" w:w="2161"/>
          </w:tcPr>
          <w:p>
            <w:pPr>
              <w:spacing w:after="40"/>
            </w:pPr>
            <w:r/>
            <w:r>
              <w:rPr>
                <w:rFonts w:ascii="Times New Roman" w:hAnsi="Times New Roman" w:eastAsia="宋体"/>
                <w:b w:val="0"/>
                <w:sz w:val="18"/>
              </w:rPr>
              <w:t>模块化核心应用(Quality 域)</w:t>
            </w:r>
          </w:p>
        </w:tc>
        <w:tc>
          <w:tcPr>
            <w:tcW w:type="dxa" w:w="2161"/>
          </w:tcPr>
          <w:p>
            <w:pPr>
              <w:spacing w:after="40"/>
            </w:pPr>
            <w:r/>
            <w:r>
              <w:rPr>
                <w:rFonts w:ascii="Times New Roman" w:hAnsi="Times New Roman" w:eastAsia="宋体"/>
                <w:b w:val="0"/>
                <w:sz w:val="18"/>
              </w:rPr>
              <w:t>质量分析与缺陷域 17 表</w:t>
            </w:r>
          </w:p>
        </w:tc>
        <w:tc>
          <w:tcPr>
            <w:tcW w:type="dxa" w:w="2161"/>
          </w:tcPr>
          <w:p>
            <w:pPr>
              <w:spacing w:after="40"/>
            </w:pPr>
            <w:r/>
            <w:r>
              <w:rPr>
                <w:rFonts w:ascii="Times New Roman" w:hAnsi="Times New Roman" w:eastAsia="宋体"/>
                <w:b w:val="0"/>
                <w:sz w:val="18"/>
              </w:rPr>
              <w:t>拥有分析、聚类、Defect、报告、门禁与流水线</w:t>
            </w:r>
          </w:p>
        </w:tc>
      </w:tr>
      <w:tr>
        <w:tc>
          <w:tcPr>
            <w:tcW w:type="dxa" w:w="2161"/>
          </w:tcPr>
          <w:p>
            <w:pPr>
              <w:spacing w:after="40"/>
            </w:pPr>
            <w:r/>
            <w:r>
              <w:rPr>
                <w:rFonts w:ascii="Times New Roman" w:hAnsi="Times New Roman" w:eastAsia="宋体"/>
                <w:b w:val="0"/>
                <w:sz w:val="18"/>
              </w:rPr>
              <w:t>AI Agent 中心</w:t>
            </w:r>
          </w:p>
        </w:tc>
        <w:tc>
          <w:tcPr>
            <w:tcW w:type="dxa" w:w="2161"/>
          </w:tcPr>
          <w:p>
            <w:pPr>
              <w:spacing w:after="40"/>
            </w:pPr>
            <w:r/>
            <w:r>
              <w:rPr>
                <w:rFonts w:ascii="Times New Roman" w:hAnsi="Times New Roman" w:eastAsia="宋体"/>
                <w:b w:val="0"/>
                <w:sz w:val="18"/>
              </w:rPr>
              <w:t>模块化核心应用(AI 域)+ Agent Worker</w:t>
            </w:r>
          </w:p>
        </w:tc>
        <w:tc>
          <w:tcPr>
            <w:tcW w:type="dxa" w:w="2161"/>
          </w:tcPr>
          <w:p>
            <w:pPr>
              <w:spacing w:after="40"/>
            </w:pPr>
            <w:r/>
            <w:r>
              <w:rPr>
                <w:rFonts w:ascii="Times New Roman" w:hAnsi="Times New Roman" w:eastAsia="宋体"/>
                <w:b w:val="0"/>
                <w:sz w:val="18"/>
              </w:rPr>
              <w:t>AI Agent 中心域 16 表</w:t>
            </w:r>
          </w:p>
        </w:tc>
        <w:tc>
          <w:tcPr>
            <w:tcW w:type="dxa" w:w="2161"/>
          </w:tcPr>
          <w:p>
            <w:pPr>
              <w:spacing w:after="40"/>
            </w:pPr>
            <w:r/>
            <w:r>
              <w:rPr>
                <w:rFonts w:ascii="Times New Roman" w:hAnsi="Times New Roman" w:eastAsia="宋体"/>
                <w:b w:val="0"/>
                <w:sz w:val="18"/>
              </w:rPr>
              <w:t>拥有 Agent、Skill、Session 与 Trace;不拥有业务批准权</w:t>
            </w:r>
          </w:p>
        </w:tc>
      </w:tr>
      <w:tr>
        <w:tc>
          <w:tcPr>
            <w:tcW w:type="dxa" w:w="2161"/>
          </w:tcPr>
          <w:p>
            <w:pPr>
              <w:spacing w:after="40"/>
            </w:pPr>
            <w:r/>
            <w:r>
              <w:rPr>
                <w:rFonts w:ascii="Times New Roman" w:hAnsi="Times New Roman" w:eastAsia="宋体"/>
                <w:b w:val="0"/>
                <w:sz w:val="18"/>
              </w:rPr>
              <w:t>平台管理</w:t>
            </w:r>
          </w:p>
        </w:tc>
        <w:tc>
          <w:tcPr>
            <w:tcW w:type="dxa" w:w="2161"/>
          </w:tcPr>
          <w:p>
            <w:pPr>
              <w:spacing w:after="40"/>
            </w:pPr>
            <w:r/>
            <w:r>
              <w:rPr>
                <w:rFonts w:ascii="Times New Roman" w:hAnsi="Times New Roman" w:eastAsia="宋体"/>
                <w:b w:val="0"/>
                <w:sz w:val="18"/>
              </w:rPr>
              <w:t>模块化核心应用(Platform 域)+ 网关</w:t>
            </w:r>
          </w:p>
        </w:tc>
        <w:tc>
          <w:tcPr>
            <w:tcW w:type="dxa" w:w="2161"/>
          </w:tcPr>
          <w:p>
            <w:pPr>
              <w:spacing w:after="40"/>
            </w:pPr>
            <w:r/>
            <w:r>
              <w:rPr>
                <w:rFonts w:ascii="Times New Roman" w:hAnsi="Times New Roman" w:eastAsia="宋体"/>
                <w:b w:val="0"/>
                <w:sz w:val="18"/>
              </w:rPr>
              <w:t>平台管理域 10 表、RBAC 域 9 表</w:t>
            </w:r>
          </w:p>
        </w:tc>
        <w:tc>
          <w:tcPr>
            <w:tcW w:type="dxa" w:w="2161"/>
          </w:tcPr>
          <w:p>
            <w:pPr>
              <w:spacing w:after="40"/>
            </w:pPr>
            <w:r/>
            <w:r>
              <w:rPr>
                <w:rFonts w:ascii="Times New Roman" w:hAnsi="Times New Roman" w:eastAsia="宋体"/>
                <w:b w:val="0"/>
                <w:sz w:val="18"/>
              </w:rPr>
              <w:t>拥有租户、用户、Secret、模型、Runner 与集成配置</w:t>
            </w:r>
          </w:p>
        </w:tc>
      </w:tr>
    </w:tbl>
    <w:p>
      <w:pPr>
        <w:spacing w:after="120" w:line="360" w:lineRule="auto"/>
        <w:ind w:firstLine="480"/>
      </w:pPr>
      <w:r>
        <w:rPr>
          <w:rFonts w:ascii="Times New Roman" w:hAnsi="Times New Roman" w:eastAsia="宋体"/>
          <w:b w:val="0"/>
          <w:sz w:val="24"/>
        </w:rPr>
        <w:t>模块化核心应用内部按领域划分包与 Schema 边界,共享同一数据库实例但互不直接写对方表;跨模块协作通过 Owner 命令、精确版本引用与事件完成。Agent Worker 与 Runner 作为独立进程,通过消息与 API 与核心应用交互,避免 CPU 密集解析、文档处理与测试执行阻塞 API 事件循环。</w:t>
      </w:r>
    </w:p>
    <w:p>
      <w:pPr>
        <w:spacing w:after="80"/>
      </w:pPr>
      <w:r>
        <w:rPr>
          <w:rFonts w:ascii="Times New Roman" w:hAnsi="Times New Roman" w:eastAsia="宋体"/>
          <w:b w:val="0"/>
          <w:color w:val="666666"/>
          <w:sz w:val="18"/>
        </w:rPr>
        <w:t>（来源:31-系统架构设计.md §1、§9;30-技术选型决策.md §2.1、§3;05-功能模块重构方案 §5.12）</w:t>
      </w:r>
    </w:p>
    <w:p>
      <w:pPr>
        <w:pStyle w:val="Heading2"/>
        <w:spacing w:before="240" w:after="120"/>
      </w:pPr>
      <w:r>
        <w:rPr>
          <w:rFonts w:ascii="Times New Roman" w:hAnsi="Times New Roman" w:eastAsia="黑体"/>
          <w:b/>
          <w:color w:val="1F3A5F"/>
          <w:sz w:val="28"/>
        </w:rPr>
        <w:t>2.5 功能需求与程序的关系</w:t>
      </w:r>
    </w:p>
    <w:p>
      <w:pPr>
        <w:spacing w:after="120" w:line="360" w:lineRule="auto"/>
        <w:ind w:firstLine="480"/>
      </w:pPr>
      <w:r>
        <w:rPr>
          <w:rFonts w:ascii="Times New Roman" w:hAnsi="Times New Roman" w:eastAsia="宋体"/>
          <w:b w:val="0"/>
          <w:sz w:val="24"/>
        </w:rPr>
        <w:t>32 号 OpenAPI 契约将全部接口按八个模块标签组织,是功能需求到程序实现的映射依据。契约现状统计:8 个标签、82 条路径、108 个端点(按方法计数)、105 个组件 Schema;各标签对应的路径组与模块归属如下表。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API 标签</w:t>
            </w:r>
          </w:p>
        </w:tc>
        <w:tc>
          <w:tcPr>
            <w:tcW w:type="dxa" w:w="2161"/>
            <w:shd w:val="clear" w:fill="EDF0F5"/>
          </w:tcPr>
          <w:p>
            <w:pPr>
              <w:spacing w:after="40"/>
            </w:pPr>
            <w:r/>
            <w:r>
              <w:rPr>
                <w:rFonts w:ascii="Times New Roman" w:hAnsi="Times New Roman" w:eastAsia="黑体"/>
                <w:b/>
                <w:sz w:val="18"/>
              </w:rPr>
              <w:t>对应模块</w:t>
            </w:r>
          </w:p>
        </w:tc>
        <w:tc>
          <w:tcPr>
            <w:tcW w:type="dxa" w:w="2161"/>
            <w:shd w:val="clear" w:fill="EDF0F5"/>
          </w:tcPr>
          <w:p>
            <w:pPr>
              <w:spacing w:after="40"/>
            </w:pPr>
            <w:r/>
            <w:r>
              <w:rPr>
                <w:rFonts w:ascii="Times New Roman" w:hAnsi="Times New Roman" w:eastAsia="黑体"/>
                <w:b/>
                <w:sz w:val="18"/>
              </w:rPr>
              <w:t>代表性路径组</w:t>
            </w:r>
          </w:p>
        </w:tc>
        <w:tc>
          <w:tcPr>
            <w:tcW w:type="dxa" w:w="2161"/>
            <w:shd w:val="clear" w:fill="EDF0F5"/>
          </w:tcPr>
          <w:p>
            <w:pPr>
              <w:spacing w:after="40"/>
            </w:pPr>
            <w:r/>
            <w:r>
              <w:rPr>
                <w:rFonts w:ascii="Times New Roman" w:hAnsi="Times New Roman" w:eastAsia="黑体"/>
                <w:b/>
                <w:sz w:val="18"/>
              </w:rPr>
              <w:t>端点说明</w:t>
            </w:r>
          </w:p>
        </w:tc>
      </w:tr>
      <w:tr>
        <w:tc>
          <w:tcPr>
            <w:tcW w:type="dxa" w:w="2161"/>
          </w:tcPr>
          <w:p>
            <w:pPr>
              <w:spacing w:after="40"/>
            </w:pPr>
            <w:r/>
            <w:r>
              <w:rPr>
                <w:rFonts w:ascii="Times New Roman" w:hAnsi="Times New Roman" w:eastAsia="宋体"/>
                <w:b w:val="0"/>
                <w:sz w:val="18"/>
              </w:rPr>
              <w:t>WorkBoard</w:t>
            </w:r>
          </w:p>
        </w:tc>
        <w:tc>
          <w:tcPr>
            <w:tcW w:type="dxa" w:w="2161"/>
          </w:tcPr>
          <w:p>
            <w:pPr>
              <w:spacing w:after="40"/>
            </w:pPr>
            <w:r/>
            <w:r>
              <w:rPr>
                <w:rFonts w:ascii="Times New Roman" w:hAnsi="Times New Roman" w:eastAsia="宋体"/>
                <w:b w:val="0"/>
                <w:sz w:val="18"/>
              </w:rPr>
              <w:t>任务看板</w:t>
            </w:r>
          </w:p>
        </w:tc>
        <w:tc>
          <w:tcPr>
            <w:tcW w:type="dxa" w:w="2161"/>
          </w:tcPr>
          <w:p>
            <w:pPr>
              <w:spacing w:after="40"/>
            </w:pPr>
            <w:r/>
            <w:r>
              <w:rPr>
                <w:rFonts w:ascii="Times New Roman" w:hAnsi="Times New Roman" w:eastAsia="宋体"/>
                <w:b w:val="0"/>
                <w:sz w:val="18"/>
              </w:rPr>
              <w:t>/work-items、/review-tasks</w:t>
            </w:r>
          </w:p>
        </w:tc>
        <w:tc>
          <w:tcPr>
            <w:tcW w:type="dxa" w:w="2161"/>
          </w:tcPr>
          <w:p>
            <w:pPr>
              <w:spacing w:after="40"/>
            </w:pPr>
            <w:r/>
            <w:r>
              <w:rPr>
                <w:rFonts w:ascii="Times New Roman" w:hAnsi="Times New Roman" w:eastAsia="宋体"/>
                <w:b w:val="0"/>
                <w:sz w:val="18"/>
              </w:rPr>
              <w:t>工作项创建流转、运行记录、ReviewTask 与审核决定</w:t>
            </w:r>
          </w:p>
        </w:tc>
      </w:tr>
      <w:tr>
        <w:tc>
          <w:tcPr>
            <w:tcW w:type="dxa" w:w="2161"/>
          </w:tcPr>
          <w:p>
            <w:pPr>
              <w:spacing w:after="40"/>
            </w:pPr>
            <w:r/>
            <w:r>
              <w:rPr>
                <w:rFonts w:ascii="Times New Roman" w:hAnsi="Times New Roman" w:eastAsia="宋体"/>
                <w:b w:val="0"/>
                <w:sz w:val="18"/>
              </w:rPr>
              <w:t>Knowledge</w:t>
            </w:r>
          </w:p>
        </w:tc>
        <w:tc>
          <w:tcPr>
            <w:tcW w:type="dxa" w:w="2161"/>
          </w:tcPr>
          <w:p>
            <w:pPr>
              <w:spacing w:after="40"/>
            </w:pPr>
            <w:r/>
            <w:r>
              <w:rPr>
                <w:rFonts w:ascii="Times New Roman" w:hAnsi="Times New Roman" w:eastAsia="宋体"/>
                <w:b w:val="0"/>
                <w:sz w:val="18"/>
              </w:rPr>
              <w:t>知识库</w:t>
            </w:r>
          </w:p>
        </w:tc>
        <w:tc>
          <w:tcPr>
            <w:tcW w:type="dxa" w:w="2161"/>
          </w:tcPr>
          <w:p>
            <w:pPr>
              <w:spacing w:after="40"/>
            </w:pPr>
            <w:r/>
            <w:r>
              <w:rPr>
                <w:rFonts w:ascii="Times New Roman" w:hAnsi="Times New Roman" w:eastAsia="宋体"/>
                <w:b w:val="0"/>
                <w:sz w:val="18"/>
              </w:rPr>
              <w:t>/knowledge/api-contracts、/knowledge/entries、/knowledge/candidates</w:t>
            </w:r>
          </w:p>
        </w:tc>
        <w:tc>
          <w:tcPr>
            <w:tcW w:type="dxa" w:w="2161"/>
          </w:tcPr>
          <w:p>
            <w:pPr>
              <w:spacing w:after="40"/>
            </w:pPr>
            <w:r/>
            <w:r>
              <w:rPr>
                <w:rFonts w:ascii="Times New Roman" w:hAnsi="Times New Roman" w:eastAsia="宋体"/>
                <w:b w:val="0"/>
                <w:sz w:val="18"/>
              </w:rPr>
              <w:t>契约版本、知识条目与候选审核</w:t>
            </w:r>
          </w:p>
        </w:tc>
      </w:tr>
      <w:tr>
        <w:tc>
          <w:tcPr>
            <w:tcW w:type="dxa" w:w="2161"/>
          </w:tcPr>
          <w:p>
            <w:pPr>
              <w:spacing w:after="40"/>
            </w:pPr>
            <w:r/>
            <w:r>
              <w:rPr>
                <w:rFonts w:ascii="Times New Roman" w:hAnsi="Times New Roman" w:eastAsia="宋体"/>
                <w:b w:val="0"/>
                <w:sz w:val="18"/>
              </w:rPr>
              <w:t>TestPlanning</w:t>
            </w:r>
          </w:p>
        </w:tc>
        <w:tc>
          <w:tcPr>
            <w:tcW w:type="dxa" w:w="2161"/>
          </w:tcPr>
          <w:p>
            <w:pPr>
              <w:spacing w:after="40"/>
            </w:pPr>
            <w:r/>
            <w:r>
              <w:rPr>
                <w:rFonts w:ascii="Times New Roman" w:hAnsi="Times New Roman" w:eastAsia="宋体"/>
                <w:b w:val="0"/>
                <w:sz w:val="18"/>
              </w:rPr>
              <w:t>测试策划与设计</w:t>
            </w:r>
          </w:p>
        </w:tc>
        <w:tc>
          <w:tcPr>
            <w:tcW w:type="dxa" w:w="2161"/>
          </w:tcPr>
          <w:p>
            <w:pPr>
              <w:spacing w:after="40"/>
            </w:pPr>
            <w:r/>
            <w:r>
              <w:rPr>
                <w:rFonts w:ascii="Times New Roman" w:hAnsi="Times New Roman" w:eastAsia="宋体"/>
                <w:b w:val="0"/>
                <w:sz w:val="18"/>
              </w:rPr>
              <w:t>/test-strategies、/test-plans、/test-cases、/testing-irs、/test-scenarios、/test-suites</w:t>
            </w:r>
          </w:p>
        </w:tc>
        <w:tc>
          <w:tcPr>
            <w:tcW w:type="dxa" w:w="2161"/>
          </w:tcPr>
          <w:p>
            <w:pPr>
              <w:spacing w:after="40"/>
            </w:pPr>
            <w:r/>
            <w:r>
              <w:rPr>
                <w:rFonts w:ascii="Times New Roman" w:hAnsi="Times New Roman" w:eastAsia="宋体"/>
                <w:b w:val="0"/>
                <w:sz w:val="18"/>
              </w:rPr>
              <w:t>策略计划用例的草稿、版本与编译</w:t>
            </w:r>
          </w:p>
        </w:tc>
      </w:tr>
      <w:tr>
        <w:tc>
          <w:tcPr>
            <w:tcW w:type="dxa" w:w="2161"/>
          </w:tcPr>
          <w:p>
            <w:pPr>
              <w:spacing w:after="40"/>
            </w:pPr>
            <w:r/>
            <w:r>
              <w:rPr>
                <w:rFonts w:ascii="Times New Roman" w:hAnsi="Times New Roman" w:eastAsia="宋体"/>
                <w:b w:val="0"/>
                <w:sz w:val="18"/>
              </w:rPr>
              <w:t>Automation</w:t>
            </w:r>
          </w:p>
        </w:tc>
        <w:tc>
          <w:tcPr>
            <w:tcW w:type="dxa" w:w="2161"/>
          </w:tcPr>
          <w:p>
            <w:pPr>
              <w:spacing w:after="40"/>
            </w:pPr>
            <w:r/>
            <w:r>
              <w:rPr>
                <w:rFonts w:ascii="Times New Roman" w:hAnsi="Times New Roman" w:eastAsia="宋体"/>
                <w:b w:val="0"/>
                <w:sz w:val="18"/>
              </w:rPr>
              <w:t>自动化测试开发</w:t>
            </w:r>
          </w:p>
        </w:tc>
        <w:tc>
          <w:tcPr>
            <w:tcW w:type="dxa" w:w="2161"/>
          </w:tcPr>
          <w:p>
            <w:pPr>
              <w:spacing w:after="40"/>
            </w:pPr>
            <w:r/>
            <w:r>
              <w:rPr>
                <w:rFonts w:ascii="Times New Roman" w:hAnsi="Times New Roman" w:eastAsia="宋体"/>
                <w:b w:val="0"/>
                <w:sz w:val="18"/>
              </w:rPr>
              <w:t>/automation/scripts、/automation/script-versions、/automation/locators、/automation/mocks</w:t>
            </w:r>
          </w:p>
        </w:tc>
        <w:tc>
          <w:tcPr>
            <w:tcW w:type="dxa" w:w="2161"/>
          </w:tcPr>
          <w:p>
            <w:pPr>
              <w:spacing w:after="40"/>
            </w:pPr>
            <w:r/>
            <w:r>
              <w:rPr>
                <w:rFonts w:ascii="Times New Roman" w:hAnsi="Times New Roman" w:eastAsia="宋体"/>
                <w:b w:val="0"/>
                <w:sz w:val="18"/>
              </w:rPr>
              <w:t>脚本版本、检查运行、数据与定位器</w:t>
            </w:r>
          </w:p>
        </w:tc>
      </w:tr>
      <w:tr>
        <w:tc>
          <w:tcPr>
            <w:tcW w:type="dxa" w:w="2161"/>
          </w:tcPr>
          <w:p>
            <w:pPr>
              <w:spacing w:after="40"/>
            </w:pPr>
            <w:r/>
            <w:r>
              <w:rPr>
                <w:rFonts w:ascii="Times New Roman" w:hAnsi="Times New Roman" w:eastAsia="宋体"/>
                <w:b w:val="0"/>
                <w:sz w:val="18"/>
              </w:rPr>
              <w:t>Execution</w:t>
            </w:r>
          </w:p>
        </w:tc>
        <w:tc>
          <w:tcPr>
            <w:tcW w:type="dxa" w:w="2161"/>
          </w:tcPr>
          <w:p>
            <w:pPr>
              <w:spacing w:after="40"/>
            </w:pPr>
            <w:r/>
            <w:r>
              <w:rPr>
                <w:rFonts w:ascii="Times New Roman" w:hAnsi="Times New Roman" w:eastAsia="宋体"/>
                <w:b w:val="0"/>
                <w:sz w:val="18"/>
              </w:rPr>
              <w:t>测试执行</w:t>
            </w:r>
          </w:p>
        </w:tc>
        <w:tc>
          <w:tcPr>
            <w:tcW w:type="dxa" w:w="2161"/>
          </w:tcPr>
          <w:p>
            <w:pPr>
              <w:spacing w:after="40"/>
            </w:pPr>
            <w:r/>
            <w:r>
              <w:rPr>
                <w:rFonts w:ascii="Times New Roman" w:hAnsi="Times New Roman" w:eastAsia="宋体"/>
                <w:b w:val="0"/>
                <w:sz w:val="18"/>
              </w:rPr>
              <w:t>/execution-plans、/execution-tasks、/execution-results</w:t>
            </w:r>
          </w:p>
        </w:tc>
        <w:tc>
          <w:tcPr>
            <w:tcW w:type="dxa" w:w="2161"/>
          </w:tcPr>
          <w:p>
            <w:pPr>
              <w:spacing w:after="40"/>
            </w:pPr>
            <w:r/>
            <w:r>
              <w:rPr>
                <w:rFonts w:ascii="Times New Roman" w:hAnsi="Times New Roman" w:eastAsia="宋体"/>
                <w:b w:val="0"/>
                <w:sz w:val="18"/>
              </w:rPr>
              <w:t>计划版本冻结、任务取消、结果与制品读取</w:t>
            </w:r>
          </w:p>
        </w:tc>
      </w:tr>
      <w:tr>
        <w:tc>
          <w:tcPr>
            <w:tcW w:type="dxa" w:w="2161"/>
          </w:tcPr>
          <w:p>
            <w:pPr>
              <w:spacing w:after="40"/>
            </w:pPr>
            <w:r/>
            <w:r>
              <w:rPr>
                <w:rFonts w:ascii="Times New Roman" w:hAnsi="Times New Roman" w:eastAsia="宋体"/>
                <w:b w:val="0"/>
                <w:sz w:val="18"/>
              </w:rPr>
              <w:t>Quality</w:t>
            </w:r>
          </w:p>
        </w:tc>
        <w:tc>
          <w:tcPr>
            <w:tcW w:type="dxa" w:w="2161"/>
          </w:tcPr>
          <w:p>
            <w:pPr>
              <w:spacing w:after="40"/>
            </w:pPr>
            <w:r/>
            <w:r>
              <w:rPr>
                <w:rFonts w:ascii="Times New Roman" w:hAnsi="Times New Roman" w:eastAsia="宋体"/>
                <w:b w:val="0"/>
                <w:sz w:val="18"/>
              </w:rPr>
              <w:t>质量分析与缺陷</w:t>
            </w:r>
          </w:p>
        </w:tc>
        <w:tc>
          <w:tcPr>
            <w:tcW w:type="dxa" w:w="2161"/>
          </w:tcPr>
          <w:p>
            <w:pPr>
              <w:spacing w:after="40"/>
            </w:pPr>
            <w:r/>
            <w:r>
              <w:rPr>
                <w:rFonts w:ascii="Times New Roman" w:hAnsi="Times New Roman" w:eastAsia="宋体"/>
                <w:b w:val="0"/>
                <w:sz w:val="18"/>
              </w:rPr>
              <w:t>/quality/defects、/quality/failure-clusters、/quality/coverage-reports</w:t>
            </w:r>
          </w:p>
        </w:tc>
        <w:tc>
          <w:tcPr>
            <w:tcW w:type="dxa" w:w="2161"/>
          </w:tcPr>
          <w:p>
            <w:pPr>
              <w:spacing w:after="40"/>
            </w:pPr>
            <w:r/>
            <w:r>
              <w:rPr>
                <w:rFonts w:ascii="Times New Roman" w:hAnsi="Times New Roman" w:eastAsia="宋体"/>
                <w:b w:val="0"/>
                <w:sz w:val="18"/>
              </w:rPr>
              <w:t>Defect 版本与状态流转、同步尝试、聚类与覆盖</w:t>
            </w:r>
          </w:p>
        </w:tc>
      </w:tr>
      <w:tr>
        <w:tc>
          <w:tcPr>
            <w:tcW w:type="dxa" w:w="2161"/>
          </w:tcPr>
          <w:p>
            <w:pPr>
              <w:spacing w:after="40"/>
            </w:pPr>
            <w:r/>
            <w:r>
              <w:rPr>
                <w:rFonts w:ascii="Times New Roman" w:hAnsi="Times New Roman" w:eastAsia="宋体"/>
                <w:b w:val="0"/>
                <w:sz w:val="18"/>
              </w:rPr>
              <w:t>AIAgentCenter</w:t>
            </w:r>
          </w:p>
        </w:tc>
        <w:tc>
          <w:tcPr>
            <w:tcW w:type="dxa" w:w="2161"/>
          </w:tcPr>
          <w:p>
            <w:pPr>
              <w:spacing w:after="40"/>
            </w:pPr>
            <w:r/>
            <w:r>
              <w:rPr>
                <w:rFonts w:ascii="Times New Roman" w:hAnsi="Times New Roman" w:eastAsia="宋体"/>
                <w:b w:val="0"/>
                <w:sz w:val="18"/>
              </w:rPr>
              <w:t>AI Agent 中心</w:t>
            </w:r>
          </w:p>
        </w:tc>
        <w:tc>
          <w:tcPr>
            <w:tcW w:type="dxa" w:w="2161"/>
          </w:tcPr>
          <w:p>
            <w:pPr>
              <w:spacing w:after="40"/>
            </w:pPr>
            <w:r/>
            <w:r>
              <w:rPr>
                <w:rFonts w:ascii="Times New Roman" w:hAnsi="Times New Roman" w:eastAsia="宋体"/>
                <w:b w:val="0"/>
                <w:sz w:val="18"/>
              </w:rPr>
              <w:t>/ai/agents、/ai/sessions、/ai/eval-runs、/ai/calibrations、/ai/independent-verify</w:t>
            </w:r>
          </w:p>
        </w:tc>
        <w:tc>
          <w:tcPr>
            <w:tcW w:type="dxa" w:w="2161"/>
          </w:tcPr>
          <w:p>
            <w:pPr>
              <w:spacing w:after="40"/>
            </w:pPr>
            <w:r/>
            <w:r>
              <w:rPr>
                <w:rFonts w:ascii="Times New Roman" w:hAnsi="Times New Roman" w:eastAsia="宋体"/>
                <w:b w:val="0"/>
                <w:sz w:val="18"/>
              </w:rPr>
              <w:t>会话、评测、校准与独立验证</w:t>
            </w:r>
          </w:p>
        </w:tc>
      </w:tr>
      <w:tr>
        <w:tc>
          <w:tcPr>
            <w:tcW w:type="dxa" w:w="2161"/>
          </w:tcPr>
          <w:p>
            <w:pPr>
              <w:spacing w:after="40"/>
            </w:pPr>
            <w:r/>
            <w:r>
              <w:rPr>
                <w:rFonts w:ascii="Times New Roman" w:hAnsi="Times New Roman" w:eastAsia="宋体"/>
                <w:b w:val="0"/>
                <w:sz w:val="18"/>
              </w:rPr>
              <w:t>Platform</w:t>
            </w:r>
          </w:p>
        </w:tc>
        <w:tc>
          <w:tcPr>
            <w:tcW w:type="dxa" w:w="2161"/>
          </w:tcPr>
          <w:p>
            <w:pPr>
              <w:spacing w:after="40"/>
            </w:pPr>
            <w:r/>
            <w:r>
              <w:rPr>
                <w:rFonts w:ascii="Times New Roman" w:hAnsi="Times New Roman" w:eastAsia="宋体"/>
                <w:b w:val="0"/>
                <w:sz w:val="18"/>
              </w:rPr>
              <w:t>平台管理</w:t>
            </w:r>
          </w:p>
        </w:tc>
        <w:tc>
          <w:tcPr>
            <w:tcW w:type="dxa" w:w="2161"/>
          </w:tcPr>
          <w:p>
            <w:pPr>
              <w:spacing w:after="40"/>
            </w:pPr>
            <w:r/>
            <w:r>
              <w:rPr>
                <w:rFonts w:ascii="Times New Roman" w:hAnsi="Times New Roman" w:eastAsia="宋体"/>
                <w:b w:val="0"/>
                <w:sz w:val="18"/>
              </w:rPr>
              <w:t>/platform/workspaces、/platform/runners、/platform/integrations、/platform/role-bindings、/platform/audit-logs、/auth/*</w:t>
            </w:r>
          </w:p>
        </w:tc>
        <w:tc>
          <w:tcPr>
            <w:tcW w:type="dxa" w:w="2161"/>
          </w:tcPr>
          <w:p>
            <w:pPr>
              <w:spacing w:after="40"/>
            </w:pPr>
            <w:r/>
            <w:r>
              <w:rPr>
                <w:rFonts w:ascii="Times New Roman" w:hAnsi="Times New Roman" w:eastAsia="宋体"/>
                <w:b w:val="0"/>
                <w:sz w:val="18"/>
              </w:rPr>
              <w:t>工作区、Runner、集成、RBAC 与审计;认证端点归平台域</w:t>
            </w:r>
          </w:p>
        </w:tc>
      </w:tr>
    </w:tbl>
    <w:p>
      <w:pPr>
        <w:spacing w:after="120" w:line="360" w:lineRule="auto"/>
        <w:ind w:firstLine="480"/>
      </w:pPr>
      <w:r>
        <w:rPr>
          <w:rFonts w:ascii="Times New Roman" w:hAnsi="Times New Roman" w:eastAsia="宋体"/>
          <w:b w:val="0"/>
          <w:sz w:val="24"/>
        </w:rPr>
        <w:t>各路径组在实现上对应模块化核心应用内的同名领域服务;网关只承担认证与路由,不承载业务逻辑;Runner 心跳(/runners/heartbeat)与 WebSocket 流通道作为执行与实时能力的补充接口独立存在。功能需求与程序的关系满足"OpenAPI 是目标契约,实现不得自行创造第二套实体或状态"的约束。</w:t>
      </w:r>
    </w:p>
    <w:p>
      <w:pPr>
        <w:spacing w:after="80"/>
      </w:pPr>
      <w:r>
        <w:rPr>
          <w:rFonts w:ascii="Times New Roman" w:hAnsi="Times New Roman" w:eastAsia="宋体"/>
          <w:b w:val="0"/>
          <w:color w:val="666666"/>
          <w:sz w:val="18"/>
        </w:rPr>
        <w:t>（来源:32-API规范.yaml tags/paths;30-技术选型决策.md §3;37-API接口总览.md）</w:t>
      </w:r>
    </w:p>
    <w:p>
      <w:pPr>
        <w:pStyle w:val="Heading2"/>
        <w:spacing w:before="240" w:after="120"/>
      </w:pPr>
      <w:r>
        <w:rPr>
          <w:rFonts w:ascii="Times New Roman" w:hAnsi="Times New Roman" w:eastAsia="黑体"/>
          <w:b/>
          <w:color w:val="1F3A5F"/>
          <w:sz w:val="28"/>
        </w:rPr>
        <w:t>2.6 人工处理过程</w:t>
      </w:r>
    </w:p>
    <w:p>
      <w:pPr>
        <w:spacing w:after="120" w:line="360" w:lineRule="auto"/>
        <w:ind w:firstLine="480"/>
      </w:pPr>
      <w:r>
        <w:rPr>
          <w:rFonts w:ascii="Times New Roman" w:hAnsi="Times New Roman" w:eastAsia="宋体"/>
          <w:b w:val="0"/>
          <w:sz w:val="24"/>
        </w:rPr>
        <w:t>系统中保留四类必须人工介入的处理过程。第一类是正式产出物审核与批准:策略、计划、正式用例、自动化代码、结果分析结论、Defect、报告与知识条目的正式生效必须以 ReviewTask 为载体的审核通过为前提,批准算法在服务端按策略版本、能力、作用域与职责分离重新计算,AI 与管理员开关均不能替代。第二类是例外裁决与高风险放行:质量门禁豁免、外部写入批准、放宽网络或 Secret 权限、策略范围例外,均要求有权限人员即时批准并填写理由与时限。第三类是阻塞处理与人工补录:WorkItem 因输入、依赖、权限、环境或质量原因 BLOCKED 时由负责人决定继续、改为人工或取消;人工测试结果补录、非缺陷结论、重复缺陷确认、回归验证确认等只能由人工完成。第四类是紧急与支持访问:平台支持人员访问租户数据必须走限时、带理由、强审计的 SupportAccessGrant,break-glass 仅用于恢复可用性,不得用于伪造业务批准或篡改执行结果。所有人工处理过程均写入只追加的 ReviewDecision、AuthorizationDecision 与 AuditLog。</w:t>
      </w:r>
    </w:p>
    <w:p>
      <w:pPr>
        <w:spacing w:after="80"/>
      </w:pPr>
      <w:r>
        <w:rPr>
          <w:rFonts w:ascii="Times New Roman" w:hAnsi="Times New Roman" w:eastAsia="宋体"/>
          <w:b w:val="0"/>
          <w:color w:val="666666"/>
          <w:sz w:val="18"/>
        </w:rPr>
        <w:t>（来源:05-功能模块重构方案 §5.6、§5.11;34-认证授权设计.md §5、§8、§9）</w:t>
      </w:r>
    </w:p>
    <w:p>
      <w:pPr>
        <w:pStyle w:val="Heading2"/>
        <w:spacing w:before="240" w:after="120"/>
      </w:pPr>
      <w:r>
        <w:rPr>
          <w:rFonts w:ascii="Times New Roman" w:hAnsi="Times New Roman" w:eastAsia="黑体"/>
          <w:b/>
          <w:color w:val="1F3A5F"/>
          <w:sz w:val="28"/>
        </w:rPr>
        <w:t>2.7 尚未解决的问题</w:t>
      </w:r>
    </w:p>
    <w:p>
      <w:pPr>
        <w:spacing w:after="120" w:line="360" w:lineRule="auto"/>
        <w:ind w:firstLine="480"/>
      </w:pPr>
      <w:r>
        <w:rPr>
          <w:rFonts w:ascii="Times New Roman" w:hAnsi="Times New Roman" w:eastAsia="宋体"/>
          <w:b w:val="0"/>
          <w:sz w:val="24"/>
        </w:rPr>
        <w:t>以下事项在 V1 实现前需通过 Spike、基准或实测裁决,本设计不先验宣称已解决。其一,消息中间件最终选型:RabbitMQ 与 Redis Streams 的分工或二选一,以负载、运维、顺序与重试需求实测决定,不双上。其二,LangGraph 是否满足取消、恢复、版本迁移与多租户隔离,需 Gate 0 真实最小运行验证。其三,106 张目标表的最终形态:是否在实现阶段按聚合拆分或简化,需空库迁移与索引实测确认。其四,PGVector 混合检索在真实知识量下的召回、延迟与运维成本。其五,V1 是否需要 Kubernetes,本地与单节点试点可先用更简单编排。其六,数据库 Profile 升级触发条件与 Stage 4 数据的迁移衔接。其七,各版本并发量、延迟、可用性与 AI 准确率目标值,须先建立基线再批准,不以文档承诺替代实测。</w:t>
      </w:r>
    </w:p>
    <w:p>
      <w:pPr>
        <w:spacing w:after="80"/>
      </w:pPr>
      <w:r>
        <w:rPr>
          <w:rFonts w:ascii="Times New Roman" w:hAnsi="Times New Roman" w:eastAsia="宋体"/>
          <w:b w:val="0"/>
          <w:color w:val="666666"/>
          <w:sz w:val="18"/>
        </w:rPr>
        <w:t>（来源:30-技术选型决策.md §4;31-系统架构设计.md §9;20-非功能需求.md §1、§2）</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3 章 接口设计</w:t>
      </w:r>
    </w:p>
    <w:p>
      <w:pPr>
        <w:pStyle w:val="Heading2"/>
        <w:spacing w:before="240" w:after="120"/>
      </w:pPr>
      <w:r>
        <w:rPr>
          <w:rFonts w:ascii="Times New Roman" w:hAnsi="Times New Roman" w:eastAsia="黑体"/>
          <w:b/>
          <w:color w:val="1F3A5F"/>
          <w:sz w:val="28"/>
        </w:rPr>
        <w:t>3.1 外部接口</w:t>
      </w:r>
    </w:p>
    <w:p>
      <w:pPr>
        <w:spacing w:after="120" w:line="360" w:lineRule="auto"/>
        <w:ind w:firstLine="480"/>
      </w:pPr>
      <w:r>
        <w:rPr>
          <w:rFonts w:ascii="Times New Roman" w:hAnsi="Times New Roman" w:eastAsia="宋体"/>
          <w:b w:val="0"/>
          <w:sz w:val="24"/>
        </w:rPr>
        <w:t>系统与外部系统的接口分为六类:模型服务、缺陷系统、代码仓库、CI/CD、密钥管理、身份提供方,另含对象存储与消息队列两类基础设施接口。外部接口清单如下表。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外部系统</w:t>
            </w:r>
          </w:p>
        </w:tc>
        <w:tc>
          <w:tcPr>
            <w:tcW w:type="dxa" w:w="2161"/>
            <w:shd w:val="clear" w:fill="EDF0F5"/>
          </w:tcPr>
          <w:p>
            <w:pPr>
              <w:spacing w:after="40"/>
            </w:pPr>
            <w:r/>
            <w:r>
              <w:rPr>
                <w:rFonts w:ascii="Times New Roman" w:hAnsi="Times New Roman" w:eastAsia="黑体"/>
                <w:b/>
                <w:sz w:val="18"/>
              </w:rPr>
              <w:t>接口用途</w:t>
            </w:r>
          </w:p>
        </w:tc>
        <w:tc>
          <w:tcPr>
            <w:tcW w:type="dxa" w:w="2161"/>
            <w:shd w:val="clear" w:fill="EDF0F5"/>
          </w:tcPr>
          <w:p>
            <w:pPr>
              <w:spacing w:after="40"/>
            </w:pPr>
            <w:r/>
            <w:r>
              <w:rPr>
                <w:rFonts w:ascii="Times New Roman" w:hAnsi="Times New Roman" w:eastAsia="黑体"/>
                <w:b/>
                <w:sz w:val="18"/>
              </w:rPr>
              <w:t>关键机制</w:t>
            </w:r>
          </w:p>
        </w:tc>
        <w:tc>
          <w:tcPr>
            <w:tcW w:type="dxa" w:w="2161"/>
            <w:shd w:val="clear" w:fill="EDF0F5"/>
          </w:tcPr>
          <w:p>
            <w:pPr>
              <w:spacing w:after="40"/>
            </w:pPr>
            <w:r/>
            <w:r>
              <w:rPr>
                <w:rFonts w:ascii="Times New Roman" w:hAnsi="Times New Roman" w:eastAsia="黑体"/>
                <w:b/>
                <w:sz w:val="18"/>
              </w:rPr>
              <w:t>安全与一致性要求</w:t>
            </w:r>
          </w:p>
        </w:tc>
      </w:tr>
      <w:tr>
        <w:tc>
          <w:tcPr>
            <w:tcW w:type="dxa" w:w="2161"/>
          </w:tcPr>
          <w:p>
            <w:pPr>
              <w:spacing w:after="40"/>
            </w:pPr>
            <w:r/>
            <w:r>
              <w:rPr>
                <w:rFonts w:ascii="Times New Roman" w:hAnsi="Times New Roman" w:eastAsia="宋体"/>
                <w:b w:val="0"/>
                <w:sz w:val="18"/>
              </w:rPr>
              <w:t>LLM 网关/模型 Provider</w:t>
            </w:r>
          </w:p>
        </w:tc>
        <w:tc>
          <w:tcPr>
            <w:tcW w:type="dxa" w:w="2161"/>
          </w:tcPr>
          <w:p>
            <w:pPr>
              <w:spacing w:after="40"/>
            </w:pPr>
            <w:r/>
            <w:r>
              <w:rPr>
                <w:rFonts w:ascii="Times New Roman" w:hAnsi="Times New Roman" w:eastAsia="宋体"/>
                <w:b w:val="0"/>
                <w:sz w:val="18"/>
              </w:rPr>
              <w:t>Agent 生成、独立验证、分析等 AI 调用</w:t>
            </w:r>
          </w:p>
        </w:tc>
        <w:tc>
          <w:tcPr>
            <w:tcW w:type="dxa" w:w="2161"/>
          </w:tcPr>
          <w:p>
            <w:pPr>
              <w:spacing w:after="40"/>
            </w:pPr>
            <w:r/>
            <w:r>
              <w:rPr>
                <w:rFonts w:ascii="Times New Roman" w:hAnsi="Times New Roman" w:eastAsia="宋体"/>
                <w:b w:val="0"/>
                <w:sz w:val="18"/>
              </w:rPr>
              <w:t>LlmConfig 按租户自配模型与 Key;网关统一路由、额度、成本与健康度</w:t>
            </w:r>
          </w:p>
        </w:tc>
        <w:tc>
          <w:tcPr>
            <w:tcW w:type="dxa" w:w="2161"/>
          </w:tcPr>
          <w:p>
            <w:pPr>
              <w:spacing w:after="40"/>
            </w:pPr>
            <w:r/>
            <w:r>
              <w:rPr>
                <w:rFonts w:ascii="Times New Roman" w:hAnsi="Times New Roman" w:eastAsia="宋体"/>
                <w:b w:val="0"/>
                <w:sz w:val="18"/>
              </w:rPr>
              <w:t>Key 经 KMS 双信封加密存储;超时、预算、熔断与明确降级;L2 工作流在 LLM 持续不可用时停止自动节点并保留草稿</w:t>
            </w:r>
          </w:p>
        </w:tc>
      </w:tr>
      <w:tr>
        <w:tc>
          <w:tcPr>
            <w:tcW w:type="dxa" w:w="2161"/>
          </w:tcPr>
          <w:p>
            <w:pPr>
              <w:spacing w:after="40"/>
            </w:pPr>
            <w:r/>
            <w:r>
              <w:rPr>
                <w:rFonts w:ascii="Times New Roman" w:hAnsi="Times New Roman" w:eastAsia="宋体"/>
                <w:b w:val="0"/>
                <w:sz w:val="18"/>
              </w:rPr>
              <w:t>缺陷系统(Jira/PingCode/GitHub Issues/Azure DevOps)</w:t>
            </w:r>
          </w:p>
        </w:tc>
        <w:tc>
          <w:tcPr>
            <w:tcW w:type="dxa" w:w="2161"/>
          </w:tcPr>
          <w:p>
            <w:pPr>
              <w:spacing w:after="40"/>
            </w:pPr>
            <w:r/>
            <w:r>
              <w:rPr>
                <w:rFonts w:ascii="Times New Roman" w:hAnsi="Times New Roman" w:eastAsia="宋体"/>
                <w:b w:val="0"/>
                <w:sz w:val="18"/>
              </w:rPr>
              <w:t>Defect 创建、更新、评论、状态流转、附件</w:t>
            </w:r>
          </w:p>
        </w:tc>
        <w:tc>
          <w:tcPr>
            <w:tcW w:type="dxa" w:w="2161"/>
          </w:tcPr>
          <w:p>
            <w:pPr>
              <w:spacing w:after="40"/>
            </w:pPr>
            <w:r/>
            <w:r>
              <w:rPr>
                <w:rFonts w:ascii="Times New Roman" w:hAnsi="Times New Roman" w:eastAsia="宋体"/>
                <w:b w:val="0"/>
                <w:sz w:val="18"/>
              </w:rPr>
              <w:t>厂商中立 ExternalDefectLink 加 DefectSyncAttempt;幂等键由集成、操作、版本与负载摘要派生</w:t>
            </w:r>
          </w:p>
        </w:tc>
        <w:tc>
          <w:tcPr>
            <w:tcW w:type="dxa" w:w="2161"/>
          </w:tcPr>
          <w:p>
            <w:pPr>
              <w:spacing w:after="40"/>
            </w:pPr>
            <w:r/>
            <w:r>
              <w:rPr>
                <w:rFonts w:ascii="Times New Roman" w:hAnsi="Times New Roman" w:eastAsia="宋体"/>
                <w:b w:val="0"/>
                <w:sz w:val="18"/>
              </w:rPr>
              <w:t>每次写入前人工 EXTERNAL_WRITE 批准;批准绑定 provider、integrationId、operation、版本与摘要;远端冲突进入 CONFLICT 不覆盖;逐条回执</w:t>
            </w:r>
          </w:p>
        </w:tc>
      </w:tr>
      <w:tr>
        <w:tc>
          <w:tcPr>
            <w:tcW w:type="dxa" w:w="2161"/>
          </w:tcPr>
          <w:p>
            <w:pPr>
              <w:spacing w:after="40"/>
            </w:pPr>
            <w:r/>
            <w:r>
              <w:rPr>
                <w:rFonts w:ascii="Times New Roman" w:hAnsi="Times New Roman" w:eastAsia="宋体"/>
                <w:b w:val="0"/>
                <w:sz w:val="18"/>
              </w:rPr>
              <w:t>Git 仓库</w:t>
            </w:r>
          </w:p>
        </w:tc>
        <w:tc>
          <w:tcPr>
            <w:tcW w:type="dxa" w:w="2161"/>
          </w:tcPr>
          <w:p>
            <w:pPr>
              <w:spacing w:after="40"/>
            </w:pPr>
            <w:r/>
            <w:r>
              <w:rPr>
                <w:rFonts w:ascii="Times New Roman" w:hAnsi="Times New Roman" w:eastAsia="宋体"/>
                <w:b w:val="0"/>
                <w:sz w:val="18"/>
              </w:rPr>
              <w:t>自动化代码的 GIT 模式权威源与提交/PR</w:t>
            </w:r>
          </w:p>
        </w:tc>
        <w:tc>
          <w:tcPr>
            <w:tcW w:type="dxa" w:w="2161"/>
          </w:tcPr>
          <w:p>
            <w:pPr>
              <w:spacing w:after="40"/>
            </w:pPr>
            <w:r/>
            <w:r>
              <w:rPr>
                <w:rFonts w:ascii="Times New Roman" w:hAnsi="Times New Roman" w:eastAsia="宋体"/>
                <w:b w:val="0"/>
                <w:sz w:val="18"/>
              </w:rPr>
              <w:t>RepositoryIntegration 管理凭证;执行与批准绑定 full commit SHA、file path、blob SHA 与 digest</w:t>
            </w:r>
          </w:p>
        </w:tc>
        <w:tc>
          <w:tcPr>
            <w:tcW w:type="dxa" w:w="2161"/>
          </w:tcPr>
          <w:p>
            <w:pPr>
              <w:spacing w:after="40"/>
            </w:pPr>
            <w:r/>
            <w:r>
              <w:rPr>
                <w:rFonts w:ascii="Times New Roman" w:hAnsi="Times New Roman" w:eastAsia="宋体"/>
                <w:b w:val="0"/>
                <w:sz w:val="18"/>
              </w:rPr>
              <w:t>平台只存集成引用不存 Token;推送/PR 属外部写入须批准;提交后回读摘要确认一致</w:t>
            </w:r>
          </w:p>
        </w:tc>
      </w:tr>
      <w:tr>
        <w:tc>
          <w:tcPr>
            <w:tcW w:type="dxa" w:w="2161"/>
          </w:tcPr>
          <w:p>
            <w:pPr>
              <w:spacing w:after="40"/>
            </w:pPr>
            <w:r/>
            <w:r>
              <w:rPr>
                <w:rFonts w:ascii="Times New Roman" w:hAnsi="Times New Roman" w:eastAsia="宋体"/>
                <w:b w:val="0"/>
                <w:sz w:val="18"/>
              </w:rPr>
              <w:t>CI/CD 流水线</w:t>
            </w:r>
          </w:p>
        </w:tc>
        <w:tc>
          <w:tcPr>
            <w:tcW w:type="dxa" w:w="2161"/>
          </w:tcPr>
          <w:p>
            <w:pPr>
              <w:spacing w:after="40"/>
            </w:pPr>
            <w:r/>
            <w:r>
              <w:rPr>
                <w:rFonts w:ascii="Times New Roman" w:hAnsi="Times New Roman" w:eastAsia="宋体"/>
                <w:b w:val="0"/>
                <w:sz w:val="18"/>
              </w:rPr>
              <w:t>质量门禁集成与执行触发(V2 Webhook/Pipeline)</w:t>
            </w:r>
          </w:p>
        </w:tc>
        <w:tc>
          <w:tcPr>
            <w:tcW w:type="dxa" w:w="2161"/>
          </w:tcPr>
          <w:p>
            <w:pPr>
              <w:spacing w:after="40"/>
            </w:pPr>
            <w:r/>
            <w:r>
              <w:rPr>
                <w:rFonts w:ascii="Times New Roman" w:hAnsi="Times New Roman" w:eastAsia="宋体"/>
                <w:b w:val="0"/>
                <w:sz w:val="18"/>
              </w:rPr>
              <w:t>PipelineConfig、PipelineRun;发布门禁先作为质量分析与缺陷的交付集成能力</w:t>
            </w:r>
          </w:p>
        </w:tc>
        <w:tc>
          <w:tcPr>
            <w:tcW w:type="dxa" w:w="2161"/>
          </w:tcPr>
          <w:p>
            <w:pPr>
              <w:spacing w:after="40"/>
            </w:pPr>
            <w:r/>
            <w:r>
              <w:rPr>
                <w:rFonts w:ascii="Times New Roman" w:hAnsi="Times New Roman" w:eastAsia="宋体"/>
                <w:b w:val="0"/>
                <w:sz w:val="18"/>
              </w:rPr>
              <w:t>触发与回执幂等;门禁放行/豁免为独立 humanOnly 能力,限时、限范围、填理由并审计</w:t>
            </w:r>
          </w:p>
        </w:tc>
      </w:tr>
      <w:tr>
        <w:tc>
          <w:tcPr>
            <w:tcW w:type="dxa" w:w="2161"/>
          </w:tcPr>
          <w:p>
            <w:pPr>
              <w:spacing w:after="40"/>
            </w:pPr>
            <w:r/>
            <w:r>
              <w:rPr>
                <w:rFonts w:ascii="Times New Roman" w:hAnsi="Times New Roman" w:eastAsia="宋体"/>
                <w:b w:val="0"/>
                <w:sz w:val="18"/>
              </w:rPr>
              <w:t>KMS/Vault</w:t>
            </w:r>
          </w:p>
        </w:tc>
        <w:tc>
          <w:tcPr>
            <w:tcW w:type="dxa" w:w="2161"/>
          </w:tcPr>
          <w:p>
            <w:pPr>
              <w:spacing w:after="40"/>
            </w:pPr>
            <w:r/>
            <w:r>
              <w:rPr>
                <w:rFonts w:ascii="Times New Roman" w:hAnsi="Times New Roman" w:eastAsia="宋体"/>
                <w:b w:val="0"/>
                <w:sz w:val="18"/>
              </w:rPr>
              <w:t>主密钥管理与 Secret 双信封加密</w:t>
            </w:r>
          </w:p>
        </w:tc>
        <w:tc>
          <w:tcPr>
            <w:tcW w:type="dxa" w:w="2161"/>
          </w:tcPr>
          <w:p>
            <w:pPr>
              <w:spacing w:after="40"/>
            </w:pPr>
            <w:r/>
            <w:r>
              <w:rPr>
                <w:rFonts w:ascii="Times New Roman" w:hAnsi="Times New Roman" w:eastAsia="宋体"/>
                <w:b w:val="0"/>
                <w:sz w:val="18"/>
              </w:rPr>
              <w:t>DEK 按租户/Workspace 隔离并可轮换;数据库只存密文、nonce、keyVersion</w:t>
            </w:r>
          </w:p>
        </w:tc>
        <w:tc>
          <w:tcPr>
            <w:tcW w:type="dxa" w:w="2161"/>
          </w:tcPr>
          <w:p>
            <w:pPr>
              <w:spacing w:after="40"/>
            </w:pPr>
            <w:r/>
            <w:r>
              <w:rPr>
                <w:rFonts w:ascii="Times New Roman" w:hAnsi="Times New Roman" w:eastAsia="宋体"/>
                <w:b w:val="0"/>
                <w:sz w:val="18"/>
              </w:rPr>
              <w:t>明文只由受控执行服务按 secretRef 短时解密,不落盘、不进日志;用户与 Agent 不直接读取明文</w:t>
            </w:r>
          </w:p>
        </w:tc>
      </w:tr>
      <w:tr>
        <w:tc>
          <w:tcPr>
            <w:tcW w:type="dxa" w:w="2161"/>
          </w:tcPr>
          <w:p>
            <w:pPr>
              <w:spacing w:after="40"/>
            </w:pPr>
            <w:r/>
            <w:r>
              <w:rPr>
                <w:rFonts w:ascii="Times New Roman" w:hAnsi="Times New Roman" w:eastAsia="宋体"/>
                <w:b w:val="0"/>
                <w:sz w:val="18"/>
              </w:rPr>
              <w:t>IdP(OIDC/OAuth2)</w:t>
            </w:r>
          </w:p>
        </w:tc>
        <w:tc>
          <w:tcPr>
            <w:tcW w:type="dxa" w:w="2161"/>
          </w:tcPr>
          <w:p>
            <w:pPr>
              <w:spacing w:after="40"/>
            </w:pPr>
            <w:r/>
            <w:r>
              <w:rPr>
                <w:rFonts w:ascii="Times New Roman" w:hAnsi="Times New Roman" w:eastAsia="宋体"/>
                <w:b w:val="0"/>
                <w:sz w:val="18"/>
              </w:rPr>
              <w:t>人工身份认证,必要时 MFA</w:t>
            </w:r>
          </w:p>
        </w:tc>
        <w:tc>
          <w:tcPr>
            <w:tcW w:type="dxa" w:w="2161"/>
          </w:tcPr>
          <w:p>
            <w:pPr>
              <w:spacing w:after="40"/>
            </w:pPr>
            <w:r/>
            <w:r>
              <w:rPr>
                <w:rFonts w:ascii="Times New Roman" w:hAnsi="Times New Roman" w:eastAsia="宋体"/>
                <w:b w:val="0"/>
                <w:sz w:val="18"/>
              </w:rPr>
              <w:t>授权码加 PKCE;令牌携带 iss、sub、aud、iat、exp、jti 与身份类型;服务账号与 Runner 使用短时令牌或 mTLS 工作负载身份</w:t>
            </w:r>
          </w:p>
        </w:tc>
        <w:tc>
          <w:tcPr>
            <w:tcW w:type="dxa" w:w="2161"/>
          </w:tcPr>
          <w:p>
            <w:pPr>
              <w:spacing w:after="40"/>
            </w:pPr>
            <w:r/>
            <w:r>
              <w:rPr>
                <w:rFonts w:ascii="Times New Roman" w:hAnsi="Times New Roman" w:eastAsia="宋体"/>
                <w:b w:val="0"/>
                <w:sz w:val="18"/>
              </w:rPr>
              <w:t>网关校验令牌与速率限制;下游信任网关注入上下文需 mTLS 或等价工作负载认证;禁止依赖客户端角色 Header</w:t>
            </w:r>
          </w:p>
        </w:tc>
      </w:tr>
      <w:tr>
        <w:tc>
          <w:tcPr>
            <w:tcW w:type="dxa" w:w="2161"/>
          </w:tcPr>
          <w:p>
            <w:pPr>
              <w:spacing w:after="40"/>
            </w:pPr>
            <w:r/>
            <w:r>
              <w:rPr>
                <w:rFonts w:ascii="Times New Roman" w:hAnsi="Times New Roman" w:eastAsia="宋体"/>
                <w:b w:val="0"/>
                <w:sz w:val="18"/>
              </w:rPr>
              <w:t>对象存储(S3 兼容)</w:t>
            </w:r>
          </w:p>
        </w:tc>
        <w:tc>
          <w:tcPr>
            <w:tcW w:type="dxa" w:w="2161"/>
          </w:tcPr>
          <w:p>
            <w:pPr>
              <w:spacing w:after="40"/>
            </w:pPr>
            <w:r/>
            <w:r>
              <w:rPr>
                <w:rFonts w:ascii="Times New Roman" w:hAnsi="Times New Roman" w:eastAsia="宋体"/>
                <w:b w:val="0"/>
                <w:sz w:val="18"/>
              </w:rPr>
              <w:t>日志、截图、视频、报告与代码制品</w:t>
            </w:r>
          </w:p>
        </w:tc>
        <w:tc>
          <w:tcPr>
            <w:tcW w:type="dxa" w:w="2161"/>
          </w:tcPr>
          <w:p>
            <w:pPr>
              <w:spacing w:after="40"/>
            </w:pPr>
            <w:r/>
            <w:r>
              <w:rPr>
                <w:rFonts w:ascii="Times New Roman" w:hAnsi="Times New Roman" w:eastAsia="宋体"/>
                <w:b w:val="0"/>
                <w:sz w:val="18"/>
              </w:rPr>
              <w:t>不可变制品引用加 digest;签名 URL 与保留策略;租户隔离</w:t>
            </w:r>
          </w:p>
        </w:tc>
        <w:tc>
          <w:tcPr>
            <w:tcW w:type="dxa" w:w="2161"/>
          </w:tcPr>
          <w:p>
            <w:pPr>
              <w:spacing w:after="40"/>
            </w:pPr>
            <w:r/>
            <w:r>
              <w:rPr>
                <w:rFonts w:ascii="Times New Roman" w:hAnsi="Times New Roman" w:eastAsia="宋体"/>
                <w:b w:val="0"/>
                <w:sz w:val="18"/>
              </w:rPr>
              <w:t>制品分类分级、最小采集、脱敏与访问控制;URL 不无限期有效</w:t>
            </w:r>
          </w:p>
        </w:tc>
      </w:tr>
      <w:tr>
        <w:tc>
          <w:tcPr>
            <w:tcW w:type="dxa" w:w="2161"/>
          </w:tcPr>
          <w:p>
            <w:pPr>
              <w:spacing w:after="40"/>
            </w:pPr>
            <w:r/>
            <w:r>
              <w:rPr>
                <w:rFonts w:ascii="Times New Roman" w:hAnsi="Times New Roman" w:eastAsia="宋体"/>
                <w:b w:val="0"/>
                <w:sz w:val="18"/>
              </w:rPr>
              <w:t>消息队列(候选)</w:t>
            </w:r>
          </w:p>
        </w:tc>
        <w:tc>
          <w:tcPr>
            <w:tcW w:type="dxa" w:w="2161"/>
          </w:tcPr>
          <w:p>
            <w:pPr>
              <w:spacing w:after="40"/>
            </w:pPr>
            <w:r/>
            <w:r>
              <w:rPr>
                <w:rFonts w:ascii="Times New Roman" w:hAnsi="Times New Roman" w:eastAsia="宋体"/>
                <w:b w:val="0"/>
                <w:sz w:val="18"/>
              </w:rPr>
              <w:t>异步任务与事件分发</w:t>
            </w:r>
          </w:p>
        </w:tc>
        <w:tc>
          <w:tcPr>
            <w:tcW w:type="dxa" w:w="2161"/>
          </w:tcPr>
          <w:p>
            <w:pPr>
              <w:spacing w:after="40"/>
            </w:pPr>
            <w:r/>
            <w:r>
              <w:rPr>
                <w:rFonts w:ascii="Times New Roman" w:hAnsi="Times New Roman" w:eastAsia="宋体"/>
                <w:b w:val="0"/>
                <w:sz w:val="18"/>
              </w:rPr>
              <w:t>Outbox 发件、消费者幂等、至少一次语义</w:t>
            </w:r>
          </w:p>
        </w:tc>
        <w:tc>
          <w:tcPr>
            <w:tcW w:type="dxa" w:w="2161"/>
          </w:tcPr>
          <w:p>
            <w:pPr>
              <w:spacing w:after="40"/>
            </w:pPr>
            <w:r/>
            <w:r>
              <w:rPr>
                <w:rFonts w:ascii="Times New Roman" w:hAnsi="Times New Roman" w:eastAsia="宋体"/>
                <w:b w:val="0"/>
                <w:sz w:val="18"/>
              </w:rPr>
              <w:t>事件含 eventId 与 sequence,按稳定 ID 去重;不作为最终业务真相源</w:t>
            </w:r>
          </w:p>
        </w:tc>
      </w:tr>
    </w:tbl>
    <w:p>
      <w:pPr>
        <w:spacing w:after="120" w:line="360" w:lineRule="auto"/>
        <w:ind w:firstLine="480"/>
      </w:pPr>
      <w:r>
        <w:rPr>
          <w:rFonts w:ascii="Times New Roman" w:hAnsi="Times New Roman" w:eastAsia="宋体"/>
          <w:b w:val="0"/>
          <w:sz w:val="24"/>
        </w:rPr>
        <w:t>外部集成统一约束:集成配置目标域名、操作、作用域与 credentialRef 采用 allowlist;写入逐次批准且幂等;外部同步冲突或超时保留逐次回执且不假报成功。WebSocket 实时通道作为对外接口的补充,只推送状态与证据事件,不承载批准与修改命令。</w:t>
      </w:r>
    </w:p>
    <w:p>
      <w:pPr>
        <w:spacing w:after="80"/>
      </w:pPr>
      <w:r>
        <w:rPr>
          <w:rFonts w:ascii="Times New Roman" w:hAnsi="Times New Roman" w:eastAsia="宋体"/>
          <w:b w:val="0"/>
          <w:color w:val="666666"/>
          <w:sz w:val="18"/>
        </w:rPr>
        <w:t>（来源:31-系统架构设计.md §3、§7;34-认证授权设计.md §2、§8;36-WebSocket实时契约.md;05-功能模块重构方案 §5.8、§5.9）</w:t>
      </w:r>
    </w:p>
    <w:p>
      <w:pPr>
        <w:pStyle w:val="Heading2"/>
        <w:spacing w:before="240" w:after="120"/>
      </w:pPr>
      <w:r>
        <w:rPr>
          <w:rFonts w:ascii="Times New Roman" w:hAnsi="Times New Roman" w:eastAsia="黑体"/>
          <w:b/>
          <w:color w:val="1F3A5F"/>
          <w:sz w:val="28"/>
        </w:rPr>
        <w:t>3.2 内部接口</w:t>
      </w:r>
    </w:p>
    <w:p>
      <w:pPr>
        <w:spacing w:after="120" w:line="360" w:lineRule="auto"/>
        <w:ind w:firstLine="480"/>
      </w:pPr>
      <w:r>
        <w:rPr>
          <w:rFonts w:ascii="Times New Roman" w:hAnsi="Times New Roman" w:eastAsia="宋体"/>
          <w:b w:val="0"/>
          <w:sz w:val="24"/>
        </w:rPr>
        <w:t>服务内部接口分为同步调用与异步事件两类。同步调用用于短 CRUD、查询、授权校验与审核决定,走 REST 事务;导入、生成、检查、执行、分析、报告与外部同步等长任务建模为 WorkItem/attempt 异步执行,不占用 HTTP 请求等待。状态改变在本地事务内同时写业务数据与 Outbox 候选事件,消费者幂等处理。内部接口清单如下表。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接口类别</w:t>
            </w:r>
          </w:p>
        </w:tc>
        <w:tc>
          <w:tcPr>
            <w:tcW w:type="dxa" w:w="2161"/>
            <w:shd w:val="clear" w:fill="EDF0F5"/>
          </w:tcPr>
          <w:p>
            <w:pPr>
              <w:spacing w:after="40"/>
            </w:pPr>
            <w:r/>
            <w:r>
              <w:rPr>
                <w:rFonts w:ascii="Times New Roman" w:hAnsi="Times New Roman" w:eastAsia="黑体"/>
                <w:b/>
                <w:sz w:val="18"/>
              </w:rPr>
              <w:t>接口/通道</w:t>
            </w:r>
          </w:p>
        </w:tc>
        <w:tc>
          <w:tcPr>
            <w:tcW w:type="dxa" w:w="2161"/>
            <w:shd w:val="clear" w:fill="EDF0F5"/>
          </w:tcPr>
          <w:p>
            <w:pPr>
              <w:spacing w:after="40"/>
            </w:pPr>
            <w:r/>
            <w:r>
              <w:rPr>
                <w:rFonts w:ascii="Times New Roman" w:hAnsi="Times New Roman" w:eastAsia="黑体"/>
                <w:b/>
                <w:sz w:val="18"/>
              </w:rPr>
              <w:t>说明</w:t>
            </w:r>
          </w:p>
        </w:tc>
        <w:tc>
          <w:tcPr>
            <w:tcW w:type="dxa" w:w="2161"/>
            <w:shd w:val="clear" w:fill="EDF0F5"/>
          </w:tcPr>
          <w:p>
            <w:pPr>
              <w:spacing w:after="40"/>
            </w:pPr>
            <w:r/>
            <w:r>
              <w:rPr>
                <w:rFonts w:ascii="Times New Roman" w:hAnsi="Times New Roman" w:eastAsia="黑体"/>
                <w:b/>
                <w:sz w:val="18"/>
              </w:rPr>
              <w:t>一致性机制</w:t>
            </w:r>
          </w:p>
        </w:tc>
      </w:tr>
      <w:tr>
        <w:tc>
          <w:tcPr>
            <w:tcW w:type="dxa" w:w="2161"/>
          </w:tcPr>
          <w:p>
            <w:pPr>
              <w:spacing w:after="40"/>
            </w:pPr>
            <w:r/>
            <w:r>
              <w:rPr>
                <w:rFonts w:ascii="Times New Roman" w:hAnsi="Times New Roman" w:eastAsia="宋体"/>
                <w:b w:val="0"/>
                <w:sz w:val="18"/>
              </w:rPr>
              <w:t>同步 REST</w:t>
            </w:r>
          </w:p>
        </w:tc>
        <w:tc>
          <w:tcPr>
            <w:tcW w:type="dxa" w:w="2161"/>
          </w:tcPr>
          <w:p>
            <w:pPr>
              <w:spacing w:after="40"/>
            </w:pPr>
            <w:r/>
            <w:r>
              <w:rPr>
                <w:rFonts w:ascii="Times New Roman" w:hAnsi="Times New Roman" w:eastAsia="宋体"/>
                <w:b w:val="0"/>
                <w:sz w:val="18"/>
              </w:rPr>
              <w:t>模块化核心应用内部领域服务间调用</w:t>
            </w:r>
          </w:p>
        </w:tc>
        <w:tc>
          <w:tcPr>
            <w:tcW w:type="dxa" w:w="2161"/>
          </w:tcPr>
          <w:p>
            <w:pPr>
              <w:spacing w:after="40"/>
            </w:pPr>
            <w:r/>
            <w:r>
              <w:rPr>
                <w:rFonts w:ascii="Times New Roman" w:hAnsi="Times New Roman" w:eastAsia="宋体"/>
                <w:b w:val="0"/>
                <w:sz w:val="18"/>
              </w:rPr>
              <w:t>跨模块读取精确版本、提交 Owner 命令、校验授权与版本摘要</w:t>
            </w:r>
          </w:p>
        </w:tc>
        <w:tc>
          <w:tcPr>
            <w:tcW w:type="dxa" w:w="2161"/>
          </w:tcPr>
          <w:p>
            <w:pPr>
              <w:spacing w:after="40"/>
            </w:pPr>
            <w:r/>
            <w:r>
              <w:rPr>
                <w:rFonts w:ascii="Times New Roman" w:hAnsi="Times New Roman" w:eastAsia="宋体"/>
                <w:b w:val="0"/>
                <w:sz w:val="18"/>
              </w:rPr>
              <w:t>本地事务;调用方校验 tenant/workspace 与版本;高价值动作逐次重新授权</w:t>
            </w:r>
          </w:p>
        </w:tc>
      </w:tr>
      <w:tr>
        <w:tc>
          <w:tcPr>
            <w:tcW w:type="dxa" w:w="2161"/>
          </w:tcPr>
          <w:p>
            <w:pPr>
              <w:spacing w:after="40"/>
            </w:pPr>
            <w:r/>
            <w:r>
              <w:rPr>
                <w:rFonts w:ascii="Times New Roman" w:hAnsi="Times New Roman" w:eastAsia="宋体"/>
                <w:b w:val="0"/>
                <w:sz w:val="18"/>
              </w:rPr>
              <w:t>同步 REST</w:t>
            </w:r>
          </w:p>
        </w:tc>
        <w:tc>
          <w:tcPr>
            <w:tcW w:type="dxa" w:w="2161"/>
          </w:tcPr>
          <w:p>
            <w:pPr>
              <w:spacing w:after="40"/>
            </w:pPr>
            <w:r/>
            <w:r>
              <w:rPr>
                <w:rFonts w:ascii="Times New Roman" w:hAnsi="Times New Roman" w:eastAsia="宋体"/>
                <w:b w:val="0"/>
                <w:sz w:val="18"/>
              </w:rPr>
              <w:t>核心应用对 Runner 的控制面</w:t>
            </w:r>
          </w:p>
        </w:tc>
        <w:tc>
          <w:tcPr>
            <w:tcW w:type="dxa" w:w="2161"/>
          </w:tcPr>
          <w:p>
            <w:pPr>
              <w:spacing w:after="40"/>
            </w:pPr>
            <w:r/>
            <w:r>
              <w:rPr>
                <w:rFonts w:ascii="Times New Roman" w:hAnsi="Times New Roman" w:eastAsia="宋体"/>
                <w:b w:val="0"/>
                <w:sz w:val="18"/>
              </w:rPr>
              <w:t>Runner 注册、心跳、租约分配、任务下发</w:t>
            </w:r>
          </w:p>
        </w:tc>
        <w:tc>
          <w:tcPr>
            <w:tcW w:type="dxa" w:w="2161"/>
          </w:tcPr>
          <w:p>
            <w:pPr>
              <w:spacing w:after="40"/>
            </w:pPr>
            <w:r/>
            <w:r>
              <w:rPr>
                <w:rFonts w:ascii="Times New Roman" w:hAnsi="Times New Roman" w:eastAsia="宋体"/>
                <w:b w:val="0"/>
                <w:sz w:val="18"/>
              </w:rPr>
              <w:t>租约与心跳超时判失联;短时 Secret 注入;任务结束即撤销</w:t>
            </w:r>
          </w:p>
        </w:tc>
      </w:tr>
      <w:tr>
        <w:tc>
          <w:tcPr>
            <w:tcW w:type="dxa" w:w="2161"/>
          </w:tcPr>
          <w:p>
            <w:pPr>
              <w:spacing w:after="40"/>
            </w:pPr>
            <w:r/>
            <w:r>
              <w:rPr>
                <w:rFonts w:ascii="Times New Roman" w:hAnsi="Times New Roman" w:eastAsia="宋体"/>
                <w:b w:val="0"/>
                <w:sz w:val="18"/>
              </w:rPr>
              <w:t>同步 REST</w:t>
            </w:r>
          </w:p>
        </w:tc>
        <w:tc>
          <w:tcPr>
            <w:tcW w:type="dxa" w:w="2161"/>
          </w:tcPr>
          <w:p>
            <w:pPr>
              <w:spacing w:after="40"/>
            </w:pPr>
            <w:r/>
            <w:r>
              <w:rPr>
                <w:rFonts w:ascii="Times New Roman" w:hAnsi="Times New Roman" w:eastAsia="宋体"/>
                <w:b w:val="0"/>
                <w:sz w:val="18"/>
              </w:rPr>
              <w:t>核心应用对 Agent Worker 的编排</w:t>
            </w:r>
          </w:p>
        </w:tc>
        <w:tc>
          <w:tcPr>
            <w:tcW w:type="dxa" w:w="2161"/>
          </w:tcPr>
          <w:p>
            <w:pPr>
              <w:spacing w:after="40"/>
            </w:pPr>
            <w:r/>
            <w:r>
              <w:rPr>
                <w:rFonts w:ascii="Times New Roman" w:hAnsi="Times New Roman" w:eastAsia="宋体"/>
                <w:b w:val="0"/>
                <w:sz w:val="18"/>
              </w:rPr>
              <w:t>会话创建、步骤推进、HITL 挂起与恢复、取消</w:t>
            </w:r>
          </w:p>
        </w:tc>
        <w:tc>
          <w:tcPr>
            <w:tcW w:type="dxa" w:w="2161"/>
          </w:tcPr>
          <w:p>
            <w:pPr>
              <w:spacing w:after="40"/>
            </w:pPr>
            <w:r/>
            <w:r>
              <w:rPr>
                <w:rFonts w:ascii="Times New Roman" w:hAnsi="Times New Roman" w:eastAsia="宋体"/>
                <w:b w:val="0"/>
                <w:sz w:val="18"/>
              </w:rPr>
              <w:t>会话锁定 Agent/Skill/Prompt/Workflow 与来源版本;权限交集逐次校验</w:t>
            </w:r>
          </w:p>
        </w:tc>
      </w:tr>
      <w:tr>
        <w:tc>
          <w:tcPr>
            <w:tcW w:type="dxa" w:w="2161"/>
          </w:tcPr>
          <w:p>
            <w:pPr>
              <w:spacing w:after="40"/>
            </w:pPr>
            <w:r/>
            <w:r>
              <w:rPr>
                <w:rFonts w:ascii="Times New Roman" w:hAnsi="Times New Roman" w:eastAsia="宋体"/>
                <w:b w:val="0"/>
                <w:sz w:val="18"/>
              </w:rPr>
              <w:t>异步事件</w:t>
            </w:r>
          </w:p>
        </w:tc>
        <w:tc>
          <w:tcPr>
            <w:tcW w:type="dxa" w:w="2161"/>
          </w:tcPr>
          <w:p>
            <w:pPr>
              <w:spacing w:after="40"/>
            </w:pPr>
            <w:r/>
            <w:r>
              <w:rPr>
                <w:rFonts w:ascii="Times New Roman" w:hAnsi="Times New Roman" w:eastAsia="宋体"/>
                <w:b w:val="0"/>
                <w:sz w:val="18"/>
              </w:rPr>
              <w:t>Outbox/Inbox 事件总线</w:t>
            </w:r>
          </w:p>
        </w:tc>
        <w:tc>
          <w:tcPr>
            <w:tcW w:type="dxa" w:w="2161"/>
          </w:tcPr>
          <w:p>
            <w:pPr>
              <w:spacing w:after="40"/>
            </w:pPr>
            <w:r/>
            <w:r>
              <w:rPr>
                <w:rFonts w:ascii="Times New Roman" w:hAnsi="Times New Roman" w:eastAsia="宋体"/>
                <w:b w:val="0"/>
                <w:sz w:val="18"/>
              </w:rPr>
              <w:t>WorkItem 状态变化、ExecutionTask 状态与结果、ReviewTask 创建与决定、Defect 同步回执、AgentTrace 等</w:t>
            </w:r>
          </w:p>
        </w:tc>
        <w:tc>
          <w:tcPr>
            <w:tcW w:type="dxa" w:w="2161"/>
          </w:tcPr>
          <w:p>
            <w:pPr>
              <w:spacing w:after="40"/>
            </w:pPr>
            <w:r/>
            <w:r>
              <w:rPr>
                <w:rFonts w:ascii="Times New Roman" w:hAnsi="Times New Roman" w:eastAsia="宋体"/>
                <w:b w:val="0"/>
                <w:sz w:val="18"/>
              </w:rPr>
              <w:t>本地事务写 Outbox;消费者按 eventId 幂等;至少一次送达加去重</w:t>
            </w:r>
          </w:p>
        </w:tc>
      </w:tr>
      <w:tr>
        <w:tc>
          <w:tcPr>
            <w:tcW w:type="dxa" w:w="2161"/>
          </w:tcPr>
          <w:p>
            <w:pPr>
              <w:spacing w:after="40"/>
            </w:pPr>
            <w:r/>
            <w:r>
              <w:rPr>
                <w:rFonts w:ascii="Times New Roman" w:hAnsi="Times New Roman" w:eastAsia="宋体"/>
                <w:b w:val="0"/>
                <w:sz w:val="18"/>
              </w:rPr>
              <w:t>异步事件</w:t>
            </w:r>
          </w:p>
        </w:tc>
        <w:tc>
          <w:tcPr>
            <w:tcW w:type="dxa" w:w="2161"/>
          </w:tcPr>
          <w:p>
            <w:pPr>
              <w:spacing w:after="40"/>
            </w:pPr>
            <w:r/>
            <w:r>
              <w:rPr>
                <w:rFonts w:ascii="Times New Roman" w:hAnsi="Times New Roman" w:eastAsia="宋体"/>
                <w:b w:val="0"/>
                <w:sz w:val="18"/>
              </w:rPr>
              <w:t>事件信封</w:t>
            </w:r>
          </w:p>
        </w:tc>
        <w:tc>
          <w:tcPr>
            <w:tcW w:type="dxa" w:w="2161"/>
          </w:tcPr>
          <w:p>
            <w:pPr>
              <w:spacing w:after="40"/>
            </w:pPr>
            <w:r/>
            <w:r>
              <w:rPr>
                <w:rFonts w:ascii="Times New Roman" w:hAnsi="Times New Roman" w:eastAsia="宋体"/>
                <w:b w:val="0"/>
                <w:sz w:val="18"/>
              </w:rPr>
              <w:t>schemaVersion、eventId、type、sequence、offset、tenantId、workspaceId、resourceType/resourceId、occurredAt、traceId</w:t>
            </w:r>
          </w:p>
        </w:tc>
        <w:tc>
          <w:tcPr>
            <w:tcW w:type="dxa" w:w="2161"/>
          </w:tcPr>
          <w:p>
            <w:pPr>
              <w:spacing w:after="40"/>
            </w:pPr>
            <w:r/>
            <w:r>
              <w:rPr>
                <w:rFonts w:ascii="Times New Roman" w:hAnsi="Times New Roman" w:eastAsia="宋体"/>
                <w:b w:val="0"/>
                <w:sz w:val="18"/>
              </w:rPr>
              <w:t>type 受控;offset 用于断线补拉;载荷不含 Secret 与隐藏思维链</w:t>
            </w:r>
          </w:p>
        </w:tc>
      </w:tr>
      <w:tr>
        <w:tc>
          <w:tcPr>
            <w:tcW w:type="dxa" w:w="2161"/>
          </w:tcPr>
          <w:p>
            <w:pPr>
              <w:spacing w:after="40"/>
            </w:pPr>
            <w:r/>
            <w:r>
              <w:rPr>
                <w:rFonts w:ascii="Times New Roman" w:hAnsi="Times New Roman" w:eastAsia="宋体"/>
                <w:b w:val="0"/>
                <w:sz w:val="18"/>
              </w:rPr>
              <w:t>实时推送</w:t>
            </w:r>
          </w:p>
        </w:tc>
        <w:tc>
          <w:tcPr>
            <w:tcW w:type="dxa" w:w="2161"/>
          </w:tcPr>
          <w:p>
            <w:pPr>
              <w:spacing w:after="40"/>
            </w:pPr>
            <w:r/>
            <w:r>
              <w:rPr>
                <w:rFonts w:ascii="Times New Roman" w:hAnsi="Times New Roman" w:eastAsia="宋体"/>
                <w:b w:val="0"/>
                <w:sz w:val="18"/>
              </w:rPr>
              <w:t>WebSocket 四通道</w:t>
            </w:r>
          </w:p>
        </w:tc>
        <w:tc>
          <w:tcPr>
            <w:tcW w:type="dxa" w:w="2161"/>
          </w:tcPr>
          <w:p>
            <w:pPr>
              <w:spacing w:after="40"/>
            </w:pPr>
            <w:r/>
            <w:r>
              <w:rPr>
                <w:rFonts w:ascii="Times New Roman" w:hAnsi="Times New Roman" w:eastAsia="宋体"/>
                <w:b w:val="0"/>
                <w:sz w:val="18"/>
              </w:rPr>
              <w:t>ExecutionTask Stream、WorkItem Stream、Agent Trace Stream、Workspace Event Stream</w:t>
            </w:r>
          </w:p>
        </w:tc>
        <w:tc>
          <w:tcPr>
            <w:tcW w:type="dxa" w:w="2161"/>
          </w:tcPr>
          <w:p>
            <w:pPr>
              <w:spacing w:after="40"/>
            </w:pPr>
            <w:r/>
            <w:r>
              <w:rPr>
                <w:rFonts w:ascii="Times New Roman" w:hAnsi="Times New Roman" w:eastAsia="宋体"/>
                <w:b w:val="0"/>
                <w:sz w:val="18"/>
              </w:rPr>
              <w:t>一次性票据握手;连接期间权限撤销即断开;事件先按权限过滤再下行</w:t>
            </w:r>
          </w:p>
        </w:tc>
      </w:tr>
      <w:tr>
        <w:tc>
          <w:tcPr>
            <w:tcW w:type="dxa" w:w="2161"/>
          </w:tcPr>
          <w:p>
            <w:pPr>
              <w:spacing w:after="40"/>
            </w:pPr>
            <w:r/>
            <w:r>
              <w:rPr>
                <w:rFonts w:ascii="Times New Roman" w:hAnsi="Times New Roman" w:eastAsia="宋体"/>
                <w:b w:val="0"/>
                <w:sz w:val="18"/>
              </w:rPr>
              <w:t>数据接口</w:t>
            </w:r>
          </w:p>
        </w:tc>
        <w:tc>
          <w:tcPr>
            <w:tcW w:type="dxa" w:w="2161"/>
          </w:tcPr>
          <w:p>
            <w:pPr>
              <w:spacing w:after="40"/>
            </w:pPr>
            <w:r/>
            <w:r>
              <w:rPr>
                <w:rFonts w:ascii="Times New Roman" w:hAnsi="Times New Roman" w:eastAsia="宋体"/>
                <w:b w:val="0"/>
                <w:sz w:val="18"/>
              </w:rPr>
              <w:t>数据库访问</w:t>
            </w:r>
          </w:p>
        </w:tc>
        <w:tc>
          <w:tcPr>
            <w:tcW w:type="dxa" w:w="2161"/>
          </w:tcPr>
          <w:p>
            <w:pPr>
              <w:spacing w:after="40"/>
            </w:pPr>
            <w:r/>
            <w:r>
              <w:rPr>
                <w:rFonts w:ascii="Times New Roman" w:hAnsi="Times New Roman" w:eastAsia="宋体"/>
                <w:b w:val="0"/>
                <w:sz w:val="18"/>
              </w:rPr>
              <w:t>各领域服务经 ORM 访问共享 PostgreSQL</w:t>
            </w:r>
          </w:p>
        </w:tc>
        <w:tc>
          <w:tcPr>
            <w:tcW w:type="dxa" w:w="2161"/>
          </w:tcPr>
          <w:p>
            <w:pPr>
              <w:spacing w:after="40"/>
            </w:pPr>
            <w:r/>
            <w:r>
              <w:rPr>
                <w:rFonts w:ascii="Times New Roman" w:hAnsi="Times New Roman" w:eastAsia="宋体"/>
                <w:b w:val="0"/>
                <w:sz w:val="18"/>
              </w:rPr>
              <w:t>事务开始注入 set_config 租户上下文;RLS FORCE;应用身份非 owner 无 BYPASSRLS</w:t>
            </w:r>
          </w:p>
        </w:tc>
      </w:tr>
    </w:tbl>
    <w:p>
      <w:pPr>
        <w:spacing w:after="120" w:line="360" w:lineRule="auto"/>
        <w:ind w:firstLine="480"/>
      </w:pPr>
      <w:r>
        <w:rPr>
          <w:rFonts w:ascii="Times New Roman" w:hAnsi="Times New Roman" w:eastAsia="宋体"/>
          <w:b w:val="0"/>
          <w:sz w:val="24"/>
        </w:rPr>
        <w:t>事件清单按模块归属:任务看板发布 WorkItem 与 ReviewTask 事件;测试执行发布 ExecutionTask 状态、进度、结果、制品可用与契约偏差事件;AI Agent 中心发布 Session、TraceNode 与 SkillInvocation 事件;质量分析发布分析完成、Defect 状态与同步回执事件;知识库发布契约版本发布与基线变化事件。所有事件使用 traceId 与 REST、审计、Agent 与 Runner 日志贯通。WebSocket 事件不是数据库事实的替代,断线或缺口时使用 REST 读取当前资源与归档事件。</w:t>
      </w:r>
    </w:p>
    <w:p>
      <w:pPr>
        <w:spacing w:after="80"/>
      </w:pPr>
      <w:r>
        <w:rPr>
          <w:rFonts w:ascii="Times New Roman" w:hAnsi="Times New Roman" w:eastAsia="宋体"/>
          <w:b w:val="0"/>
          <w:color w:val="666666"/>
          <w:sz w:val="18"/>
        </w:rPr>
        <w:t>（来源:31-系统架构设计.md §3、§8;36-WebSocket实时契约.md §1、§2、§3;14-PRD-QualityIntelligence.md §2;30-技术选型决策.md §3）</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4 章 数据结构设计</w:t>
      </w:r>
    </w:p>
    <w:p>
      <w:pPr>
        <w:pStyle w:val="Heading2"/>
        <w:spacing w:before="240" w:after="120"/>
      </w:pPr>
      <w:r>
        <w:rPr>
          <w:rFonts w:ascii="Times New Roman" w:hAnsi="Times New Roman" w:eastAsia="黑体"/>
          <w:b/>
          <w:color w:val="1F3A5F"/>
          <w:sz w:val="28"/>
        </w:rPr>
        <w:t>4.1 逻辑结构设计</w:t>
      </w:r>
    </w:p>
    <w:p>
      <w:pPr>
        <w:spacing w:after="120" w:line="360" w:lineRule="auto"/>
        <w:ind w:firstLine="480"/>
      </w:pPr>
      <w:r>
        <w:rPr>
          <w:rFonts w:ascii="Times New Roman" w:hAnsi="Times New Roman" w:eastAsia="宋体"/>
          <w:b w:val="0"/>
          <w:sz w:val="24"/>
        </w:rPr>
        <w:t>目标数据库 Schema 由 33 号文档按九个领域分组定义,文档口径为 106 张目标表;经逐条核对,33 号当前版本实际罗列 107 条建表语句,差异以 33、35 号最新版为准,不影响本设计的总体结构。分组与表数如下表所示。</w:t>
      </w:r>
    </w:p>
    <w:tbl>
      <w:tblPr>
        <w:tblStyle w:val="TableGrid"/>
        <w:tblW w:type="auto" w:w="0"/>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sz w:val="18"/>
              </w:rPr>
              <w:t>领域分组</w:t>
            </w:r>
          </w:p>
        </w:tc>
        <w:tc>
          <w:tcPr>
            <w:tcW w:type="dxa" w:w="2882"/>
            <w:shd w:val="clear" w:fill="EDF0F5"/>
          </w:tcPr>
          <w:p>
            <w:pPr>
              <w:spacing w:after="40"/>
            </w:pPr>
            <w:r/>
            <w:r>
              <w:rPr>
                <w:rFonts w:ascii="Times New Roman" w:hAnsi="Times New Roman" w:eastAsia="黑体"/>
                <w:b/>
                <w:sz w:val="18"/>
              </w:rPr>
              <w:t>表数</w:t>
            </w:r>
          </w:p>
        </w:tc>
        <w:tc>
          <w:tcPr>
            <w:tcW w:type="dxa" w:w="2882"/>
            <w:shd w:val="clear" w:fill="EDF0F5"/>
          </w:tcPr>
          <w:p>
            <w:pPr>
              <w:spacing w:after="40"/>
            </w:pPr>
            <w:r/>
            <w:r>
              <w:rPr>
                <w:rFonts w:ascii="Times New Roman" w:hAnsi="Times New Roman" w:eastAsia="黑体"/>
                <w:b/>
                <w:sz w:val="18"/>
              </w:rPr>
              <w:t>主要表</w:t>
            </w:r>
          </w:p>
        </w:tc>
      </w:tr>
      <w:tr>
        <w:tc>
          <w:tcPr>
            <w:tcW w:type="dxa" w:w="2882"/>
          </w:tcPr>
          <w:p>
            <w:pPr>
              <w:spacing w:after="40"/>
            </w:pPr>
            <w:r/>
            <w:r>
              <w:rPr>
                <w:rFonts w:ascii="Times New Roman" w:hAnsi="Times New Roman" w:eastAsia="宋体"/>
                <w:b w:val="0"/>
                <w:sz w:val="18"/>
              </w:rPr>
              <w:t>平台管理域</w:t>
            </w:r>
          </w:p>
        </w:tc>
        <w:tc>
          <w:tcPr>
            <w:tcW w:type="dxa" w:w="2882"/>
          </w:tcPr>
          <w:p>
            <w:pPr>
              <w:spacing w:after="40"/>
            </w:pPr>
            <w:r/>
            <w:r>
              <w:rPr>
                <w:rFonts w:ascii="Times New Roman" w:hAnsi="Times New Roman" w:eastAsia="宋体"/>
                <w:b w:val="0"/>
                <w:sz w:val="18"/>
              </w:rPr>
              <w:t>10</w:t>
            </w:r>
          </w:p>
        </w:tc>
        <w:tc>
          <w:tcPr>
            <w:tcW w:type="dxa" w:w="2882"/>
          </w:tcPr>
          <w:p>
            <w:pPr>
              <w:spacing w:after="40"/>
            </w:pPr>
            <w:r/>
            <w:r>
              <w:rPr>
                <w:rFonts w:ascii="Times New Roman" w:hAnsi="Times New Roman" w:eastAsia="宋体"/>
                <w:b w:val="0"/>
                <w:sz w:val="18"/>
              </w:rPr>
              <w:t>t_tenant、t_user、t_workspace、t_release、t_environment、t_workspace_secret、t_runner_node、t_llm_config、t_integration_config、t_audit_log</w:t>
            </w:r>
          </w:p>
        </w:tc>
      </w:tr>
      <w:tr>
        <w:tc>
          <w:tcPr>
            <w:tcW w:type="dxa" w:w="2882"/>
          </w:tcPr>
          <w:p>
            <w:pPr>
              <w:spacing w:after="40"/>
            </w:pPr>
            <w:r/>
            <w:r>
              <w:rPr>
                <w:rFonts w:ascii="Times New Roman" w:hAnsi="Times New Roman" w:eastAsia="宋体"/>
                <w:b w:val="0"/>
                <w:sz w:val="18"/>
              </w:rPr>
              <w:t>RBAC 与审核策略域</w:t>
            </w:r>
          </w:p>
        </w:tc>
        <w:tc>
          <w:tcPr>
            <w:tcW w:type="dxa" w:w="2882"/>
          </w:tcPr>
          <w:p>
            <w:pPr>
              <w:spacing w:after="40"/>
            </w:pPr>
            <w:r/>
            <w:r>
              <w:rPr>
                <w:rFonts w:ascii="Times New Roman" w:hAnsi="Times New Roman" w:eastAsia="宋体"/>
                <w:b w:val="0"/>
                <w:sz w:val="18"/>
              </w:rPr>
              <w:t>9</w:t>
            </w:r>
          </w:p>
        </w:tc>
        <w:tc>
          <w:tcPr>
            <w:tcW w:type="dxa" w:w="2882"/>
          </w:tcPr>
          <w:p>
            <w:pPr>
              <w:spacing w:after="40"/>
            </w:pPr>
            <w:r/>
            <w:r>
              <w:rPr>
                <w:rFonts w:ascii="Times New Roman" w:hAnsi="Times New Roman" w:eastAsia="宋体"/>
                <w:b w:val="0"/>
                <w:sz w:val="18"/>
              </w:rPr>
              <w:t>t_role_definition、t_permission、t_role_permission、t_role_binding、t_explicit_deny、t_review_policy、t_authorization_decision、t_delegation_grant、t_support_access_grant</w:t>
            </w:r>
          </w:p>
        </w:tc>
      </w:tr>
      <w:tr>
        <w:tc>
          <w:tcPr>
            <w:tcW w:type="dxa" w:w="2882"/>
          </w:tcPr>
          <w:p>
            <w:pPr>
              <w:spacing w:after="40"/>
            </w:pPr>
            <w:r/>
            <w:r>
              <w:rPr>
                <w:rFonts w:ascii="Times New Roman" w:hAnsi="Times New Roman" w:eastAsia="宋体"/>
                <w:b w:val="0"/>
                <w:sz w:val="18"/>
              </w:rPr>
              <w:t>任务看板域</w:t>
            </w:r>
          </w:p>
        </w:tc>
        <w:tc>
          <w:tcPr>
            <w:tcW w:type="dxa" w:w="2882"/>
          </w:tcPr>
          <w:p>
            <w:pPr>
              <w:spacing w:after="40"/>
            </w:pPr>
            <w:r/>
            <w:r>
              <w:rPr>
                <w:rFonts w:ascii="Times New Roman" w:hAnsi="Times New Roman" w:eastAsia="宋体"/>
                <w:b w:val="0"/>
                <w:sz w:val="18"/>
              </w:rPr>
              <w:t>7</w:t>
            </w:r>
          </w:p>
        </w:tc>
        <w:tc>
          <w:tcPr>
            <w:tcW w:type="dxa" w:w="2882"/>
          </w:tcPr>
          <w:p>
            <w:pPr>
              <w:spacing w:after="40"/>
            </w:pPr>
            <w:r/>
            <w:r>
              <w:rPr>
                <w:rFonts w:ascii="Times New Roman" w:hAnsi="Times New Roman" w:eastAsia="宋体"/>
                <w:b w:val="0"/>
                <w:sz w:val="18"/>
              </w:rPr>
              <w:t>t_work_item、t_work_item_artifact、t_work_item_run、t_work_item_event、t_work_item_dependency、t_review_task、t_review_assignment</w:t>
            </w:r>
          </w:p>
        </w:tc>
      </w:tr>
      <w:tr>
        <w:tc>
          <w:tcPr>
            <w:tcW w:type="dxa" w:w="2882"/>
          </w:tcPr>
          <w:p>
            <w:pPr>
              <w:spacing w:after="40"/>
            </w:pPr>
            <w:r/>
            <w:r>
              <w:rPr>
                <w:rFonts w:ascii="Times New Roman" w:hAnsi="Times New Roman" w:eastAsia="宋体"/>
                <w:b w:val="0"/>
                <w:sz w:val="18"/>
              </w:rPr>
              <w:t>知识库域</w:t>
            </w:r>
          </w:p>
        </w:tc>
        <w:tc>
          <w:tcPr>
            <w:tcW w:type="dxa" w:w="2882"/>
          </w:tcPr>
          <w:p>
            <w:pPr>
              <w:spacing w:after="40"/>
            </w:pPr>
            <w:r/>
            <w:r>
              <w:rPr>
                <w:rFonts w:ascii="Times New Roman" w:hAnsi="Times New Roman" w:eastAsia="宋体"/>
                <w:b w:val="0"/>
                <w:sz w:val="18"/>
              </w:rPr>
              <w:t>15</w:t>
            </w:r>
          </w:p>
        </w:tc>
        <w:tc>
          <w:tcPr>
            <w:tcW w:type="dxa" w:w="2882"/>
          </w:tcPr>
          <w:p>
            <w:pPr>
              <w:spacing w:after="40"/>
            </w:pPr>
            <w:r/>
            <w:r>
              <w:rPr>
                <w:rFonts w:ascii="Times New Roman" w:hAnsi="Times New Roman" w:eastAsia="宋体"/>
                <w:b w:val="0"/>
                <w:sz w:val="18"/>
              </w:rPr>
              <w:t>t_source_snapshot、t_requirement_document(_version)、t_api_contract(_version)、t_api_operation_version、t_api_contract_baseline、t_knowledge_entry(_version)、t_knowledge_candidate、t_knowledge_vector、t_knowledge_graph_node/edge、t_source_trace_edge、t_ai_context_snapshot</w:t>
            </w:r>
          </w:p>
        </w:tc>
      </w:tr>
      <w:tr>
        <w:tc>
          <w:tcPr>
            <w:tcW w:type="dxa" w:w="2882"/>
          </w:tcPr>
          <w:p>
            <w:pPr>
              <w:spacing w:after="40"/>
            </w:pPr>
            <w:r/>
            <w:r>
              <w:rPr>
                <w:rFonts w:ascii="Times New Roman" w:hAnsi="Times New Roman" w:eastAsia="宋体"/>
                <w:b w:val="0"/>
                <w:sz w:val="18"/>
              </w:rPr>
              <w:t>测试策划与设计域</w:t>
            </w:r>
          </w:p>
        </w:tc>
        <w:tc>
          <w:tcPr>
            <w:tcW w:type="dxa" w:w="2882"/>
          </w:tcPr>
          <w:p>
            <w:pPr>
              <w:spacing w:after="40"/>
            </w:pPr>
            <w:r/>
            <w:r>
              <w:rPr>
                <w:rFonts w:ascii="Times New Roman" w:hAnsi="Times New Roman" w:eastAsia="宋体"/>
                <w:b w:val="0"/>
                <w:sz w:val="18"/>
              </w:rPr>
              <w:t>14</w:t>
            </w:r>
          </w:p>
        </w:tc>
        <w:tc>
          <w:tcPr>
            <w:tcW w:type="dxa" w:w="2882"/>
          </w:tcPr>
          <w:p>
            <w:pPr>
              <w:spacing w:after="40"/>
            </w:pPr>
            <w:r/>
            <w:r>
              <w:rPr>
                <w:rFonts w:ascii="Times New Roman" w:hAnsi="Times New Roman" w:eastAsia="宋体"/>
                <w:b w:val="0"/>
                <w:sz w:val="18"/>
              </w:rPr>
              <w:t>t_test_strategy(_version)、t_test_plan(_version)、t_testing_ir、t_business_rule、t_test_scenario、t_design_test_case、t_test_case(_version)、t_assertion、t_test_suite(_version)、t_test_suite_case_mapping</w:t>
            </w:r>
          </w:p>
        </w:tc>
      </w:tr>
      <w:tr>
        <w:tc>
          <w:tcPr>
            <w:tcW w:type="dxa" w:w="2882"/>
          </w:tcPr>
          <w:p>
            <w:pPr>
              <w:spacing w:after="40"/>
            </w:pPr>
            <w:r/>
            <w:r>
              <w:rPr>
                <w:rFonts w:ascii="Times New Roman" w:hAnsi="Times New Roman" w:eastAsia="宋体"/>
                <w:b w:val="0"/>
                <w:sz w:val="18"/>
              </w:rPr>
              <w:t>自动化测试开发域</w:t>
            </w:r>
          </w:p>
        </w:tc>
        <w:tc>
          <w:tcPr>
            <w:tcW w:type="dxa" w:w="2882"/>
          </w:tcPr>
          <w:p>
            <w:pPr>
              <w:spacing w:after="40"/>
            </w:pPr>
            <w:r/>
            <w:r>
              <w:rPr>
                <w:rFonts w:ascii="Times New Roman" w:hAnsi="Times New Roman" w:eastAsia="宋体"/>
                <w:b w:val="0"/>
                <w:sz w:val="18"/>
              </w:rPr>
              <w:t>10</w:t>
            </w:r>
          </w:p>
        </w:tc>
        <w:tc>
          <w:tcPr>
            <w:tcW w:type="dxa" w:w="2882"/>
          </w:tcPr>
          <w:p>
            <w:pPr>
              <w:spacing w:after="40"/>
            </w:pPr>
            <w:r/>
            <w:r>
              <w:rPr>
                <w:rFonts w:ascii="Times New Roman" w:hAnsi="Times New Roman" w:eastAsia="宋体"/>
                <w:b w:val="0"/>
                <w:sz w:val="18"/>
              </w:rPr>
              <w:t>t_automation_script、t_automation_script_version、t_automation_script_version_case_binding、t_automation_check_run、t_test_data、t_test_data_profile、t_locator、t_mock_config、t_visual_baseline、t_performance_baseline</w:t>
            </w:r>
          </w:p>
        </w:tc>
      </w:tr>
      <w:tr>
        <w:tc>
          <w:tcPr>
            <w:tcW w:type="dxa" w:w="2882"/>
          </w:tcPr>
          <w:p>
            <w:pPr>
              <w:spacing w:after="40"/>
            </w:pPr>
            <w:r/>
            <w:r>
              <w:rPr>
                <w:rFonts w:ascii="Times New Roman" w:hAnsi="Times New Roman" w:eastAsia="宋体"/>
                <w:b w:val="0"/>
                <w:sz w:val="18"/>
              </w:rPr>
              <w:t>测试执行域</w:t>
            </w:r>
          </w:p>
        </w:tc>
        <w:tc>
          <w:tcPr>
            <w:tcW w:type="dxa" w:w="2882"/>
          </w:tcPr>
          <w:p>
            <w:pPr>
              <w:spacing w:after="40"/>
            </w:pPr>
            <w:r/>
            <w:r>
              <w:rPr>
                <w:rFonts w:ascii="Times New Roman" w:hAnsi="Times New Roman" w:eastAsia="宋体"/>
                <w:b w:val="0"/>
                <w:sz w:val="18"/>
              </w:rPr>
              <w:t>9</w:t>
            </w:r>
          </w:p>
        </w:tc>
        <w:tc>
          <w:tcPr>
            <w:tcW w:type="dxa" w:w="2882"/>
          </w:tcPr>
          <w:p>
            <w:pPr>
              <w:spacing w:after="40"/>
            </w:pPr>
            <w:r/>
            <w:r>
              <w:rPr>
                <w:rFonts w:ascii="Times New Roman" w:hAnsi="Times New Roman" w:eastAsia="宋体"/>
                <w:b w:val="0"/>
                <w:sz w:val="18"/>
              </w:rPr>
              <w:t>t_execution_plan(_version)、t_execution_contract_baseline、t_execution_task、t_execution_task_event、t_execution_result、t_execution_artifact、t_api_observation、t_contract_check_result</w:t>
            </w:r>
          </w:p>
        </w:tc>
      </w:tr>
      <w:tr>
        <w:tc>
          <w:tcPr>
            <w:tcW w:type="dxa" w:w="2882"/>
          </w:tcPr>
          <w:p>
            <w:pPr>
              <w:spacing w:after="40"/>
            </w:pPr>
            <w:r/>
            <w:r>
              <w:rPr>
                <w:rFonts w:ascii="Times New Roman" w:hAnsi="Times New Roman" w:eastAsia="宋体"/>
                <w:b w:val="0"/>
                <w:sz w:val="18"/>
              </w:rPr>
              <w:t>质量分析与缺陷域</w:t>
            </w:r>
          </w:p>
        </w:tc>
        <w:tc>
          <w:tcPr>
            <w:tcW w:type="dxa" w:w="2882"/>
          </w:tcPr>
          <w:p>
            <w:pPr>
              <w:spacing w:after="40"/>
            </w:pPr>
            <w:r/>
            <w:r>
              <w:rPr>
                <w:rFonts w:ascii="Times New Roman" w:hAnsi="Times New Roman" w:eastAsia="宋体"/>
                <w:b w:val="0"/>
                <w:sz w:val="18"/>
              </w:rPr>
              <w:t>17</w:t>
            </w:r>
          </w:p>
        </w:tc>
        <w:tc>
          <w:tcPr>
            <w:tcW w:type="dxa" w:w="2882"/>
          </w:tcPr>
          <w:p>
            <w:pPr>
              <w:spacing w:after="40"/>
            </w:pPr>
            <w:r/>
            <w:r>
              <w:rPr>
                <w:rFonts w:ascii="Times New Roman" w:hAnsi="Times New Roman" w:eastAsia="宋体"/>
                <w:b w:val="0"/>
                <w:sz w:val="18"/>
              </w:rPr>
              <w:t>t_result_analysis(_version)、t_failure_analysis、t_failure_cluster(_member)、t_coverage_report、t_defect、t_defect_version、t_defect_evidence、t_defect_status_event、t_external_defect_link、t_defect_sync_attempt、t_test_report(_version)、t_quality_gate、t_pipeline_config、t_pipeline_run</w:t>
            </w:r>
          </w:p>
        </w:tc>
      </w:tr>
      <w:tr>
        <w:tc>
          <w:tcPr>
            <w:tcW w:type="dxa" w:w="2882"/>
          </w:tcPr>
          <w:p>
            <w:pPr>
              <w:spacing w:after="40"/>
            </w:pPr>
            <w:r/>
            <w:r>
              <w:rPr>
                <w:rFonts w:ascii="Times New Roman" w:hAnsi="Times New Roman" w:eastAsia="宋体"/>
                <w:b w:val="0"/>
                <w:sz w:val="18"/>
              </w:rPr>
              <w:t>AI Agent 中心域</w:t>
            </w:r>
          </w:p>
        </w:tc>
        <w:tc>
          <w:tcPr>
            <w:tcW w:type="dxa" w:w="2882"/>
          </w:tcPr>
          <w:p>
            <w:pPr>
              <w:spacing w:after="40"/>
            </w:pPr>
            <w:r/>
            <w:r>
              <w:rPr>
                <w:rFonts w:ascii="Times New Roman" w:hAnsi="Times New Roman" w:eastAsia="宋体"/>
                <w:b w:val="0"/>
                <w:sz w:val="18"/>
              </w:rPr>
              <w:t>16</w:t>
            </w:r>
          </w:p>
        </w:tc>
        <w:tc>
          <w:tcPr>
            <w:tcW w:type="dxa" w:w="2882"/>
          </w:tcPr>
          <w:p>
            <w:pPr>
              <w:spacing w:after="40"/>
            </w:pPr>
            <w:r/>
            <w:r>
              <w:rPr>
                <w:rFonts w:ascii="Times New Roman" w:hAnsi="Times New Roman" w:eastAsia="宋体"/>
                <w:b w:val="0"/>
                <w:sz w:val="18"/>
              </w:rPr>
              <w:t>t_skill、t_agent、t_agent_workflow、t_agent_prompt_version、t_agent_session、t_agent_trace_node、t_skill_invocation、t_eval_dataset/case/run/result、t_calibration_record、t_verify_verdict、t_workspace_skill_enablement、t_workspace_agent_enablement、t_agent_skill_grant</w:t>
            </w:r>
          </w:p>
        </w:tc>
      </w:tr>
    </w:tbl>
    <w:p>
      <w:pPr>
        <w:spacing w:after="120" w:line="360" w:lineRule="auto"/>
        <w:ind w:firstLine="480"/>
      </w:pPr>
      <w:r>
        <w:rPr>
          <w:rFonts w:ascii="Times New Roman" w:hAnsi="Times New Roman" w:eastAsia="宋体"/>
          <w:b w:val="0"/>
          <w:sz w:val="24"/>
        </w:rPr>
        <w:t>逻辑结构遵循四条总体模式。其一,正式产出物采用稳定根表加不可变版本表:策略、计划、用例、套件、脚本、执行计划、分析、Defect、报告、需求文档、APIContract 与知识条目均有稳定身份表与版本表,版本表创建后正文不可 UPDATE,稳定根通过 current_version_id 与 published_version_id 指针引用,指针必须属于同一聚合根、租户与 Workspace。其二,事实表只追加:审计日志、授权决定、工作项事件、检查运行、执行结果、执行制品、API 观察、契约检查结果、Defect 状态事件、同步尝试、Agent 会话、Trace 节点、Skill 调用与评测运行对应用角色 REVOKE UPDATE 与 DELETE。其三,唯一写入所有者决定写入边界:任务看板写 WorkItem 族;知识库写来源、契约与知识;测试执行写执行证据;质量分析写分析、Defect 与报告;AI 中心写会话与 Trace;平台管理写身份、Secret 与集成配置;关系表、版本表与状态事件默认跟随聚合根。其四,跨域引用固定 ID、versionId 与必要 contentDigest,禁止只引用"当前最新版本"这类漂移指针。</w:t>
      </w:r>
    </w:p>
    <w:p>
      <w:pPr>
        <w:spacing w:after="80"/>
      </w:pPr>
      <w:r>
        <w:rPr>
          <w:rFonts w:ascii="Times New Roman" w:hAnsi="Times New Roman" w:eastAsia="宋体"/>
          <w:b w:val="0"/>
          <w:color w:val="666666"/>
          <w:sz w:val="18"/>
        </w:rPr>
        <w:t>（来源:33-数据库Schema设计.md §1、§3 至 §11、§12;05-功能模块重构方案 §5.12）</w:t>
      </w:r>
    </w:p>
    <w:p>
      <w:pPr>
        <w:pStyle w:val="Heading2"/>
        <w:spacing w:before="240" w:after="120"/>
      </w:pPr>
      <w:r>
        <w:rPr>
          <w:rFonts w:ascii="Times New Roman" w:hAnsi="Times New Roman" w:eastAsia="黑体"/>
          <w:b/>
          <w:color w:val="1F3A5F"/>
          <w:sz w:val="28"/>
        </w:rPr>
        <w:t>4.2 物理结构设计</w:t>
      </w:r>
    </w:p>
    <w:p>
      <w:pPr>
        <w:spacing w:after="120" w:line="360" w:lineRule="auto"/>
        <w:ind w:firstLine="480"/>
      </w:pPr>
      <w:r>
        <w:rPr>
          <w:rFonts w:ascii="Times New Roman" w:hAnsi="Times New Roman" w:eastAsia="宋体"/>
          <w:b w:val="0"/>
          <w:sz w:val="24"/>
        </w:rPr>
        <w:t>物理设计以 PostgreSQL 16 为目标,主要安排如下。其一,存储与扩展:UUID 主键;复杂受控结构使用 JSONB;正文与制品保存受控对象存储引用与 digest;启用 uuid-ossp 与 vector 扩展;关系与依赖图以邻接表加递归查询建模,不引入独立图数据库;向量仅作为检索索引,不作为权威事实。其二,数据库角色:qf_owner 负责迁移与种子,运行期严禁使用;qf_app_user 为应用连接身份,非表 owner、非 superuser、无 BYPASSRLS。其三,多租户隔离:租户内业务表必须带 tenant_id,Workspace 内业务表同时带 workspace_id;每个事务开始以参数化 set_config 注入当前租户与主体上下文,事务结束随 SET LOCAL 语义清除;所有租户表 ENABLE 并 FORCE ROW LEVEL SECURITY,RLS 策略按租户上下文过滤;全局内置 Skill、Agent、Workflow、Eval 与 RoleDefinition 等允许 tenant_id 为空的行只能由 qf_owner 写入。其四,索引基线:除各表唯一约束外,为看板查询、审核收件箱、版本倒序、执行任务状态、同步尝试状态与 Agent 会话等高频路径建立 33 号规定的必需索引;向量、JSONB 与全文索引在真实查询与数据规模证据建立后再补充,不预设所有 JSONB 均需 GIN。其五,物理删除限制:历史引用默认 ON DELETE RESTRICT,仅纯派生索引允许级联重建;正式产出物废弃与归档替代删除。其六,API 与 DB 命名映射:API 使用 camelCase,DB 使用 snake_case,由 ORM 显式映射。</w:t>
      </w:r>
    </w:p>
    <w:p>
      <w:pPr>
        <w:spacing w:after="80"/>
      </w:pPr>
      <w:r>
        <w:rPr>
          <w:rFonts w:ascii="Times New Roman" w:hAnsi="Times New Roman" w:eastAsia="宋体"/>
          <w:b w:val="0"/>
          <w:color w:val="666666"/>
          <w:sz w:val="18"/>
        </w:rPr>
        <w:t>（来源:33-数据库Schema设计.md §1、§2、§12、§13;30-技术选型决策.md §2.2、§3）</w:t>
      </w:r>
    </w:p>
    <w:p>
      <w:pPr>
        <w:pStyle w:val="Heading2"/>
        <w:spacing w:before="240" w:after="120"/>
      </w:pPr>
      <w:r>
        <w:rPr>
          <w:rFonts w:ascii="Times New Roman" w:hAnsi="Times New Roman" w:eastAsia="黑体"/>
          <w:b/>
          <w:color w:val="1F3A5F"/>
          <w:sz w:val="28"/>
        </w:rPr>
        <w:t>4.3 数据结构与程序的关系</w:t>
      </w:r>
    </w:p>
    <w:p>
      <w:pPr>
        <w:spacing w:after="120" w:line="360" w:lineRule="auto"/>
        <w:ind w:firstLine="480"/>
      </w:pPr>
      <w:r>
        <w:rPr>
          <w:rFonts w:ascii="Times New Roman" w:hAnsi="Times New Roman" w:eastAsia="宋体"/>
          <w:b w:val="0"/>
          <w:sz w:val="24"/>
        </w:rPr>
        <w:t>数据结构与程序的关系遵循"领域服务写本域表、跨域只读引用"的原则,映射如下表。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sz w:val="18"/>
              </w:rPr>
              <w:t>领域服务</w:t>
            </w:r>
          </w:p>
        </w:tc>
        <w:tc>
          <w:tcPr>
            <w:tcW w:type="dxa" w:w="2161"/>
            <w:shd w:val="clear" w:fill="EDF0F5"/>
          </w:tcPr>
          <w:p>
            <w:pPr>
              <w:spacing w:after="40"/>
            </w:pPr>
            <w:r/>
            <w:r>
              <w:rPr>
                <w:rFonts w:ascii="Times New Roman" w:hAnsi="Times New Roman" w:eastAsia="黑体"/>
                <w:b/>
                <w:sz w:val="18"/>
              </w:rPr>
              <w:t>写入的主要表</w:t>
            </w:r>
          </w:p>
        </w:tc>
        <w:tc>
          <w:tcPr>
            <w:tcW w:type="dxa" w:w="2161"/>
            <w:shd w:val="clear" w:fill="EDF0F5"/>
          </w:tcPr>
          <w:p>
            <w:pPr>
              <w:spacing w:after="40"/>
            </w:pPr>
            <w:r/>
            <w:r>
              <w:rPr>
                <w:rFonts w:ascii="Times New Roman" w:hAnsi="Times New Roman" w:eastAsia="黑体"/>
                <w:b/>
                <w:sz w:val="18"/>
              </w:rPr>
              <w:t>只读消费的表</w:t>
            </w:r>
          </w:p>
        </w:tc>
        <w:tc>
          <w:tcPr>
            <w:tcW w:type="dxa" w:w="2161"/>
            <w:shd w:val="clear" w:fill="EDF0F5"/>
          </w:tcPr>
          <w:p>
            <w:pPr>
              <w:spacing w:after="40"/>
            </w:pPr>
            <w:r/>
            <w:r>
              <w:rPr>
                <w:rFonts w:ascii="Times New Roman" w:hAnsi="Times New Roman" w:eastAsia="黑体"/>
                <w:b/>
                <w:sz w:val="18"/>
              </w:rPr>
              <w:t>交互方式</w:t>
            </w:r>
          </w:p>
        </w:tc>
      </w:tr>
      <w:tr>
        <w:tc>
          <w:tcPr>
            <w:tcW w:type="dxa" w:w="2161"/>
          </w:tcPr>
          <w:p>
            <w:pPr>
              <w:spacing w:after="40"/>
            </w:pPr>
            <w:r/>
            <w:r>
              <w:rPr>
                <w:rFonts w:ascii="Times New Roman" w:hAnsi="Times New Roman" w:eastAsia="宋体"/>
                <w:b w:val="0"/>
                <w:sz w:val="18"/>
              </w:rPr>
              <w:t>任务看板服务</w:t>
            </w:r>
          </w:p>
        </w:tc>
        <w:tc>
          <w:tcPr>
            <w:tcW w:type="dxa" w:w="2161"/>
          </w:tcPr>
          <w:p>
            <w:pPr>
              <w:spacing w:after="40"/>
            </w:pPr>
            <w:r/>
            <w:r>
              <w:rPr>
                <w:rFonts w:ascii="Times New Roman" w:hAnsi="Times New Roman" w:eastAsia="宋体"/>
                <w:b w:val="0"/>
                <w:sz w:val="18"/>
              </w:rPr>
              <w:t>t_work_item 族、t_review_task 族</w:t>
            </w:r>
          </w:p>
        </w:tc>
        <w:tc>
          <w:tcPr>
            <w:tcW w:type="dxa" w:w="2161"/>
          </w:tcPr>
          <w:p>
            <w:pPr>
              <w:spacing w:after="40"/>
            </w:pPr>
            <w:r/>
            <w:r>
              <w:rPr>
                <w:rFonts w:ascii="Times New Roman" w:hAnsi="Times New Roman" w:eastAsia="宋体"/>
                <w:b w:val="0"/>
                <w:sz w:val="18"/>
              </w:rPr>
              <w:t>各产出物版本表(经 Artifact 引用)</w:t>
            </w:r>
          </w:p>
        </w:tc>
        <w:tc>
          <w:tcPr>
            <w:tcW w:type="dxa" w:w="2161"/>
          </w:tcPr>
          <w:p>
            <w:pPr>
              <w:spacing w:after="40"/>
            </w:pPr>
            <w:r/>
            <w:r>
              <w:rPr>
                <w:rFonts w:ascii="Times New Roman" w:hAnsi="Times New Roman" w:eastAsia="宋体"/>
                <w:b w:val="0"/>
                <w:sz w:val="18"/>
              </w:rPr>
              <w:t>经 WorkItemArtifact 关联精确版本;审核绑定版本与摘要</w:t>
            </w:r>
          </w:p>
        </w:tc>
      </w:tr>
      <w:tr>
        <w:tc>
          <w:tcPr>
            <w:tcW w:type="dxa" w:w="2161"/>
          </w:tcPr>
          <w:p>
            <w:pPr>
              <w:spacing w:after="40"/>
            </w:pPr>
            <w:r/>
            <w:r>
              <w:rPr>
                <w:rFonts w:ascii="Times New Roman" w:hAnsi="Times New Roman" w:eastAsia="宋体"/>
                <w:b w:val="0"/>
                <w:sz w:val="18"/>
              </w:rPr>
              <w:t>知识库服务</w:t>
            </w:r>
          </w:p>
        </w:tc>
        <w:tc>
          <w:tcPr>
            <w:tcW w:type="dxa" w:w="2161"/>
          </w:tcPr>
          <w:p>
            <w:pPr>
              <w:spacing w:after="40"/>
            </w:pPr>
            <w:r/>
            <w:r>
              <w:rPr>
                <w:rFonts w:ascii="Times New Roman" w:hAnsi="Times New Roman" w:eastAsia="宋体"/>
                <w:b w:val="0"/>
                <w:sz w:val="18"/>
              </w:rPr>
              <w:t>t_source_snapshot、t_api_contract 族、t_knowledge_entry 族、t_knowledge_graph 等</w:t>
            </w:r>
          </w:p>
        </w:tc>
        <w:tc>
          <w:tcPr>
            <w:tcW w:type="dxa" w:w="2161"/>
          </w:tcPr>
          <w:p>
            <w:pPr>
              <w:spacing w:after="40"/>
            </w:pPr>
            <w:r/>
            <w:r>
              <w:rPr>
                <w:rFonts w:ascii="Times New Roman" w:hAnsi="Times New Roman" w:eastAsia="宋体"/>
                <w:b w:val="0"/>
                <w:sz w:val="18"/>
              </w:rPr>
              <w:t>无跨域写</w:t>
            </w:r>
          </w:p>
        </w:tc>
        <w:tc>
          <w:tcPr>
            <w:tcW w:type="dxa" w:w="2161"/>
          </w:tcPr>
          <w:p>
            <w:pPr>
              <w:spacing w:after="40"/>
            </w:pPr>
            <w:r/>
            <w:r>
              <w:rPr>
                <w:rFonts w:ascii="Times New Roman" w:hAnsi="Times New Roman" w:eastAsia="宋体"/>
                <w:b w:val="0"/>
                <w:sz w:val="18"/>
              </w:rPr>
              <w:t>对外提供唯一命令面,其他模块只做代理或提交请求</w:t>
            </w:r>
          </w:p>
        </w:tc>
      </w:tr>
      <w:tr>
        <w:tc>
          <w:tcPr>
            <w:tcW w:type="dxa" w:w="2161"/>
          </w:tcPr>
          <w:p>
            <w:pPr>
              <w:spacing w:after="40"/>
            </w:pPr>
            <w:r/>
            <w:r>
              <w:rPr>
                <w:rFonts w:ascii="Times New Roman" w:hAnsi="Times New Roman" w:eastAsia="宋体"/>
                <w:b w:val="0"/>
                <w:sz w:val="18"/>
              </w:rPr>
              <w:t>测试策划与设计服务</w:t>
            </w:r>
          </w:p>
        </w:tc>
        <w:tc>
          <w:tcPr>
            <w:tcW w:type="dxa" w:w="2161"/>
          </w:tcPr>
          <w:p>
            <w:pPr>
              <w:spacing w:after="40"/>
            </w:pPr>
            <w:r/>
            <w:r>
              <w:rPr>
                <w:rFonts w:ascii="Times New Roman" w:hAnsi="Times New Roman" w:eastAsia="宋体"/>
                <w:b w:val="0"/>
                <w:sz w:val="18"/>
              </w:rPr>
              <w:t>t_test_strategy 族、t_test_plan 族、t_test_case 族、t_testing_ir 等</w:t>
            </w:r>
          </w:p>
        </w:tc>
        <w:tc>
          <w:tcPr>
            <w:tcW w:type="dxa" w:w="2161"/>
          </w:tcPr>
          <w:p>
            <w:pPr>
              <w:spacing w:after="40"/>
            </w:pPr>
            <w:r/>
            <w:r>
              <w:rPr>
                <w:rFonts w:ascii="Times New Roman" w:hAnsi="Times New Roman" w:eastAsia="宋体"/>
                <w:b w:val="0"/>
                <w:sz w:val="18"/>
              </w:rPr>
              <w:t>t_source_snapshot、t_api_contract_version</w:t>
            </w:r>
          </w:p>
        </w:tc>
        <w:tc>
          <w:tcPr>
            <w:tcW w:type="dxa" w:w="2161"/>
          </w:tcPr>
          <w:p>
            <w:pPr>
              <w:spacing w:after="40"/>
            </w:pPr>
            <w:r/>
            <w:r>
              <w:rPr>
                <w:rFonts w:ascii="Times New Roman" w:hAnsi="Times New Roman" w:eastAsia="宋体"/>
                <w:b w:val="0"/>
                <w:sz w:val="18"/>
              </w:rPr>
              <w:t>读取批准版本生成策略与用例;契约变化生成影响分析</w:t>
            </w:r>
          </w:p>
        </w:tc>
      </w:tr>
      <w:tr>
        <w:tc>
          <w:tcPr>
            <w:tcW w:type="dxa" w:w="2161"/>
          </w:tcPr>
          <w:p>
            <w:pPr>
              <w:spacing w:after="40"/>
            </w:pPr>
            <w:r/>
            <w:r>
              <w:rPr>
                <w:rFonts w:ascii="Times New Roman" w:hAnsi="Times New Roman" w:eastAsia="宋体"/>
                <w:b w:val="0"/>
                <w:sz w:val="18"/>
              </w:rPr>
              <w:t>自动化测试开发服务</w:t>
            </w:r>
          </w:p>
        </w:tc>
        <w:tc>
          <w:tcPr>
            <w:tcW w:type="dxa" w:w="2161"/>
          </w:tcPr>
          <w:p>
            <w:pPr>
              <w:spacing w:after="40"/>
            </w:pPr>
            <w:r/>
            <w:r>
              <w:rPr>
                <w:rFonts w:ascii="Times New Roman" w:hAnsi="Times New Roman" w:eastAsia="宋体"/>
                <w:b w:val="0"/>
                <w:sz w:val="18"/>
              </w:rPr>
              <w:t>t_automation_script 族、t_test_data、t_locator、t_mock_config</w:t>
            </w:r>
          </w:p>
        </w:tc>
        <w:tc>
          <w:tcPr>
            <w:tcW w:type="dxa" w:w="2161"/>
          </w:tcPr>
          <w:p>
            <w:pPr>
              <w:spacing w:after="40"/>
            </w:pPr>
            <w:r/>
            <w:r>
              <w:rPr>
                <w:rFonts w:ascii="Times New Roman" w:hAnsi="Times New Roman" w:eastAsia="宋体"/>
                <w:b w:val="0"/>
                <w:sz w:val="18"/>
              </w:rPr>
              <w:t>t_test_case_version、t_api_contract_version</w:t>
            </w:r>
          </w:p>
        </w:tc>
        <w:tc>
          <w:tcPr>
            <w:tcW w:type="dxa" w:w="2161"/>
          </w:tcPr>
          <w:p>
            <w:pPr>
              <w:spacing w:after="40"/>
            </w:pPr>
            <w:r/>
            <w:r>
              <w:rPr>
                <w:rFonts w:ascii="Times New Roman" w:hAnsi="Times New Roman" w:eastAsia="宋体"/>
                <w:b w:val="0"/>
                <w:sz w:val="18"/>
              </w:rPr>
              <w:t>绑定精确用例与 Operation 版本;检查与试运行证据入 t_automation_check_run</w:t>
            </w:r>
          </w:p>
        </w:tc>
      </w:tr>
      <w:tr>
        <w:tc>
          <w:tcPr>
            <w:tcW w:type="dxa" w:w="2161"/>
          </w:tcPr>
          <w:p>
            <w:pPr>
              <w:spacing w:after="40"/>
            </w:pPr>
            <w:r/>
            <w:r>
              <w:rPr>
                <w:rFonts w:ascii="Times New Roman" w:hAnsi="Times New Roman" w:eastAsia="宋体"/>
                <w:b w:val="0"/>
                <w:sz w:val="18"/>
              </w:rPr>
              <w:t>测试执行服务</w:t>
            </w:r>
          </w:p>
        </w:tc>
        <w:tc>
          <w:tcPr>
            <w:tcW w:type="dxa" w:w="2161"/>
          </w:tcPr>
          <w:p>
            <w:pPr>
              <w:spacing w:after="40"/>
            </w:pPr>
            <w:r/>
            <w:r>
              <w:rPr>
                <w:rFonts w:ascii="Times New Roman" w:hAnsi="Times New Roman" w:eastAsia="宋体"/>
                <w:b w:val="0"/>
                <w:sz w:val="18"/>
              </w:rPr>
              <w:t>t_execution_plan 族、t_execution_task、t_execution_result、t_execution_artifact、t_api_observation</w:t>
            </w:r>
          </w:p>
        </w:tc>
        <w:tc>
          <w:tcPr>
            <w:tcW w:type="dxa" w:w="2161"/>
          </w:tcPr>
          <w:p>
            <w:pPr>
              <w:spacing w:after="40"/>
            </w:pPr>
            <w:r/>
            <w:r>
              <w:rPr>
                <w:rFonts w:ascii="Times New Roman" w:hAnsi="Times New Roman" w:eastAsia="宋体"/>
                <w:b w:val="0"/>
                <w:sz w:val="18"/>
              </w:rPr>
              <w:t>脚本与用例批准版本、契约基线</w:t>
            </w:r>
          </w:p>
        </w:tc>
        <w:tc>
          <w:tcPr>
            <w:tcW w:type="dxa" w:w="2161"/>
          </w:tcPr>
          <w:p>
            <w:pPr>
              <w:spacing w:after="40"/>
            </w:pPr>
            <w:r/>
            <w:r>
              <w:rPr>
                <w:rFonts w:ascii="Times New Roman" w:hAnsi="Times New Roman" w:eastAsia="宋体"/>
                <w:b w:val="0"/>
                <w:sz w:val="18"/>
              </w:rPr>
              <w:t>启动时冻结版本快照;结果只追加,分析不能反写</w:t>
            </w:r>
          </w:p>
        </w:tc>
      </w:tr>
      <w:tr>
        <w:tc>
          <w:tcPr>
            <w:tcW w:type="dxa" w:w="2161"/>
          </w:tcPr>
          <w:p>
            <w:pPr>
              <w:spacing w:after="40"/>
            </w:pPr>
            <w:r/>
            <w:r>
              <w:rPr>
                <w:rFonts w:ascii="Times New Roman" w:hAnsi="Times New Roman" w:eastAsia="宋体"/>
                <w:b w:val="0"/>
                <w:sz w:val="18"/>
              </w:rPr>
              <w:t>质量分析与缺陷服务</w:t>
            </w:r>
          </w:p>
        </w:tc>
        <w:tc>
          <w:tcPr>
            <w:tcW w:type="dxa" w:w="2161"/>
          </w:tcPr>
          <w:p>
            <w:pPr>
              <w:spacing w:after="40"/>
            </w:pPr>
            <w:r/>
            <w:r>
              <w:rPr>
                <w:rFonts w:ascii="Times New Roman" w:hAnsi="Times New Roman" w:eastAsia="宋体"/>
                <w:b w:val="0"/>
                <w:sz w:val="18"/>
              </w:rPr>
              <w:t>t_result_analysis 族、t_failure_*、t_defect 族、t_test_report 族、t_quality_gate</w:t>
            </w:r>
          </w:p>
        </w:tc>
        <w:tc>
          <w:tcPr>
            <w:tcW w:type="dxa" w:w="2161"/>
          </w:tcPr>
          <w:p>
            <w:pPr>
              <w:spacing w:after="40"/>
            </w:pPr>
            <w:r/>
            <w:r>
              <w:rPr>
                <w:rFonts w:ascii="Times New Roman" w:hAnsi="Times New Roman" w:eastAsia="宋体"/>
                <w:b w:val="0"/>
                <w:sz w:val="18"/>
              </w:rPr>
              <w:t>t_execution_result、t_execution_artifact</w:t>
            </w:r>
          </w:p>
        </w:tc>
        <w:tc>
          <w:tcPr>
            <w:tcW w:type="dxa" w:w="2161"/>
          </w:tcPr>
          <w:p>
            <w:pPr>
              <w:spacing w:after="40"/>
            </w:pPr>
            <w:r/>
            <w:r>
              <w:rPr>
                <w:rFonts w:ascii="Times New Roman" w:hAnsi="Times New Roman" w:eastAsia="宋体"/>
                <w:b w:val="0"/>
                <w:sz w:val="18"/>
              </w:rPr>
              <w:t>分析引用不可变执行证据;外部写入经同步尝试表</w:t>
            </w:r>
          </w:p>
        </w:tc>
      </w:tr>
      <w:tr>
        <w:tc>
          <w:tcPr>
            <w:tcW w:type="dxa" w:w="2161"/>
          </w:tcPr>
          <w:p>
            <w:pPr>
              <w:spacing w:after="40"/>
            </w:pPr>
            <w:r/>
            <w:r>
              <w:rPr>
                <w:rFonts w:ascii="Times New Roman" w:hAnsi="Times New Roman" w:eastAsia="宋体"/>
                <w:b w:val="0"/>
                <w:sz w:val="18"/>
              </w:rPr>
              <w:t>AI Agent 中心服务</w:t>
            </w:r>
          </w:p>
        </w:tc>
        <w:tc>
          <w:tcPr>
            <w:tcW w:type="dxa" w:w="2161"/>
          </w:tcPr>
          <w:p>
            <w:pPr>
              <w:spacing w:after="40"/>
            </w:pPr>
            <w:r/>
            <w:r>
              <w:rPr>
                <w:rFonts w:ascii="Times New Roman" w:hAnsi="Times New Roman" w:eastAsia="宋体"/>
                <w:b w:val="0"/>
                <w:sz w:val="18"/>
              </w:rPr>
              <w:t>t_agent、t_skill、t_agent_session、t_agent_trace_node、t_skill_invocation、t_eval_*</w:t>
            </w:r>
          </w:p>
        </w:tc>
        <w:tc>
          <w:tcPr>
            <w:tcW w:type="dxa" w:w="2161"/>
          </w:tcPr>
          <w:p>
            <w:pPr>
              <w:spacing w:after="40"/>
            </w:pPr>
            <w:r/>
            <w:r>
              <w:rPr>
                <w:rFonts w:ascii="Times New Roman" w:hAnsi="Times New Roman" w:eastAsia="宋体"/>
                <w:b w:val="0"/>
                <w:sz w:val="18"/>
              </w:rPr>
              <w:t>各业务 Owner 表的只读视图</w:t>
            </w:r>
          </w:p>
        </w:tc>
        <w:tc>
          <w:tcPr>
            <w:tcW w:type="dxa" w:w="2161"/>
          </w:tcPr>
          <w:p>
            <w:pPr>
              <w:spacing w:after="40"/>
            </w:pPr>
            <w:r/>
            <w:r>
              <w:rPr>
                <w:rFonts w:ascii="Times New Roman" w:hAnsi="Times New Roman" w:eastAsia="宋体"/>
                <w:b w:val="0"/>
                <w:sz w:val="18"/>
              </w:rPr>
              <w:t>Agent 生成的业务草稿由业务 Owner 持久化;AI 运行证据归本域</w:t>
            </w:r>
          </w:p>
        </w:tc>
      </w:tr>
      <w:tr>
        <w:tc>
          <w:tcPr>
            <w:tcW w:type="dxa" w:w="2161"/>
          </w:tcPr>
          <w:p>
            <w:pPr>
              <w:spacing w:after="40"/>
            </w:pPr>
            <w:r/>
            <w:r>
              <w:rPr>
                <w:rFonts w:ascii="Times New Roman" w:hAnsi="Times New Roman" w:eastAsia="宋体"/>
                <w:b w:val="0"/>
                <w:sz w:val="18"/>
              </w:rPr>
              <w:t>平台管理服务</w:t>
            </w:r>
          </w:p>
        </w:tc>
        <w:tc>
          <w:tcPr>
            <w:tcW w:type="dxa" w:w="2161"/>
          </w:tcPr>
          <w:p>
            <w:pPr>
              <w:spacing w:after="40"/>
            </w:pPr>
            <w:r/>
            <w:r>
              <w:rPr>
                <w:rFonts w:ascii="Times New Roman" w:hAnsi="Times New Roman" w:eastAsia="宋体"/>
                <w:b w:val="0"/>
                <w:sz w:val="18"/>
              </w:rPr>
              <w:t>t_tenant、t_user、t_workspace、t_workspace_secret、t_llm_config、t_runner_node、t_integration_config、RBAC 表</w:t>
            </w:r>
          </w:p>
        </w:tc>
        <w:tc>
          <w:tcPr>
            <w:tcW w:type="dxa" w:w="2161"/>
          </w:tcPr>
          <w:p>
            <w:pPr>
              <w:spacing w:after="40"/>
            </w:pPr>
            <w:r/>
            <w:r>
              <w:rPr>
                <w:rFonts w:ascii="Times New Roman" w:hAnsi="Times New Roman" w:eastAsia="宋体"/>
                <w:b w:val="0"/>
                <w:sz w:val="18"/>
              </w:rPr>
              <w:t>全局审计与健康数据</w:t>
            </w:r>
          </w:p>
        </w:tc>
        <w:tc>
          <w:tcPr>
            <w:tcW w:type="dxa" w:w="2161"/>
          </w:tcPr>
          <w:p>
            <w:pPr>
              <w:spacing w:after="40"/>
            </w:pPr>
            <w:r/>
            <w:r>
              <w:rPr>
                <w:rFonts w:ascii="Times New Roman" w:hAnsi="Times New Roman" w:eastAsia="宋体"/>
                <w:b w:val="0"/>
                <w:sz w:val="18"/>
              </w:rPr>
              <w:t>Secret 只存密文;RBAC 变化写入版本化记录与审计</w:t>
            </w:r>
          </w:p>
        </w:tc>
      </w:tr>
    </w:tbl>
    <w:p>
      <w:pPr>
        <w:spacing w:after="120" w:line="360" w:lineRule="auto"/>
        <w:ind w:firstLine="480"/>
      </w:pPr>
      <w:r>
        <w:rPr>
          <w:rFonts w:ascii="Times New Roman" w:hAnsi="Times New Roman" w:eastAsia="宋体"/>
          <w:b w:val="0"/>
          <w:sz w:val="24"/>
        </w:rPr>
        <w:t>实现约束:任何服务不得直接 UPDATE 他域版本表正文与只追加表;跨域"建议"以 WorkItem 或 Candidate 形态存在,只有 Owner 接纳后才形成正式实体版本;稳定根指针外键由版本表完成后统一补充,应用服务必须额外校验指针版本属于同一聚合根、租户与 Workspace,普通外键无法表达该跨列约束。</w:t>
      </w:r>
    </w:p>
    <w:p>
      <w:pPr>
        <w:spacing w:after="80"/>
      </w:pPr>
      <w:r>
        <w:rPr>
          <w:rFonts w:ascii="Times New Roman" w:hAnsi="Times New Roman" w:eastAsia="宋体"/>
          <w:b w:val="0"/>
          <w:color w:val="666666"/>
          <w:sz w:val="18"/>
        </w:rPr>
        <w:t>（来源:33-数据库Schema设计.md §3 至 §13;05-功能模块重构方案 §5.12;31-系统架构设计.md §2）</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5 章 运行设计</w:t>
      </w:r>
    </w:p>
    <w:p>
      <w:pPr>
        <w:pStyle w:val="Heading2"/>
        <w:spacing w:before="240" w:after="120"/>
      </w:pPr>
      <w:r>
        <w:rPr>
          <w:rFonts w:ascii="Times New Roman" w:hAnsi="Times New Roman" w:eastAsia="黑体"/>
          <w:b/>
          <w:color w:val="1F3A5F"/>
          <w:sz w:val="28"/>
        </w:rPr>
        <w:t>5.1 运行模块组合</w:t>
      </w:r>
    </w:p>
    <w:p>
      <w:pPr>
        <w:spacing w:after="120" w:line="360" w:lineRule="auto"/>
        <w:ind w:firstLine="480"/>
      </w:pPr>
      <w:r>
        <w:rPr>
          <w:rFonts w:ascii="Times New Roman" w:hAnsi="Times New Roman" w:eastAsia="宋体"/>
          <w:b w:val="0"/>
          <w:sz w:val="24"/>
        </w:rPr>
        <w:t>系统按任务性质组织运行模块组合,不同组合由独立进程边界承载。正常运行组合为网关加模块化核心应用,承载 Web 交互、短事务、授权与审核决定。AI 生产组合在核心应用基础上叠加 Agent Worker,承担策略、计划、用例、代码、分析与报告的生成任务,Worker 以 WorkItem 加版本锁方式接收任务并按 Session 记录可审计证据。执行组合叠加 Runner,承担已批准资产的物理执行,Runner 在隔离环境拉取只读版本与短时 Secret,流式上传日志与证据。外部同步组合由核心应用内的同步调度驱动,逐次执行外部缺陷写入、Git 提交与 CI 门禁调用,每次形成独立 SyncAttempt。开发验证组合使用 Stage 4 本地 Profile,单进程内完成审核工作台、API 与 SQLite 数据。各组合共享同一数据真相源,消息与对象存储按需启用,避免在负载未验证前引入不必要的分布式组件。</w:t>
      </w:r>
    </w:p>
    <w:p>
      <w:pPr>
        <w:spacing w:after="80"/>
      </w:pPr>
      <w:r>
        <w:rPr>
          <w:rFonts w:ascii="Times New Roman" w:hAnsi="Times New Roman" w:eastAsia="宋体"/>
          <w:b w:val="0"/>
          <w:color w:val="666666"/>
          <w:sz w:val="18"/>
        </w:rPr>
        <w:t>（来源:31-系统架构设计.md §1、§6、§9;30-技术选型决策.md §1.1、§2.1）</w:t>
      </w:r>
    </w:p>
    <w:p>
      <w:pPr>
        <w:pStyle w:val="Heading2"/>
        <w:spacing w:before="240" w:after="120"/>
      </w:pPr>
      <w:r>
        <w:rPr>
          <w:rFonts w:ascii="Times New Roman" w:hAnsi="Times New Roman" w:eastAsia="黑体"/>
          <w:b/>
          <w:color w:val="1F3A5F"/>
          <w:sz w:val="28"/>
        </w:rPr>
        <w:t>5.2 运行控制</w:t>
      </w:r>
    </w:p>
    <w:p>
      <w:pPr>
        <w:spacing w:after="120" w:line="360" w:lineRule="auto"/>
        <w:ind w:firstLine="480"/>
      </w:pPr>
      <w:r>
        <w:rPr>
          <w:rFonts w:ascii="Times New Roman" w:hAnsi="Times New Roman" w:eastAsia="宋体"/>
          <w:b w:val="0"/>
          <w:sz w:val="24"/>
        </w:rPr>
        <w:t>运行控制围绕调度、租约、幂等与版本冻结展开。调度控制:Scheduler 按 Runner 能力、Workspace 范围、配额与资源池分配租约;Runner 心跳超时视为失联,按策略创建新 attempt,原 attempt 标记 ERROR 并保留证据;Runner 缺少所需框架或浏览器能力时任务在调度前失败并转 BLOCKED,不得运行后才静默降级。幂等控制:所有异步操作返回 WorkItem 或 attempt 资源,不以 HTTP 200 掩盖后台失败;API 写操作使用 Idempotency-Key,相同键不同载荷返回 IDEMPOTENCY_CONFLICT;消息消费者按稳定事件 ID 去重。重试控制:重试受预算与幂等约束,每次重试创建新 attempt 并保留旧证据,不覆盖历史;超过重试、成本或时间边界后 WorkItem 转 BLOCKED 等待人工处理。状态控制:WorkItem 采用统一状态机,状态与当前执行者分离,BLOCKED 必须记录结构化原因、责任方与恢复条件,用户主动暂停以 BLOCKED 加 blocked_reason=USER_PAUSED 承载;执行任务状态与用例业务结论分离,FAILED 与 ERROR 不可合并。版本控制:执行启动前校验引用版本摘要与配置摘要,摘要不匹配返回 STALE_ARTIFACT_VERSION 禁止执行;执行基线与授权快照在启动时冻结,不随最新版漂移。取消控制:取消停止未开始任务,运行中任务尽力终止并记录实际状态;WebSocket 不承载取消与批准命令,相关操作一律走 REST 并携带幂等键。</w:t>
      </w:r>
    </w:p>
    <w:p>
      <w:pPr>
        <w:spacing w:after="80"/>
      </w:pPr>
      <w:r>
        <w:rPr>
          <w:rFonts w:ascii="Times New Roman" w:hAnsi="Times New Roman" w:eastAsia="宋体"/>
          <w:b w:val="0"/>
          <w:color w:val="666666"/>
          <w:sz w:val="18"/>
        </w:rPr>
        <w:t>（来源:14-PRD-QualityIntelligence.md §3、§4、§5;31-系统架构设计.md §6、§8;05-功能模块重构方案 §5.5.4、§5.8.11;20-非功能需求.md §3、§4）</w:t>
      </w:r>
    </w:p>
    <w:p>
      <w:pPr>
        <w:pStyle w:val="Heading2"/>
        <w:spacing w:before="240" w:after="120"/>
      </w:pPr>
      <w:r>
        <w:rPr>
          <w:rFonts w:ascii="Times New Roman" w:hAnsi="Times New Roman" w:eastAsia="黑体"/>
          <w:b/>
          <w:color w:val="1F3A5F"/>
          <w:sz w:val="28"/>
        </w:rPr>
        <w:t>5.3 运行时间</w:t>
      </w:r>
    </w:p>
    <w:p>
      <w:pPr>
        <w:spacing w:after="120" w:line="360" w:lineRule="auto"/>
        <w:ind w:firstLine="480"/>
      </w:pPr>
      <w:r>
        <w:rPr>
          <w:rFonts w:ascii="Times New Roman" w:hAnsi="Times New Roman" w:eastAsia="宋体"/>
          <w:b w:val="0"/>
          <w:sz w:val="24"/>
        </w:rPr>
        <w:t>运行时间设计遵循"长任务不占 HTTP 等待"原则:导入、生成、检查、执行、分析、报告与外部同步全部建模为异步 WorkItem 或 attempt,API 立即返回资源标识与状态,后台按阶段推进。AI 步骤以首个结果与完整结果延迟分层度量,执行调度以排队时间、启动时间、有效并发与资源利用率度量,证据与报告以上传、索引、聚合与下载延迟度量。所有耗时步骤配置超时、预算与降级策略:LLM 调用按模型与干预点设置超时与熔断,不无限重试;执行任务按 attempt 设置超时,超时归 TIMEOUT 并保留已完成证据;外部集成按操作设置超时,超时后先按幂等键确认再决定重试。性能目标采用先基线后批准机制:V1 开发前建立单 Workspace 试点负载模型,每个版本的目标值以压测报告批准,不沿用未经实测的并发与延迟数字;效率与质量指标按 20 号受控指标登记表口径采集,全部指标当前无批准目标值,先测基线再批准。</w:t>
      </w:r>
    </w:p>
    <w:p>
      <w:pPr>
        <w:spacing w:after="80"/>
      </w:pPr>
      <w:r>
        <w:rPr>
          <w:rFonts w:ascii="Times New Roman" w:hAnsi="Times New Roman" w:eastAsia="宋体"/>
          <w:b w:val="0"/>
          <w:color w:val="666666"/>
          <w:sz w:val="18"/>
        </w:rPr>
        <w:t>（来源:20-非功能需求.md §1.1、§2、§3;30-技术选型决策.md §3;31-系统架构设计.md §3）</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6 章 出错处理设计</w:t>
      </w:r>
    </w:p>
    <w:p>
      <w:pPr>
        <w:pStyle w:val="Heading2"/>
        <w:spacing w:before="240" w:after="120"/>
      </w:pPr>
      <w:r>
        <w:rPr>
          <w:rFonts w:ascii="Times New Roman" w:hAnsi="Times New Roman" w:eastAsia="黑体"/>
          <w:b/>
          <w:color w:val="1F3A5F"/>
          <w:sz w:val="28"/>
        </w:rPr>
        <w:t>6.1 出错输出信息</w:t>
      </w:r>
    </w:p>
    <w:p>
      <w:pPr>
        <w:spacing w:after="120" w:line="360" w:lineRule="auto"/>
        <w:ind w:firstLine="480"/>
      </w:pPr>
      <w:r>
        <w:rPr>
          <w:rFonts w:ascii="Times New Roman" w:hAnsi="Times New Roman" w:eastAsia="宋体"/>
          <w:b w:val="0"/>
          <w:sz w:val="24"/>
        </w:rPr>
        <w:t>系统统一错误输出采用 32 号契约定义的结构化错误码与字段约定,错误响应至少包含错误码、可读信息与 traceId,服务端不得把数据库异常、密钥、内部路径或第三方原始敏感响应直接写入 message 或 details。统一错误码分为六类,清单如下表。</w:t>
      </w:r>
    </w:p>
    <w:tbl>
      <w:tblPr>
        <w:tblStyle w:val="TableGrid"/>
        <w:tblW w:type="auto" w:w="0"/>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sz w:val="18"/>
              </w:rPr>
              <w:t>类别</w:t>
            </w:r>
          </w:p>
        </w:tc>
        <w:tc>
          <w:tcPr>
            <w:tcW w:type="dxa" w:w="2882"/>
            <w:shd w:val="clear" w:fill="EDF0F5"/>
          </w:tcPr>
          <w:p>
            <w:pPr>
              <w:spacing w:after="40"/>
            </w:pPr>
            <w:r/>
            <w:r>
              <w:rPr>
                <w:rFonts w:ascii="Times New Roman" w:hAnsi="Times New Roman" w:eastAsia="黑体"/>
                <w:b/>
                <w:sz w:val="18"/>
              </w:rPr>
              <w:t>错误码</w:t>
            </w:r>
          </w:p>
        </w:tc>
        <w:tc>
          <w:tcPr>
            <w:tcW w:type="dxa" w:w="2882"/>
            <w:shd w:val="clear" w:fill="EDF0F5"/>
          </w:tcPr>
          <w:p>
            <w:pPr>
              <w:spacing w:after="40"/>
            </w:pPr>
            <w:r/>
            <w:r>
              <w:rPr>
                <w:rFonts w:ascii="Times New Roman" w:hAnsi="Times New Roman" w:eastAsia="黑体"/>
                <w:b/>
                <w:sz w:val="18"/>
              </w:rPr>
              <w:t>触发场景</w:t>
            </w:r>
          </w:p>
        </w:tc>
      </w:tr>
      <w:tr>
        <w:tc>
          <w:tcPr>
            <w:tcW w:type="dxa" w:w="2882"/>
          </w:tcPr>
          <w:p>
            <w:pPr>
              <w:spacing w:after="40"/>
            </w:pPr>
            <w:r/>
            <w:r>
              <w:rPr>
                <w:rFonts w:ascii="Times New Roman" w:hAnsi="Times New Roman" w:eastAsia="宋体"/>
                <w:b w:val="0"/>
                <w:sz w:val="18"/>
              </w:rPr>
              <w:t>校验与认证</w:t>
            </w:r>
          </w:p>
        </w:tc>
        <w:tc>
          <w:tcPr>
            <w:tcW w:type="dxa" w:w="2882"/>
          </w:tcPr>
          <w:p>
            <w:pPr>
              <w:spacing w:after="40"/>
            </w:pPr>
            <w:r/>
            <w:r>
              <w:rPr>
                <w:rFonts w:ascii="Times New Roman" w:hAnsi="Times New Roman" w:eastAsia="宋体"/>
                <w:b w:val="0"/>
                <w:sz w:val="18"/>
              </w:rPr>
              <w:t>VALIDATION_FAILED、UNAUTHORIZED、INVALID_CREDENTIALS、CSRF_VALIDATION_FAILED、RATE_LIMITED、SETUP_ALREADY_COMPLETED</w:t>
            </w:r>
          </w:p>
        </w:tc>
        <w:tc>
          <w:tcPr>
            <w:tcW w:type="dxa" w:w="2882"/>
          </w:tcPr>
          <w:p>
            <w:pPr>
              <w:spacing w:after="40"/>
            </w:pPr>
            <w:r/>
            <w:r>
              <w:rPr>
                <w:rFonts w:ascii="Times New Roman" w:hAnsi="Times New Roman" w:eastAsia="宋体"/>
                <w:b w:val="0"/>
                <w:sz w:val="18"/>
              </w:rPr>
              <w:t>参数校验失败、未认证、凭证错误、CSRF 校验失败、限流、初始化已完成</w:t>
            </w:r>
          </w:p>
        </w:tc>
      </w:tr>
      <w:tr>
        <w:tc>
          <w:tcPr>
            <w:tcW w:type="dxa" w:w="2882"/>
          </w:tcPr>
          <w:p>
            <w:pPr>
              <w:spacing w:after="40"/>
            </w:pPr>
            <w:r/>
            <w:r>
              <w:rPr>
                <w:rFonts w:ascii="Times New Roman" w:hAnsi="Times New Roman" w:eastAsia="宋体"/>
                <w:b w:val="0"/>
                <w:sz w:val="18"/>
              </w:rPr>
              <w:t>授权</w:t>
            </w:r>
          </w:p>
        </w:tc>
        <w:tc>
          <w:tcPr>
            <w:tcW w:type="dxa" w:w="2882"/>
          </w:tcPr>
          <w:p>
            <w:pPr>
              <w:spacing w:after="40"/>
            </w:pPr>
            <w:r/>
            <w:r>
              <w:rPr>
                <w:rFonts w:ascii="Times New Roman" w:hAnsi="Times New Roman" w:eastAsia="宋体"/>
                <w:b w:val="0"/>
                <w:sz w:val="18"/>
              </w:rPr>
              <w:t>FORBIDDEN、SEPARATION_OF_DUTIES_VIOLATION、SECRET_ACCESS_DENIED、EGRESS_DENIED</w:t>
            </w:r>
          </w:p>
        </w:tc>
        <w:tc>
          <w:tcPr>
            <w:tcW w:type="dxa" w:w="2882"/>
          </w:tcPr>
          <w:p>
            <w:pPr>
              <w:spacing w:after="40"/>
            </w:pPr>
            <w:r/>
            <w:r>
              <w:rPr>
                <w:rFonts w:ascii="Times New Roman" w:hAnsi="Times New Roman" w:eastAsia="宋体"/>
                <w:b w:val="0"/>
                <w:sz w:val="18"/>
              </w:rPr>
              <w:t>无权限、违反职责分离、Secret 明文访问被拒、出站网络被拒</w:t>
            </w:r>
          </w:p>
        </w:tc>
      </w:tr>
      <w:tr>
        <w:tc>
          <w:tcPr>
            <w:tcW w:type="dxa" w:w="2882"/>
          </w:tcPr>
          <w:p>
            <w:pPr>
              <w:spacing w:after="40"/>
            </w:pPr>
            <w:r/>
            <w:r>
              <w:rPr>
                <w:rFonts w:ascii="Times New Roman" w:hAnsi="Times New Roman" w:eastAsia="宋体"/>
                <w:b w:val="0"/>
                <w:sz w:val="18"/>
              </w:rPr>
              <w:t>状态与版本</w:t>
            </w:r>
          </w:p>
        </w:tc>
        <w:tc>
          <w:tcPr>
            <w:tcW w:type="dxa" w:w="2882"/>
          </w:tcPr>
          <w:p>
            <w:pPr>
              <w:spacing w:after="40"/>
            </w:pPr>
            <w:r/>
            <w:r>
              <w:rPr>
                <w:rFonts w:ascii="Times New Roman" w:hAnsi="Times New Roman" w:eastAsia="宋体"/>
                <w:b w:val="0"/>
                <w:sz w:val="18"/>
              </w:rPr>
              <w:t>CONFLICT、IDEMPOTENCY_CONFLICT、INVALID_STATE_TRANSITION、REVIEW_REQUIRED、STALE_ARTIFACT_VERSION</w:t>
            </w:r>
          </w:p>
        </w:tc>
        <w:tc>
          <w:tcPr>
            <w:tcW w:type="dxa" w:w="2882"/>
          </w:tcPr>
          <w:p>
            <w:pPr>
              <w:spacing w:after="40"/>
            </w:pPr>
            <w:r/>
            <w:r>
              <w:rPr>
                <w:rFonts w:ascii="Times New Roman" w:hAnsi="Times New Roman" w:eastAsia="宋体"/>
                <w:b w:val="0"/>
                <w:sz w:val="18"/>
              </w:rPr>
              <w:t>并发冲突、幂等键冲突、非法状态流转、缺少审核、审核或执行的版本摘要陈旧</w:t>
            </w:r>
          </w:p>
        </w:tc>
      </w:tr>
      <w:tr>
        <w:tc>
          <w:tcPr>
            <w:tcW w:type="dxa" w:w="2882"/>
          </w:tcPr>
          <w:p>
            <w:pPr>
              <w:spacing w:after="40"/>
            </w:pPr>
            <w:r/>
            <w:r>
              <w:rPr>
                <w:rFonts w:ascii="Times New Roman" w:hAnsi="Times New Roman" w:eastAsia="宋体"/>
                <w:b w:val="0"/>
                <w:sz w:val="18"/>
              </w:rPr>
              <w:t>数据与资源</w:t>
            </w:r>
          </w:p>
        </w:tc>
        <w:tc>
          <w:tcPr>
            <w:tcW w:type="dxa" w:w="2882"/>
          </w:tcPr>
          <w:p>
            <w:pPr>
              <w:spacing w:after="40"/>
            </w:pPr>
            <w:r/>
            <w:r>
              <w:rPr>
                <w:rFonts w:ascii="Times New Roman" w:hAnsi="Times New Roman" w:eastAsia="宋体"/>
                <w:b w:val="0"/>
                <w:sz w:val="18"/>
              </w:rPr>
              <w:t>NOT_FOUND、DATA_SOURCE_MISSING、RUNNER_CAPABILITY_MISSING、DEPENDENCY_UNAVAILABLE</w:t>
            </w:r>
          </w:p>
        </w:tc>
        <w:tc>
          <w:tcPr>
            <w:tcW w:type="dxa" w:w="2882"/>
          </w:tcPr>
          <w:p>
            <w:pPr>
              <w:spacing w:after="40"/>
            </w:pPr>
            <w:r/>
            <w:r>
              <w:rPr>
                <w:rFonts w:ascii="Times New Roman" w:hAnsi="Times New Roman" w:eastAsia="宋体"/>
                <w:b w:val="0"/>
                <w:sz w:val="18"/>
              </w:rPr>
              <w:t>资源不存在、来源缺失、Runner 能力缺失、依赖不可用</w:t>
            </w:r>
          </w:p>
        </w:tc>
      </w:tr>
      <w:tr>
        <w:tc>
          <w:tcPr>
            <w:tcW w:type="dxa" w:w="2882"/>
          </w:tcPr>
          <w:p>
            <w:pPr>
              <w:spacing w:after="40"/>
            </w:pPr>
            <w:r/>
            <w:r>
              <w:rPr>
                <w:rFonts w:ascii="Times New Roman" w:hAnsi="Times New Roman" w:eastAsia="宋体"/>
                <w:b w:val="0"/>
                <w:sz w:val="18"/>
              </w:rPr>
              <w:t>外部同步</w:t>
            </w:r>
          </w:p>
        </w:tc>
        <w:tc>
          <w:tcPr>
            <w:tcW w:type="dxa" w:w="2882"/>
          </w:tcPr>
          <w:p>
            <w:pPr>
              <w:spacing w:after="40"/>
            </w:pPr>
            <w:r/>
            <w:r>
              <w:rPr>
                <w:rFonts w:ascii="Times New Roman" w:hAnsi="Times New Roman" w:eastAsia="宋体"/>
                <w:b w:val="0"/>
                <w:sz w:val="18"/>
              </w:rPr>
              <w:t>EXTERNAL_SYNC_CONFLICT</w:t>
            </w:r>
          </w:p>
        </w:tc>
        <w:tc>
          <w:tcPr>
            <w:tcW w:type="dxa" w:w="2882"/>
          </w:tcPr>
          <w:p>
            <w:pPr>
              <w:spacing w:after="40"/>
            </w:pPr>
            <w:r/>
            <w:r>
              <w:rPr>
                <w:rFonts w:ascii="Times New Roman" w:hAnsi="Times New Roman" w:eastAsia="宋体"/>
                <w:b w:val="0"/>
                <w:sz w:val="18"/>
              </w:rPr>
              <w:t>外部系统内容冲突,禁止静默覆盖</w:t>
            </w:r>
          </w:p>
        </w:tc>
      </w:tr>
      <w:tr>
        <w:tc>
          <w:tcPr>
            <w:tcW w:type="dxa" w:w="2882"/>
          </w:tcPr>
          <w:p>
            <w:pPr>
              <w:spacing w:after="40"/>
            </w:pPr>
            <w:r/>
            <w:r>
              <w:rPr>
                <w:rFonts w:ascii="Times New Roman" w:hAnsi="Times New Roman" w:eastAsia="宋体"/>
                <w:b w:val="0"/>
                <w:sz w:val="18"/>
              </w:rPr>
              <w:t>内部错误</w:t>
            </w:r>
          </w:p>
        </w:tc>
        <w:tc>
          <w:tcPr>
            <w:tcW w:type="dxa" w:w="2882"/>
          </w:tcPr>
          <w:p>
            <w:pPr>
              <w:spacing w:after="40"/>
            </w:pPr>
            <w:r/>
            <w:r>
              <w:rPr>
                <w:rFonts w:ascii="Times New Roman" w:hAnsi="Times New Roman" w:eastAsia="宋体"/>
                <w:b w:val="0"/>
                <w:sz w:val="18"/>
              </w:rPr>
              <w:t>INTERNAL_ERROR</w:t>
            </w:r>
          </w:p>
        </w:tc>
        <w:tc>
          <w:tcPr>
            <w:tcW w:type="dxa" w:w="2882"/>
          </w:tcPr>
          <w:p>
            <w:pPr>
              <w:spacing w:after="40"/>
            </w:pPr>
            <w:r/>
            <w:r>
              <w:rPr>
                <w:rFonts w:ascii="Times New Roman" w:hAnsi="Times New Roman" w:eastAsia="宋体"/>
                <w:b w:val="0"/>
                <w:sz w:val="18"/>
              </w:rPr>
              <w:t>未分类的平台内部错误,仅返回脱敏信息</w:t>
            </w:r>
          </w:p>
        </w:tc>
      </w:tr>
    </w:tbl>
    <w:p>
      <w:pPr>
        <w:spacing w:after="120" w:line="360" w:lineRule="auto"/>
        <w:ind w:firstLine="480"/>
      </w:pPr>
      <w:r>
        <w:rPr>
          <w:rFonts w:ascii="Times New Roman" w:hAnsi="Times New Roman" w:eastAsia="宋体"/>
          <w:b w:val="0"/>
          <w:sz w:val="24"/>
        </w:rPr>
        <w:t>执行结果与任务状态的错误语义与 HTTP 错误码分离:任务 FAILED 表示被测行为未满足断言,ERROR 表示环境、脚本、Runner 或平台未完成有效验证,TIMED_OUT 与 BLOCKED 分别表示超时与阻塞,报告不得把 ERROR 计入有效业务通过或失败分母而不披露。</w:t>
      </w:r>
    </w:p>
    <w:p>
      <w:pPr>
        <w:spacing w:after="80"/>
      </w:pPr>
      <w:r>
        <w:rPr>
          <w:rFonts w:ascii="Times New Roman" w:hAnsi="Times New Roman" w:eastAsia="宋体"/>
          <w:b w:val="0"/>
          <w:color w:val="666666"/>
          <w:sz w:val="18"/>
        </w:rPr>
        <w:t>（来源:32-API规范.yaml components 错误码;37-API接口总览.md;14-PRD-QualityIntelligence.md §3）</w:t>
      </w:r>
    </w:p>
    <w:p>
      <w:pPr>
        <w:pStyle w:val="Heading2"/>
        <w:spacing w:before="240" w:after="120"/>
      </w:pPr>
      <w:r>
        <w:rPr>
          <w:rFonts w:ascii="Times New Roman" w:hAnsi="Times New Roman" w:eastAsia="黑体"/>
          <w:b/>
          <w:color w:val="1F3A5F"/>
          <w:sz w:val="28"/>
        </w:rPr>
        <w:t>6.2 出错处理对策</w:t>
      </w:r>
    </w:p>
    <w:p>
      <w:pPr>
        <w:spacing w:after="120" w:line="360" w:lineRule="auto"/>
        <w:ind w:firstLine="480"/>
      </w:pPr>
      <w:r>
        <w:rPr>
          <w:rFonts w:ascii="Times New Roman" w:hAnsi="Times New Roman" w:eastAsia="宋体"/>
          <w:b w:val="0"/>
          <w:sz w:val="24"/>
        </w:rPr>
        <w:t>出错处理对策按失败分类制定,失败分类至少区分业务 FAIL、平台或环境 ERROR、权限 DENY、人工 BLOCK 与 CANCEL/TIMEOUT 五类,对策如下。其一,版本摘要不匹配:执行启动前返回 STALE_ARTIFACT_VERSION,禁止执行,不自动切换到最新版;审核批准时发现摘要不一致,原审核失效,新版本重新进入审核。其二,执行基线撤销、权限失效或必需凭证不可用:ExecutionTask 转 BLOCKED,不自动切换,由人工处理恢复条件。其三,环境或 Secret 无权:返回明确原因,不把未执行记为失败用例,不泄漏资源存在性。其四,Runner 失联:租约到期后按策略创建新 attempt,原 attempt 标记 ERROR 并保留证据。其五,网络中断:实时订阅按 offset 补拉,服务端结果不依赖客户端在线;外部写入超时先按幂等键或外部查询确认是否已创建再决定重试,禁止盲目重复创建。其六,LLM 依赖不可用:外部 LLM 设置超时、预算、熔断与明确降级,L2 工作流在持续不可用时停止自动节点、保留草稿与 Trace,WorkItem 阻塞或回退 L0/L1,不发布正式资产。其七,外部系统冲突:更新前比较远端版本,远端已变化进入 CONFLICT 并创建处理 WorkItem,不静默覆盖;外部失败不回滚或篡改已批准的内部 Defect,只更新同步状态并创建可重试任务。其八,幂等冲突:相同 Idempotency-Key 绑定不同载荷时返回 IDEMPOTENCY_CONFLICT,不产生第二个业务副作用。其九,确定性门禁失败:语法、静态、安全、Secret 扫描等强制检查失败时拒绝批准与执行,人工备注不得绕过,例外走单独、高权限、限时且可审计的豁免流程。其十,资源与预算边界:超过重试、成本或时间边界后 WorkItem 转 BLOCKED,等待人工处理,系统不得用自动校验通过替代业务审核。</w:t>
      </w:r>
    </w:p>
    <w:p>
      <w:pPr>
        <w:spacing w:after="80"/>
      </w:pPr>
      <w:r>
        <w:rPr>
          <w:rFonts w:ascii="Times New Roman" w:hAnsi="Times New Roman" w:eastAsia="宋体"/>
          <w:b w:val="0"/>
          <w:color w:val="666666"/>
          <w:sz w:val="18"/>
        </w:rPr>
        <w:t>（来源:14-PRD-QualityIntelligence.md §5;20-非功能需求.md §3、§10;31-系统架构设计.md §8;05-功能模块重构方案 §5.6.6、§5.8.8、§5.9.8）</w:t>
      </w:r>
    </w:p>
    <w:p>
      <w:pPr>
        <w:pStyle w:val="Heading2"/>
        <w:spacing w:before="240" w:after="120"/>
      </w:pPr>
      <w:r>
        <w:rPr>
          <w:rFonts w:ascii="Times New Roman" w:hAnsi="Times New Roman" w:eastAsia="黑体"/>
          <w:b/>
          <w:color w:val="1F3A5F"/>
          <w:sz w:val="28"/>
        </w:rPr>
        <w:t>6.3 系统恢复</w:t>
      </w:r>
    </w:p>
    <w:p>
      <w:pPr>
        <w:spacing w:after="120" w:line="360" w:lineRule="auto"/>
        <w:ind w:firstLine="480"/>
      </w:pPr>
      <w:r>
        <w:rPr>
          <w:rFonts w:ascii="Times New Roman" w:hAnsi="Times New Roman" w:eastAsia="宋体"/>
          <w:b w:val="0"/>
          <w:sz w:val="24"/>
        </w:rPr>
        <w:t>系统恢复遵循"保留证据、停止未开始、受控重试"的原则。故障发生时先保存已完成证据与原始结果,停止未开始节点,再按预算与幂等约束重试;版本或权限变化立即熔断,恢复时创建新 attempt 并引用原运行,不覆盖历史 attempt。异步任务的恢复以 attempt 语义保证:每个 attempt 追加独立 ExecutionResult,重试不覆盖,最终汇总说明采用规则;消息消费以稳定事件 ID 去重,断线以 offset 补拉。数据库层恢复依赖 PostgreSQL 备份与 RLS 事务边界,迁移通过 Alembic 空库升级、重跑、降级与恢复验收;对象存储故障与队列积压纳入定期演练清单。RTO 与 RPO 目标在部署拓扑与业务等级明确后批准,V0 阶段只定义恢复步骤与证据要求;系统恢复完成后,所有未决 WorkItem、ExecutionTask 与 AgentSession 的恢复状态可查,不假报成功。</w:t>
      </w:r>
    </w:p>
    <w:p>
      <w:pPr>
        <w:spacing w:after="80"/>
      </w:pPr>
      <w:r>
        <w:rPr>
          <w:rFonts w:ascii="Times New Roman" w:hAnsi="Times New Roman" w:eastAsia="宋体"/>
          <w:b w:val="0"/>
          <w:color w:val="666666"/>
          <w:sz w:val="18"/>
        </w:rPr>
        <w:t>（来源:31-系统架构设计.md §8;14-PRD-QualityIntelligence.md §5;20-非功能需求.md §3、§4;30-技术选型决策.md §3）</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7 章 安全保密设计</w:t>
      </w:r>
    </w:p>
    <w:p>
      <w:pPr>
        <w:pStyle w:val="Heading2"/>
        <w:spacing w:before="240" w:after="120"/>
      </w:pPr>
      <w:r>
        <w:rPr>
          <w:rFonts w:ascii="Times New Roman" w:hAnsi="Times New Roman" w:eastAsia="黑体"/>
          <w:b/>
          <w:color w:val="1F3A5F"/>
          <w:sz w:val="28"/>
        </w:rPr>
        <w:t>7.1 安全原则与认证</w:t>
      </w:r>
    </w:p>
    <w:p>
      <w:pPr>
        <w:spacing w:after="120" w:line="360" w:lineRule="auto"/>
        <w:ind w:firstLine="480"/>
      </w:pPr>
      <w:r>
        <w:rPr>
          <w:rFonts w:ascii="Times New Roman" w:hAnsi="Times New Roman" w:eastAsia="宋体"/>
          <w:b w:val="0"/>
          <w:sz w:val="24"/>
        </w:rPr>
        <w:t>系统安全设计以默认拒绝为总原则,认证成功不等于有权访问任何 Workspace。人工身份采用 OIDC/OAuth2 授权码加 PKCE,必要时启用 MFA;服务与 Runner 使用短时服务令牌或 mTLS 工作负载身份;Agent 使用平台签发的短时、会话绑定能力令牌;APIKey 只存带盐哈希并绑定作用域、权限、过期时间与轮换;WebSocket 使用一次性资源绑定票据。令牌至少携带 iss、sub、aud、iat、exp、jti 与身份类型,Tenant 与 Workspace 访问不能只依赖令牌中的角色字符串,服务端必须查询或验证当前 RoleBinding 与策略版本。信任边界上,网关负责令牌校验、速率限制与清除客户端伪造的身份 Header,下游仅在服务端口不可绕过网关、网关到服务采用 mTLS 或等价工作负载认证、服务端验证调用方身份与上下文完整性的条件下信任网关注入上下文;仅靠 X-Tenant-ID、X-User-ID、X-User-Roles 不构成可信授权链。</w:t>
      </w:r>
    </w:p>
    <w:p>
      <w:pPr>
        <w:spacing w:after="80"/>
      </w:pPr>
      <w:r>
        <w:rPr>
          <w:rFonts w:ascii="Times New Roman" w:hAnsi="Times New Roman" w:eastAsia="宋体"/>
          <w:b w:val="0"/>
          <w:color w:val="666666"/>
          <w:sz w:val="18"/>
        </w:rPr>
        <w:t>（来源:34-认证授权设计.md §1、§2、§3;20-非功能需求.md §5）</w:t>
      </w:r>
    </w:p>
    <w:p>
      <w:pPr>
        <w:pStyle w:val="Heading2"/>
        <w:spacing w:before="240" w:after="120"/>
      </w:pPr>
      <w:r>
        <w:rPr>
          <w:rFonts w:ascii="Times New Roman" w:hAnsi="Times New Roman" w:eastAsia="黑体"/>
          <w:b/>
          <w:color w:val="1F3A5F"/>
          <w:sz w:val="28"/>
        </w:rPr>
        <w:t>7.2 授权与职责分离</w:t>
      </w:r>
    </w:p>
    <w:p>
      <w:pPr>
        <w:spacing w:after="120" w:line="360" w:lineRule="auto"/>
        <w:ind w:firstLine="480"/>
      </w:pPr>
      <w:r>
        <w:rPr>
          <w:rFonts w:ascii="Times New Roman" w:hAnsi="Times New Roman" w:eastAsia="宋体"/>
          <w:b w:val="0"/>
          <w:sz w:val="24"/>
        </w:rPr>
        <w:t>授权采用平台、租户、Workspace、资源四级作用域 RBAC,角色模板授予能力、审核策略决定本次需要谁批准,批准人是 ReviewTask 中的临时职责而非全局角色。Permission 至少包含 resourceType、action、scopeTypes、riskLimit、conditionSchema 与 humanOnly;批准正式产出物、签署 TestReport、批准外部写入、门禁豁免与发布 Agent/Skill 均为 humanOnly 能力,Agent 永远不能获得。服务端批准算法按序执行:验证调用者为活跃人工身份、重新读取产出物版本与摘要、解析适用审核策略与职责分离规则、计算当前角色绑定与作用域条件、校验生成者与批准者分离与四眼原则、运行全部阻断检查、追加 ReviewDecision、AuthorizationDecision 与 AuditLog 后才推进状态;管理员不能通过修改客户端请求、角色 Header 或 AI 等级跳过该算法。最终授权判定取身份有效性、成员关系、RBAC 能力、资源作用域、审核策略、机器最小权限、Workflow 节点权限、环境与数据分级条件的交集并减去显式 Deny 与 humanOnly,任一项不满足即 fail-closed;高价值动作逐次重新授权,打开页面时有权限不代表点击时仍有权限,角色撤销与风险升级立即阻止新动作。</w:t>
      </w:r>
    </w:p>
    <w:p>
      <w:pPr>
        <w:spacing w:after="80"/>
      </w:pPr>
      <w:r>
        <w:rPr>
          <w:rFonts w:ascii="Times New Roman" w:hAnsi="Times New Roman" w:eastAsia="宋体"/>
          <w:b w:val="0"/>
          <w:color w:val="666666"/>
          <w:sz w:val="18"/>
        </w:rPr>
        <w:t>（来源:34-认证授权设计.md §4、§5、§6、§9;05-功能模块重构方案 §5.11）</w:t>
      </w:r>
    </w:p>
    <w:p>
      <w:pPr>
        <w:pStyle w:val="Heading2"/>
        <w:spacing w:before="240" w:after="120"/>
      </w:pPr>
      <w:r>
        <w:rPr>
          <w:rFonts w:ascii="Times New Roman" w:hAnsi="Times New Roman" w:eastAsia="黑体"/>
          <w:b/>
          <w:color w:val="1F3A5F"/>
          <w:sz w:val="28"/>
        </w:rPr>
        <w:t>7.3 多租户隔离与数据保密</w:t>
      </w:r>
    </w:p>
    <w:p>
      <w:pPr>
        <w:spacing w:after="120" w:line="360" w:lineRule="auto"/>
        <w:ind w:firstLine="480"/>
      </w:pPr>
      <w:r>
        <w:rPr>
          <w:rFonts w:ascii="Times New Roman" w:hAnsi="Times New Roman" w:eastAsia="宋体"/>
          <w:b w:val="0"/>
          <w:sz w:val="24"/>
        </w:rPr>
        <w:t>多租户隔离采用服务层授权加 PostgreSQL RLS 的纵深防御:应用对数据库的每个事务以参数化 set_config 注入已验证的租户、主体与必要 Workspace 上下文,上下文缺失、格式错误或与授权决定不一致时请求终止;所有租户表 ENABLE 且 FORCE ROW LEVEL SECURITY,应用使用非 owner、无 BYPASSRLS 身份,连接池归还前事务结束,禁止会话级 SET 造成串租户;404 与 403 策略避免泄漏其他租户资源是否存在。数据保密方面,Secret 使用 KMS/Vault 加 AEAD 双信封加密,DEK 按租户与 Workspace 隔离并可轮换,数据库只保存密文、nonce、keyVersion 与访问元数据,明文只由受控执行服务按 secretRef 短时解密并尽快清除;外部集成配置目标域名、操作、作用域与凭证引用 allowlist,写入逐次批准与幂等。证据与制品分类分级、最小采集、脱敏并执行访问控制与保留策略;日志与 Trace 不记录令牌、Secret、隐藏思维链或不必要正文,只保留决策摘要与引用。</w:t>
      </w:r>
    </w:p>
    <w:p>
      <w:pPr>
        <w:spacing w:after="80"/>
      </w:pPr>
      <w:r>
        <w:rPr>
          <w:rFonts w:ascii="Times New Roman" w:hAnsi="Times New Roman" w:eastAsia="宋体"/>
          <w:b w:val="0"/>
          <w:color w:val="666666"/>
          <w:sz w:val="18"/>
        </w:rPr>
        <w:t>（来源:34-认证授权设计.md §7、§8;20-非功能需求.md §5;31-系统架构设计.md §7;33-数据库Schema设计.md §13）</w:t>
      </w:r>
    </w:p>
    <w:p>
      <w:pPr>
        <w:pStyle w:val="Heading2"/>
        <w:spacing w:before="240" w:after="120"/>
      </w:pPr>
      <w:r>
        <w:rPr>
          <w:rFonts w:ascii="Times New Roman" w:hAnsi="Times New Roman" w:eastAsia="黑体"/>
          <w:b/>
          <w:color w:val="1F3A5F"/>
          <w:sz w:val="28"/>
        </w:rPr>
        <w:t>7.4 审计与安全事件</w:t>
      </w:r>
    </w:p>
    <w:p>
      <w:pPr>
        <w:spacing w:after="120" w:line="360" w:lineRule="auto"/>
        <w:ind w:firstLine="480"/>
      </w:pPr>
      <w:r>
        <w:rPr>
          <w:rFonts w:ascii="Times New Roman" w:hAnsi="Times New Roman" w:eastAsia="宋体"/>
          <w:b w:val="0"/>
          <w:sz w:val="24"/>
        </w:rPr>
        <w:t>以下动作必须记录只追加的 AuthorizationDecision 与审计日志:正式批准与发布、外部写入、执行启动与取消、Secret 使用、角色与策略变更、Agent 高风险工具调用、门禁放行与豁免。记录至少包括主体、身份类型、动作、资源及版本与摘要、适用策略版本、角色绑定快照、条件结果、ALLOW/DENY、原因码、traceId 与时间,不记录 Secret、完整令牌与无需保留的敏感正文。平台支持人员访问租户数据必须使用限时、带理由、强审计的 SupportAccessGrant,默认只读;break-glass 仅用于恢复可用性或阻止持续损害,启用时强提醒、全量审计、自动过期并事后生成复核工作项。跨租户访问、humanOnly 越权、Secret 外泄与审计链中断始终为安全高优先级事件;安全测试至少覆盖跨租户、IDOR、角色与作用域提升、自批、陈旧批准、Secret 泄漏、SSRF 与出站绕过、提示注入、恶意文件与依赖供应链。</w:t>
      </w:r>
    </w:p>
    <w:p>
      <w:pPr>
        <w:spacing w:after="80"/>
      </w:pPr>
      <w:r>
        <w:rPr>
          <w:rFonts w:ascii="Times New Roman" w:hAnsi="Times New Roman" w:eastAsia="宋体"/>
          <w:b w:val="0"/>
          <w:color w:val="666666"/>
          <w:sz w:val="18"/>
        </w:rPr>
        <w:t>（来源:34-认证授权设计.md §9、§10;20-非功能需求.md §5、§7;31-系统架构设计.md §7;05-功能模块重构方案 §5.11.8）</w:t>
      </w:r>
    </w:p>
    <w:p>
      <w:pPr>
        <w:spacing w:after="120" w:line="360" w:lineRule="auto"/>
        <w:ind w:firstLine="480"/>
      </w:pPr>
      <w:r>
        <w:rPr>
          <w:rFonts w:ascii="Times New Roman" w:hAnsi="Times New Roman" w:eastAsia="宋体"/>
          <w:b w:val="0"/>
          <w:sz w:val="24"/>
        </w:rPr>
        <w:t>---</w:t>
      </w:r>
    </w:p>
    <w:p>
      <w:pPr>
        <w:pStyle w:val="Heading1"/>
        <w:spacing w:before="320" w:after="160"/>
      </w:pPr>
      <w:r>
        <w:rPr>
          <w:rFonts w:ascii="Times New Roman" w:hAnsi="Times New Roman" w:eastAsia="黑体"/>
          <w:b/>
          <w:color w:val="1F3A5F"/>
          <w:sz w:val="32"/>
        </w:rPr>
        <w:t>第 8 章 维护设计</w:t>
      </w:r>
    </w:p>
    <w:p>
      <w:pPr>
        <w:pStyle w:val="Heading2"/>
        <w:spacing w:before="240" w:after="120"/>
      </w:pPr>
      <w:r>
        <w:rPr>
          <w:rFonts w:ascii="Times New Roman" w:hAnsi="Times New Roman" w:eastAsia="黑体"/>
          <w:b/>
          <w:color w:val="1F3A5F"/>
          <w:sz w:val="28"/>
        </w:rPr>
        <w:t>8.1 可维护性设计</w:t>
      </w:r>
    </w:p>
    <w:p>
      <w:pPr>
        <w:spacing w:after="120" w:line="360" w:lineRule="auto"/>
        <w:ind w:firstLine="480"/>
      </w:pPr>
      <w:r>
        <w:rPr>
          <w:rFonts w:ascii="Times New Roman" w:hAnsi="Times New Roman" w:eastAsia="宋体"/>
          <w:b w:val="0"/>
          <w:sz w:val="24"/>
        </w:rPr>
        <w:t>系统以契约驱动维护:外部契约由 OpenAPI 与事件契约驱动,operationId 唯一、Schema 引用可解析,API 兼容代际与产品版本分离,破坏性变更遵循 32、37 号迁移规则;数据库通过 Alembic 迁移,并以空库升级、重跑、降级与恢复、RLS 测试验收;文档变更同步术语、领域、API、DB、PRD 与治理文档并追加 35 号变更记录。代码维护目标为类型检查、lint、单元、契约、集成与 E2E 分层测试,覆盖率只作为风险信号,不设脱离代码类型的统一百分比。领域边界维护依靠唯一写入所有者矩阵与 05 号模块重构方案的 Gate 门禁,任何实现不得以开发便利重新引入旧模块或双写真相源;退场表与迁移结论在 33 号文档中明确,当前无生产数据,采用目标 DDL 直接替换旧设计,迁移批次、种子与回滚约定以 38 号文档为准。</w:t>
      </w:r>
    </w:p>
    <w:p>
      <w:pPr>
        <w:spacing w:after="80"/>
      </w:pPr>
      <w:r>
        <w:rPr>
          <w:rFonts w:ascii="Times New Roman" w:hAnsi="Times New Roman" w:eastAsia="宋体"/>
          <w:b w:val="0"/>
          <w:color w:val="666666"/>
          <w:sz w:val="18"/>
        </w:rPr>
        <w:t>（来源:20-非功能需求.md §8;30-技术选型决策.md §3;32-API规范.yaml;33-数据库Schema设计.md §14;35-变更记录CHANGELOG.md;38-数据库迁移与种子数据约定.md）</w:t>
      </w:r>
    </w:p>
    <w:p>
      <w:pPr>
        <w:pStyle w:val="Heading2"/>
        <w:spacing w:before="240" w:after="120"/>
      </w:pPr>
      <w:r>
        <w:rPr>
          <w:rFonts w:ascii="Times New Roman" w:hAnsi="Times New Roman" w:eastAsia="黑体"/>
          <w:b/>
          <w:color w:val="1F3A5F"/>
          <w:sz w:val="28"/>
        </w:rPr>
        <w:t>8.2 监控与告警维护</w:t>
      </w:r>
    </w:p>
    <w:p>
      <w:pPr>
        <w:spacing w:after="120" w:line="360" w:lineRule="auto"/>
        <w:ind w:firstLine="480"/>
      </w:pPr>
      <w:r>
        <w:rPr>
          <w:rFonts w:ascii="Times New Roman" w:hAnsi="Times New Roman" w:eastAsia="宋体"/>
          <w:b w:val="0"/>
          <w:sz w:val="24"/>
        </w:rPr>
        <w:t>系统采用 OpenTelemetry 兼容观测栈,所有请求、WorkItem、AgentSession、ExecutionTask 与外部同步尝试使用 traceId 与 correlationId 贯通,采集结构化日志、指标与分布式 Trace,并记录 Agent、Skill、Prompt、Workflow 精确版本、工具调用、输入输出摘要与 verdict。指标以 20 号受控登记表为准,前缀规范为 eff、qual、ai、trace、ops 五类共 51 项,全部指标当前无批准目标值,先建立基线与载体再批准;告警阈值基于基线与错误预算批准,跨租户访问、humanOnly 越权、Secret 外泄与审计链中断始终为安全高优先级事件。降级与成本纳入监控:模型、Prompt、Skill、Workflow 或数据分布变化后重新评测,线上异常触发 L1/L0 回退;数据质量、队列、Runner、成本、错误预算与降级告警按版本分层展示,人工接管率作为 AI 生产组合的关键运行信号。</w:t>
      </w:r>
    </w:p>
    <w:p>
      <w:pPr>
        <w:spacing w:after="80"/>
      </w:pPr>
      <w:r>
        <w:rPr>
          <w:rFonts w:ascii="Times New Roman" w:hAnsi="Times New Roman" w:eastAsia="宋体"/>
          <w:b w:val="0"/>
          <w:color w:val="666666"/>
          <w:sz w:val="18"/>
        </w:rPr>
        <w:t>（来源:20-非功能需求.md §1.1、§6、§7;31-系统架构设计.md §8;30-技术选型决策.md §1）</w:t>
      </w:r>
    </w:p>
    <w:p>
      <w:pPr>
        <w:pStyle w:val="Heading2"/>
        <w:spacing w:before="240" w:after="120"/>
      </w:pPr>
      <w:r>
        <w:rPr>
          <w:rFonts w:ascii="Times New Roman" w:hAnsi="Times New Roman" w:eastAsia="黑体"/>
          <w:b/>
          <w:color w:val="1F3A5F"/>
          <w:sz w:val="28"/>
        </w:rPr>
        <w:t>8.3 升级、扩展与数据保留</w:t>
      </w:r>
    </w:p>
    <w:p>
      <w:pPr>
        <w:spacing w:after="120" w:line="360" w:lineRule="auto"/>
        <w:ind w:firstLine="480"/>
      </w:pPr>
      <w:r>
        <w:rPr>
          <w:rFonts w:ascii="Times New Roman" w:hAnsi="Times New Roman" w:eastAsia="宋体"/>
          <w:b w:val="0"/>
          <w:sz w:val="24"/>
        </w:rPr>
        <w:t>系统升级遵循版本演进规划:V1 单项目试点验证八类正式产出物的人机闭环,以模块化核心加 Agent Worker 加单 Runner 加 PostgreSQL 加对象存储为拓扑;V2 按负载分离执行与 Agent Worker,增加队列、多 Runner 与集成隔离;V3 基于实测瓶颈拆服务、弹性资源池、故障域与企业隔离。拆服务必须出现独立扩缩容、故障隔离、团队 Ownership 或合规边界证据,不得预先承诺。扩展维护包括:自动化类型按 WEB、API 必须支持,MOBILE、PERFORMANCE、SECURITY 预留且默认禁用;消息中间件在 RabbitMQ 与 Redis Streams 间按实测选型;API 兼容代际与产品版本分离,旧路径与 Schema 迁移保留旧到新映射。数据保留与归档:删除默认归档,存在历史引用时阻止物理删除并返回依赖;证据、报告、Bug、知识与审计按保留策略分级,归档不删除历史追溯;Release 归档后不得新建正式执行,历史内容继续可查;Secret 与制品按轮换与保留策略维护,URL 不无限期有效。</w:t>
      </w:r>
    </w:p>
    <w:p>
      <w:pPr>
        <w:spacing w:after="80"/>
      </w:pPr>
      <w:r>
        <w:rPr>
          <w:rFonts w:ascii="Times New Roman" w:hAnsi="Times New Roman" w:eastAsia="宋体"/>
          <w:b w:val="0"/>
          <w:color w:val="666666"/>
          <w:sz w:val="18"/>
        </w:rPr>
        <w:t>（来源:31-系统架构设计.md §9;30-技术选型决策.md §2.1、§4;05-功能模块重构方案 §9、§5.7.8;20-非功能需求.md §4、§5;33-数据库Schema设计.md §1）</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