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Times New Roman" w:hAnsi="Times New Roman" w:eastAsia="Times New Roman"/>
          <w:b/>
          <w:color w:val="000000"/>
          <w:sz w:val="36"/>
          <w:u w:val="none"/>
        </w:rPr>
        <w:t>Dental Clinic Module Documentation</w:t>
      </w:r>
    </w:p>
    <w:p>
      <w:pPr>
        <w:jc w:val="center"/>
      </w:pPr>
      <w:r>
        <w:rPr>
          <w:rFonts w:ascii="Times New Roman" w:hAnsi="Times New Roman" w:eastAsia="Times New Roman"/>
          <w:b/>
          <w:sz w:val="30"/>
        </w:rPr>
        <w:t>Web Based Multi Branch Dental Clinic System</w:t>
      </w:r>
    </w:p>
    <w:p>
      <w:pPr>
        <w:jc w:val="center"/>
      </w:pPr>
      <w:r>
        <w:rPr>
          <w:rFonts w:ascii="Times New Roman" w:hAnsi="Times New Roman" w:eastAsia="Times New Roman"/>
          <w:sz w:val="24"/>
        </w:rPr>
        <w:t>Business Process Automation Project</w:t>
      </w:r>
    </w:p>
    <w:p/>
    <w:p>
      <w:pPr>
        <w:jc w:val="center"/>
      </w:pPr>
      <w:r>
        <w:rPr>
          <w:rFonts w:ascii="Times New Roman" w:hAnsi="Times New Roman" w:eastAsia="Times New Roman"/>
          <w:b/>
          <w:sz w:val="24"/>
        </w:rPr>
        <w:t>Client: Dr. Dana Roxas, Clinic Owner</w:t>
      </w:r>
    </w:p>
    <w:p/>
    <w:p>
      <w:pPr>
        <w:jc w:val="center"/>
      </w:pPr>
      <w:r>
        <w:rPr>
          <w:rFonts w:ascii="Times New Roman" w:hAnsi="Times New Roman" w:eastAsia="Times New Roman"/>
          <w:sz w:val="24"/>
        </w:rPr>
        <w:t>Prepared by Group 3 - BSIT 3B</w:t>
      </w:r>
    </w:p>
    <w:p>
      <w:pPr>
        <w:jc w:val="center"/>
      </w:pPr>
      <w:r>
        <w:rPr>
          <w:rFonts w:ascii="Times New Roman" w:hAnsi="Times New Roman" w:eastAsia="Times New Roman"/>
          <w:sz w:val="22"/>
        </w:rPr>
        <w:t>Alejo, Hart Jaztin A.</w:t>
      </w:r>
    </w:p>
    <w:p>
      <w:pPr>
        <w:jc w:val="center"/>
      </w:pPr>
      <w:r>
        <w:rPr>
          <w:rFonts w:ascii="Times New Roman" w:hAnsi="Times New Roman" w:eastAsia="Times New Roman"/>
          <w:sz w:val="22"/>
        </w:rPr>
        <w:t>Delos Santos, Joevan</w:t>
      </w:r>
    </w:p>
    <w:p>
      <w:pPr>
        <w:jc w:val="center"/>
      </w:pPr>
      <w:r>
        <w:rPr>
          <w:rFonts w:ascii="Times New Roman" w:hAnsi="Times New Roman" w:eastAsia="Times New Roman"/>
          <w:sz w:val="22"/>
        </w:rPr>
        <w:t>Ecal, Richmon</w:t>
      </w:r>
    </w:p>
    <w:p>
      <w:pPr>
        <w:jc w:val="center"/>
      </w:pPr>
      <w:r>
        <w:rPr>
          <w:rFonts w:ascii="Times New Roman" w:hAnsi="Times New Roman" w:eastAsia="Times New Roman"/>
          <w:sz w:val="22"/>
        </w:rPr>
        <w:t>Licanda, Celin</w:t>
      </w:r>
    </w:p>
    <w:p>
      <w:pPr>
        <w:jc w:val="center"/>
      </w:pPr>
      <w:r>
        <w:rPr>
          <w:rFonts w:ascii="Times New Roman" w:hAnsi="Times New Roman" w:eastAsia="Times New Roman"/>
          <w:sz w:val="22"/>
        </w:rPr>
        <w:t>Millar, John Yzhekiel</w:t>
      </w:r>
    </w:p>
    <w:p>
      <w:r>
        <w:rPr>
          <w:rFonts w:ascii="Times New Roman" w:hAnsi="Times New Roman" w:eastAsia="Times New Roman"/>
        </w:rPr>
        <w:br w:type="page"/>
      </w:r>
    </w:p>
    <w:p>
      <w:pPr>
        <w:pageBreakBefore/>
        <w:jc w:val="center"/>
      </w:pPr>
      <w:r>
        <w:rPr>
          <w:rFonts w:ascii="Times New Roman" w:hAnsi="Times New Roman" w:eastAsia="Times New Roman"/>
          <w:b/>
          <w:sz w:val="32"/>
        </w:rPr>
        <w:t>Module Assignments</w:t>
      </w:r>
    </w:p>
    <w:p>
      <w:r>
        <w:rPr>
          <w:rFonts w:ascii="Times New Roman" w:hAnsi="Times New Roman" w:eastAsia="Times New Roman"/>
          <w:i/>
        </w:rPr>
        <w:t>Updated October 12, 2026. Version 5.0. The finalized planning catalog has 25 modules and five primary assignments per member. Each module defines its inputs, activities, outputs, authority and dependencies. Clinic configuration and implementation readiness are recorded separately.</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024"/>
        <w:gridCol w:w="3024"/>
      </w:tblGrid>
      <w:tr>
        <w:trPr>
          <w:tblHeader w:val="true"/>
          <w:tblHeader/>
        </w:trPr>
        <w:tc>
          <w:tcPr>
            <w:tcW w:type="dxa" w:w="792"/>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No.</w:t>
            </w:r>
          </w:p>
        </w:tc>
        <w:tc>
          <w:tcPr>
            <w:tcW w:type="dxa" w:w="6840"/>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Module Name</w:t>
            </w:r>
          </w:p>
        </w:tc>
        <w:tc>
          <w:tcPr>
            <w:tcW w:type="dxa" w:w="2376"/>
            <w:vAlign w:val="center"/>
            <w:tcMar>
              <w:top w:w="60" w:type="dxa"/>
              <w:start w:w="80" w:type="dxa"/>
              <w:bottom w:w="60" w:type="dxa"/>
              <w:end w:w="80" w:type="dxa"/>
            </w:tcMar>
            <w:shd w:fill="333333"/>
          </w:tcPr>
          <w:p>
            <w:pPr>
              <w:jc w:val="center"/>
            </w:pPr>
            <w:r>
              <w:rPr>
                <w:rFonts w:ascii="Times New Roman" w:hAnsi="Times New Roman" w:eastAsia="Times New Roman"/>
                <w:b/>
                <w:color w:val="FFFFFF"/>
                <w:sz w:val="18"/>
              </w:rPr>
              <w:t>Assigned Member</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User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Branch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Work Schedules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Records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Treatment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Appointment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AI Chatbot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Visits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Queue</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Dental Charts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Billing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Treatment Plans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Services and Pricing</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Document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Leave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Licanda, Celin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16</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Inquiries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17</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Messaging</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18</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Notifications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19</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Prescriptions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Ecal, Richmon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20</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Follow-Up</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Alejo, Hart Jaztin A.</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21</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Reports and Analytics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22</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Audit Logs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23</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Payment Management</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Delos Santos, Joevan</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24</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Lab Cases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Millar, John Yzhekiel</w:t>
            </w:r>
          </w:p>
        </w:tc>
      </w:tr>
      <w:tr>
        <w:tc>
          <w:tcPr>
            <w:tcW w:type="dxa" w:w="792"/>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25</w:t>
            </w:r>
          </w:p>
        </w:tc>
        <w:tc>
          <w:tcPr>
            <w:tcW w:type="dxa" w:w="6840"/>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Patient Handovers</w:t>
            </w:r>
          </w:p>
        </w:tc>
        <w:tc>
          <w:tcPr>
            <w:tcW w:type="dxa" w:w="2376"/>
            <w:vAlign w:val="center"/>
            <w:tcMar>
              <w:top w:w="45" w:type="dxa"/>
              <w:start w:w="80" w:type="dxa"/>
              <w:bottom w:w="45" w:type="dxa"/>
              <w:end w:w="80" w:type="dxa"/>
            </w:tcMar>
            <w:shd w:fill="FFFFFF"/>
          </w:tcPr>
          <w:p>
            <w:pPr>
              <w:spacing w:before="0" w:after="0" w:line="228" w:lineRule="auto"/>
            </w:pPr>
            <w:r>
              <w:rPr>
                <w:rFonts w:ascii="Times New Roman" w:hAnsi="Times New Roman"/>
                <w:b w:val="0"/>
                <w:color w:val="000000"/>
                <w:sz w:val="18"/>
              </w:rPr>
              <w:t>Ecal, Richmon</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 User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User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Owner approves employee provisioning; Patient registration and existing account permissions remain governed by current contracts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Person, employee profile, User, invitation and access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identity and check duplicate account constraints. M1 owns account and personnel reference data, authentication and security. M3 owns dated work schedules; M15 owns leave decisions. Titles and branch employment never grant permissions automatically.</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Identity and contact details</w:t>
              <w:br/>
              <w:t>2. Requested account role, employee duties and branch eligibility</w:t>
              <w:br/>
              <w:t>3. Owner approval for an employee</w:t>
              <w:br/>
              <w:t>4. Invitation, activation or account-access request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identity and check duplicate account constraints</w:t>
              <w:br/>
              <w:t>2. Validate Owner approval for employee provisioning</w:t>
              <w:br/>
              <w:t>3. Link the Person, employee profile and approved access scope</w:t>
              <w:br/>
              <w:t>4. Issue the configured invitation and verification challenge</w:t>
              <w:br/>
              <w:t>5. Validate activation or authentication proof</w:t>
              <w:br/>
              <w:t>6. Create or revoke authorized sessions</w:t>
              <w:br/>
              <w:t>7. Apply permitted profile, credential and account changes</w:t>
              <w:br/>
              <w:t>8. Preserve account, profile and access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Authorized account and linked personnel profile</w:t>
              <w:br/>
              <w:t>Invitation, verification and access status</w:t>
              <w:br/>
              <w:t>Profile and access-change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Owner and authorized employee account maintainers.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registering; employee receiving an invitation. Related workflows: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Account request -&gt; Owner employee approval -&gt; linked identity/profile -&gt; invitation -&gt; activation/verification -&gt; session lifecycle -&gt; permitted account/profile changes -&gt; preserved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Invitation outcomes</w:t>
            </w:r>
          </w:p>
        </w:tc>
        <w:tc>
          <w:tcPr>
            <w:tcW w:w="6485" w:type="dxa"/>
            <w:tcMar/>
            <w:shd w:fill="FFFFFF"/>
          </w:tcPr>
          <w:p>
            <w:pPr>
              <w:spacing w:before="0" w:after="0" w:line="240" w:lineRule="auto"/>
            </w:pPr>
            <w:r>
              <w:rPr>
                <w:rFonts w:ascii="Times New Roman" w:hAnsi="Times New Roman"/>
                <w:b w:val="0"/>
                <w:color w:val="000000"/>
                <w:sz w:val="20"/>
              </w:rPr>
              <w:t>Count issued, activated, expired and failed invitations separately.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Account integrity</w:t>
            </w:r>
          </w:p>
        </w:tc>
        <w:tc>
          <w:tcPr>
            <w:tcW w:w="6485" w:type="dxa"/>
            <w:tcMar/>
            <w:shd w:fill="FFFFFF"/>
          </w:tcPr>
          <w:p>
            <w:pPr>
              <w:spacing w:before="0" w:after="0" w:line="240" w:lineRule="auto"/>
            </w:pPr>
            <w:r>
              <w:rPr>
                <w:rFonts w:ascii="Times New Roman" w:hAnsi="Times New Roman"/>
                <w:b w:val="0"/>
                <w:color w:val="000000"/>
                <w:sz w:val="20"/>
              </w:rPr>
              <w:t>Track duplicate identity refusals and unauthorized access changes.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Activation time</w:t>
            </w:r>
          </w:p>
        </w:tc>
        <w:tc>
          <w:tcPr>
            <w:tcW w:w="6485" w:type="dxa"/>
            <w:tcMar/>
            <w:shd w:fill="FFFFFF"/>
          </w:tcPr>
          <w:p>
            <w:pPr>
              <w:spacing w:before="0" w:after="0" w:line="240" w:lineRule="auto"/>
            </w:pPr>
            <w:r>
              <w:rPr>
                <w:rFonts w:ascii="Times New Roman" w:hAnsi="Times New Roman"/>
                <w:b w:val="0"/>
                <w:color w:val="000000"/>
                <w:sz w:val="20"/>
              </w:rPr>
              <w:t>Measure invitation-to-activation elapsed time from recorded events.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invitation expiry, identity activation/recovery, credential verification and role-change authority. Preserve Patient-only self-registration; no fifth role.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An employee cannot activate a privileged account without Owner approval; another branch cannot gain access through a profile change.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Q3/Q4/Q27; follow-up PI-01 Owner approval and PI-02 email invitation. Personnel consolidation is the agreed project scope. Implementation coverage: Reported backend account/security foundation. Complete employee invitation and activation remain unfinished. Boundary: M1 owns account and personnel reference data, authentication and security. M3 owns dated work schedules; M15 owns leave decisions. Titles and branch employment never grant permissions automatically.</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 Branch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Branch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Owner manages branch information and closures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Branch profile and operating calendar.</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Identify the branch and validate Owner authority. M2 owns branch identity, normal hours and dated closures. M3 owns employee availability; M6 owns changes to bookings. A closure identifies affected bookings without silently cancelling them.</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Branch identity and contact information</w:t>
              <w:br/>
              <w:t>2. Approved operating days and hours</w:t>
              <w:br/>
              <w:t>3. Owner closure decision</w:t>
              <w:br/>
              <w:t>4. Existing bookings affected by a change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Identify the branch and validate Owner authority</w:t>
              <w:br/>
              <w:t>2. Validate contact and operating information</w:t>
              <w:br/>
              <w:t>3. Record approved normal hours</w:t>
              <w:br/>
              <w:t>4. Record dated closures or exceptions</w:t>
              <w:br/>
              <w:t>5. Find existing bookings affected by a change</w:t>
              <w:br/>
              <w:t>6. Require the approved handling decision</w:t>
              <w:br/>
              <w:t>7. Publish the effective operating calendar</w:t>
              <w:br/>
              <w:t>8. Retain change history and notify affected workflows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Current branch profile</w:t>
              <w:br/>
              <w:t>Effective branch availability</w:t>
              <w:br/>
              <w:t>Affected-booking worklist and change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Owner.</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affected by branch availability. Related workflows: M1 User Management; M6 Appointment Management;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Identify the branch and validate Owner authority -&gt; Validate contact and operating information -&gt; Record approved normal hours -&gt; Record dated closures or exceptions -&gt; Find existing bookings affected by a change -&gt; Require the approved handling decision -&gt; Publish the effective operating calendar -&gt; Retain change history and notify affected workflows</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Booking impact</w:t>
            </w:r>
          </w:p>
        </w:tc>
        <w:tc>
          <w:tcPr>
            <w:tcW w:w="6485" w:type="dxa"/>
            <w:tcMar/>
            <w:shd w:fill="FFFFFF"/>
          </w:tcPr>
          <w:p>
            <w:pPr>
              <w:spacing w:before="0" w:after="0" w:line="240" w:lineRule="auto"/>
            </w:pPr>
            <w:r>
              <w:rPr>
                <w:rFonts w:ascii="Times New Roman" w:hAnsi="Times New Roman"/>
                <w:b w:val="0"/>
                <w:color w:val="000000"/>
                <w:sz w:val="20"/>
              </w:rPr>
              <w:t>Count bookings affected by closures and unresolved handling decisions.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Calendar validity</w:t>
            </w:r>
          </w:p>
        </w:tc>
        <w:tc>
          <w:tcPr>
            <w:tcW w:w="6485" w:type="dxa"/>
            <w:tcMar/>
            <w:shd w:fill="FFFFFF"/>
          </w:tcPr>
          <w:p>
            <w:pPr>
              <w:spacing w:before="0" w:after="0" w:line="240" w:lineRule="auto"/>
            </w:pPr>
            <w:r>
              <w:rPr>
                <w:rFonts w:ascii="Times New Roman" w:hAnsi="Times New Roman"/>
                <w:b w:val="0"/>
                <w:color w:val="000000"/>
                <w:sz w:val="20"/>
              </w:rPr>
              <w:t>Track rejected invalid hours and conflicting branch exceptions.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Change history</w:t>
            </w:r>
          </w:p>
        </w:tc>
        <w:tc>
          <w:tcPr>
            <w:tcW w:w="6485" w:type="dxa"/>
            <w:tcMar/>
            <w:shd w:fill="FFFFFF"/>
          </w:tcPr>
          <w:p>
            <w:pPr>
              <w:spacing w:before="0" w:after="0" w:line="240" w:lineRule="auto"/>
            </w:pPr>
            <w:r>
              <w:rPr>
                <w:rFonts w:ascii="Times New Roman" w:hAnsi="Times New Roman"/>
                <w:b w:val="0"/>
                <w:color w:val="000000"/>
                <w:sz w:val="20"/>
              </w:rPr>
              <w:t>Measure attributed publication and effective-date completeness.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Exact hours and existing-booking consequences remain open. Do not fabricate coordinates or automatic cancellations.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closure identifies affected appointments and does not silently cancel them.</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Q2/Q18; PI-14 same hours across branches and PI-15 Owner-controlled closures. Implementation coverage: Reported branch backend foundation. Complete hours/closure workflow is not established. Boundary: M2 owns branch identity, normal hours and dated closures. M3 owns employee availability; M6 owns changes to bookings. A closure identifies affected bookings without silently cancelling them.</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3 Work Schedules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Work Schedules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Owner controls published schedules under approved clinic rules; accepted M15 decisions propose changes through the schedule service</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Dated Staff/Dentist roster, branch assignment, availability exception and schedule revision.</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employee eligibility and schedule publication authority. M3 owns the effective roster for both Staff and Dentists. M15 owns requests and coverage consent; M6 owns bookings. An assigned shift does not confer clinical or financial access.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Eligible employee profiles and verified duties from M1</w:t>
              <w:br/>
              <w:t>2. Branch operating calendar from M2</w:t>
              <w:br/>
              <w:t>3. Owner-defined dated shifts and availability</w:t>
              <w:br/>
              <w:t>4. Existing appointments and accepted coverage decisions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employee eligibility and schedule publication authority</w:t>
              <w:br/>
              <w:t>2. Create the dated branch and duty assignment</w:t>
              <w:br/>
              <w:t>3. Validate branch hours and cross-branch shift overlap</w:t>
              <w:br/>
              <w:t>4. Record approved availability exceptions</w:t>
              <w:br/>
              <w:t>5. Identify affected appointments and coverage requirements</w:t>
              <w:br/>
              <w:t>6. Apply the approved booking-impact handling decision</w:t>
              <w:br/>
              <w:t>7. Publish the effective roster revision</w:t>
              <w:br/>
              <w:t>8. Preserve schedule history and request approved notifications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Published Staff and Dentist roster</w:t>
              <w:br/>
              <w:t>Bookable Dentist availability and duty coverage</w:t>
              <w:br/>
              <w:t>Affected-booking worklist and schedule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Owner; Staff and Dentists as roster participants.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affected by schedule changes. Related workflows: M1 User Management; M2 Branch Management; M6 Appointment Management; M15 Leave Management;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Owner dated roster -&gt; employee/duty eligibility -&gt; branch and overlap checks -&gt; availability exception -&gt; affected-booking review -&gt; handling decision -&gt; published schedule -&gt; attributed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Roster conflicts</w:t>
            </w:r>
          </w:p>
        </w:tc>
        <w:tc>
          <w:tcPr>
            <w:tcW w:w="6485" w:type="dxa"/>
            <w:tcMar/>
            <w:shd w:fill="FFFFFF"/>
          </w:tcPr>
          <w:p>
            <w:pPr>
              <w:spacing w:before="0" w:after="0" w:line="240" w:lineRule="auto"/>
            </w:pPr>
            <w:r>
              <w:rPr>
                <w:rFonts w:ascii="Times New Roman" w:hAnsi="Times New Roman"/>
                <w:b w:val="0"/>
                <w:color w:val="000000"/>
                <w:sz w:val="20"/>
              </w:rPr>
              <w:t>Count overlapping branch or duty assignments rejected.</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Coverage visibility</w:t>
            </w:r>
          </w:p>
        </w:tc>
        <w:tc>
          <w:tcPr>
            <w:tcW w:w="6485" w:type="dxa"/>
            <w:tcMar/>
            <w:shd w:fill="FFFFFF"/>
          </w:tcPr>
          <w:p>
            <w:pPr>
              <w:spacing w:before="0" w:after="0" w:line="240" w:lineRule="auto"/>
            </w:pPr>
            <w:r>
              <w:rPr>
                <w:rFonts w:ascii="Times New Roman" w:hAnsi="Times New Roman"/>
                <w:b w:val="0"/>
                <w:color w:val="000000"/>
                <w:sz w:val="20"/>
              </w:rPr>
              <w:t>Count recorded uncovered duties without inventing staffing thresholds.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Publication history</w:t>
            </w:r>
          </w:p>
        </w:tc>
        <w:tc>
          <w:tcPr>
            <w:tcW w:w="6485" w:type="dxa"/>
            <w:tcMar/>
            <w:shd w:fill="FFFFFF"/>
          </w:tcPr>
          <w:p>
            <w:pPr>
              <w:spacing w:before="0" w:after="0" w:line="240" w:lineRule="auto"/>
            </w:pPr>
            <w:r>
              <w:rPr>
                <w:rFonts w:ascii="Times New Roman" w:hAnsi="Times New Roman"/>
                <w:b w:val="0"/>
                <w:color w:val="000000"/>
                <w:sz w:val="20"/>
              </w:rPr>
              <w:t>Track effective roster revisions and affected-booking handling.</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actual shifts, Staff scheduling authority, duty/service eligibility, work-hour constraints and booking-impact rules. No fixed minimum Dentist count is approved.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Concurrent schedule changes cannot publish overlapping branch shifts or silently move a booked patient.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PI-05 variable branch assignments, PI-06 Owner-decided Dentist schedules, PI-08 no fixed Dentist minimum; Staff coverage is the user-approved October 12 scope. Implementation coverage: Reported personnel/availability foundation exists under historical M3. Complete dated Staff/Dentist roster and automated leave integration require implementation. Boundary: M3 owns the effective roster for both Staff and Dentists. M15 owns requests and coverage consent; M6 owns bookings. An assigned shift does not confer clinical or financial access.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4 Patient Records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Records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Patient and Staff maintain permitted identity fields; Dentist owns clinical review</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Person/Patient identity, health history and correction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Find or register the exact Patient identity. M4 owns Patient identity, permitted general history and corrections. M10 owns dental findings; M5 performed care; M12 proposed care; M14 files. Archive/restore is entity-specific and name history remains append-oriented.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Patient identity and contact details</w:t>
              <w:br/>
              <w:t>2. Reported medical history and allergies</w:t>
              <w:br/>
              <w:t>3. Authorized correction request</w:t>
              <w:br/>
              <w:t>4. Linked Visit, document and clinical references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Find or register the exact Patient identity</w:t>
              <w:br/>
              <w:t>2. Check duplicate identity signals without automatic merging</w:t>
              <w:br/>
              <w:t>3. Validate permitted demographic changes</w:t>
              <w:br/>
              <w:t>4. Record health-history provenance</w:t>
              <w:br/>
              <w:t>5. Route clinical review to the Dentist</w:t>
              <w:br/>
              <w:t>6. Link clinical and operational records by stable reference</w:t>
              <w:br/>
              <w:t>7. Apply authorized corrections while preserving history</w:t>
              <w:br/>
              <w:t>8. Present the permitted longitudinal record</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Current Patient profile</w:t>
              <w:br/>
              <w:t>Attributed medical-history record</w:t>
              <w:br/>
              <w:t>Scoped Patient timeline and correction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Scoped Staff; clinical reviewer only where authorized; Owner limited identity access.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supplying and viewing permitted own information. Related workflows: M1 User Management; M14 Document Management;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Find or register the exact Patient identity -&gt; Check duplicate identity signals without automatic merging -&gt; Validate permitted demographic changes -&gt; Record health-history provenance -&gt; Route clinical review to the Dentist -&gt; Link clinical and operational records by stable reference -&gt; Apply authorized corrections while preserving history -&gt; Present the permitted longitudinal record</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Correction history</w:t>
            </w:r>
          </w:p>
        </w:tc>
        <w:tc>
          <w:tcPr>
            <w:tcW w:w="6485" w:type="dxa"/>
            <w:tcMar/>
            <w:shd w:fill="FFFFFF"/>
          </w:tcPr>
          <w:p>
            <w:pPr>
              <w:spacing w:before="0" w:after="0" w:line="240" w:lineRule="auto"/>
            </w:pPr>
            <w:r>
              <w:rPr>
                <w:rFonts w:ascii="Times New Roman" w:hAnsi="Times New Roman"/>
                <w:b w:val="0"/>
                <w:color w:val="000000"/>
                <w:sz w:val="20"/>
              </w:rPr>
              <w:t>Track permitted corrections with preserved earlier values.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Identity exceptions</w:t>
            </w:r>
          </w:p>
        </w:tc>
        <w:tc>
          <w:tcPr>
            <w:tcW w:w="6485" w:type="dxa"/>
            <w:tcMar/>
            <w:shd w:fill="FFFFFF"/>
          </w:tcPr>
          <w:p>
            <w:pPr>
              <w:spacing w:before="0" w:after="0" w:line="240" w:lineRule="auto"/>
            </w:pPr>
            <w:r>
              <w:rPr>
                <w:rFonts w:ascii="Times New Roman" w:hAnsi="Times New Roman"/>
                <w:b w:val="0"/>
                <w:color w:val="000000"/>
                <w:sz w:val="20"/>
              </w:rPr>
              <w:t>Count unresolved duplicate signals without automatic merging.</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Record access</w:t>
            </w:r>
          </w:p>
        </w:tc>
        <w:tc>
          <w:tcPr>
            <w:tcW w:w="6485" w:type="dxa"/>
            <w:tcMar/>
            <w:shd w:fill="FFFFFF"/>
          </w:tcPr>
          <w:p>
            <w:pPr>
              <w:spacing w:before="0" w:after="0" w:line="240" w:lineRule="auto"/>
            </w:pPr>
            <w:r>
              <w:rPr>
                <w:rFonts w:ascii="Times New Roman" w:hAnsi="Times New Roman"/>
                <w:b w:val="0"/>
                <w:color w:val="000000"/>
                <w:sz w:val="20"/>
              </w:rPr>
              <w:t>Measure authorized retrieval and refused cross-patient access.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Duplicate merge, corrections, cross-branch access and retention remain entity-specific policy decisions.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current name correction does not rewrite the name snapshot on an earlier financial record.</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Q16/Q17/Q18/Q24; user requirement for archive/restore and preserved name history. Implementation coverage: Reported identity/profile foundation. Full history, merge and restoration workflows remain incomplete. Boundary: M4 owns Patient identity, permitted general history and corrections. M10 owns dental findings; M5 performed care; M12 proposed care; M14 files. Archive/restore is entity-specific and name history remains append-oriented.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5 Treatment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Treatment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Responsible Dentist authors and completes treatment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Visit-linked Treatment and immutable completed revisions.</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the Visit and responsible Dentist. M5 owns actual care and authoritative Treatment completion. M12 proposed work is not completed care; M11 charges only authoritative billable evidence. M24 lab acceptance and M25 handover do not independently complete Treatment.</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Authoritative Visit and assigned Dentist</w:t>
              <w:br/>
              <w:t>2. Permitted Patient history and dental chart</w:t>
              <w:br/>
              <w:t>3. Dentist assessment and performed procedures</w:t>
              <w:br/>
              <w:t>4. Approved treatment-plan reference when applicable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the Visit and responsible Dentist</w:t>
              <w:br/>
              <w:t>2. Validate clinical access and current treatment state</w:t>
              <w:br/>
              <w:t>3. Review permitted history and findings</w:t>
              <w:br/>
              <w:t>4. Record assessment and procedures actually performed</w:t>
              <w:br/>
              <w:t>5. Save attributed documentation revisions</w:t>
              <w:br/>
              <w:t>6. Validate completion requirements</w:t>
              <w:br/>
              <w:t>7. Complete Treatment and linked Visit/appointment atomically</w:t>
              <w:br/>
              <w:t>8. Expose safe downstream billing, prescription and follow-up context</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Completed or active Treatment record</w:t>
              <w:br/>
              <w:t>Performed-procedure evidence</w:t>
              <w:br/>
              <w:t>Authoritative completion and downstream references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Responsible Dentist and permitted assisting Staff.</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receiving care. Related workflows: M4 Patient Records; M8 Patient Visits; M10 Dental Charts; M12 Treatment Plans; M24 Lab Cases; M25 Patient Handovers.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the Visit and responsible Dentist -&gt; Validate clinical access and current treatment state -&gt; Review permitted history and findings -&gt; Record assessment and procedures actually performed -&gt; Save attributed documentation revisions -&gt; Validate completion requirements -&gt; Complete Treatment and linked Visit/appointment atomically -&gt; Expose safe downstream billing, prescription and follow-up context</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Care evidence</w:t>
            </w:r>
          </w:p>
        </w:tc>
        <w:tc>
          <w:tcPr>
            <w:tcW w:w="6485" w:type="dxa"/>
            <w:tcMar/>
            <w:shd w:fill="FFFFFF"/>
          </w:tcPr>
          <w:p>
            <w:pPr>
              <w:spacing w:before="0" w:after="0" w:line="240" w:lineRule="auto"/>
            </w:pPr>
            <w:r>
              <w:rPr>
                <w:rFonts w:ascii="Times New Roman" w:hAnsi="Times New Roman"/>
                <w:b w:val="0"/>
                <w:color w:val="000000"/>
                <w:sz w:val="20"/>
              </w:rPr>
              <w:t>Track documented performed procedures against completed Treatment.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Completion integrity</w:t>
            </w:r>
          </w:p>
        </w:tc>
        <w:tc>
          <w:tcPr>
            <w:tcW w:w="6485" w:type="dxa"/>
            <w:tcMar/>
            <w:shd w:fill="FFFFFF"/>
          </w:tcPr>
          <w:p>
            <w:pPr>
              <w:spacing w:before="0" w:after="0" w:line="240" w:lineRule="auto"/>
            </w:pPr>
            <w:r>
              <w:rPr>
                <w:rFonts w:ascii="Times New Roman" w:hAnsi="Times New Roman"/>
                <w:b w:val="0"/>
                <w:color w:val="000000"/>
                <w:sz w:val="20"/>
              </w:rPr>
              <w:t>Count refused invalid or stale completion attempts.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Clinical history</w:t>
            </w:r>
          </w:p>
        </w:tc>
        <w:tc>
          <w:tcPr>
            <w:tcW w:w="6485" w:type="dxa"/>
            <w:tcMar/>
            <w:shd w:fill="FFFFFF"/>
          </w:tcPr>
          <w:p>
            <w:pPr>
              <w:spacing w:before="0" w:after="0" w:line="240" w:lineRule="auto"/>
            </w:pPr>
            <w:r>
              <w:rPr>
                <w:rFonts w:ascii="Times New Roman" w:hAnsi="Times New Roman"/>
                <w:b w:val="0"/>
                <w:color w:val="000000"/>
                <w:sz w:val="20"/>
              </w:rPr>
              <w:t>Measure responsible-Dentist attribution and protected revisions.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Clinical amendments and aborted-treatment handling require approved contracts; a calendar Done action cannot complete care.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proposed procedure does not become a billable completed procedure until the Dentist records actual treatment.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Q15/Q27/Q29. Existing responsible-Dentist and completion contracts remain authoritative. Implementation coverage: Reported server-authoritative Treatment foundation with responsible-Dentist authorization and immutable completion. Boundary: M5 owns actual care and authoritative Treatment completion. M12 proposed work is not completed care; M11 charges only authoritative billable evidence. M24 lab acceptance and M25 handover do not independently complete Treatment.</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6 Appointment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Appointment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Existing Patient, Staff and Owner booking permissions remain authoritative</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Appointment, revision and attendance-response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the actor, Patient and booking intent. M6 owns booking, calendar and attendance responses. M8 owns arrival; M5/M8 supply authoritative completion; M18 delivery. Leave, lab or handover events identify work for permitted booking commands rather than silently changing appointments.</w:t>
            </w:r>
            <w:r>
              <w:rPr>
                <w:rFonts w:ascii="Times New Roman" w:hAnsi="Times New Roman"/>
                <w:b w:val="0"/>
                <w:color w:val="000000"/>
                <w:sz w:val="20"/>
              </w:rPr>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Authorized Patient and requested service</w:t>
              <w:br/>
              <w:t>2. Branch calendar and employee availability from M2/M3</w:t>
              <w:br/>
              <w:t>3. Requested time and current appointment revisions</w:t>
              <w:br/>
              <w:t>4. Attendance response or approved schedule/handover change</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the actor, Patient and booking intent</w:t>
              <w:br/>
              <w:t>2. Find eligible branch and Dentist availability</w:t>
              <w:br/>
              <w:t>3. Validate time rules and all overlap constraints</w:t>
              <w:br/>
              <w:t>4. Create the booking or authorized revision atomically</w:t>
              <w:br/>
              <w:t>5. Project appointments into day/week/month views</w:t>
              <w:br/>
              <w:t>6. Record an attributed attendance response against the current revision</w:t>
              <w:br/>
              <w:t>7. Route change requests through existing booking commands</w:t>
              <w:br/>
              <w:t>8. Record outcomes and request approved notifications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Authoritative appointment and calendar view</w:t>
              <w:br/>
              <w:t>Conflict or valid-slot result</w:t>
              <w:br/>
              <w:t>Attendance-response and booking history</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Staff/Owner under current booking capabilities.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booking or responding to an appointment. Related workflows: M1 User Management; M2 Branch Management; M3 Work Schedules; M13 Services and Pricing; M18 Notifications.</w:t>
            </w:r>
            <w:r>
              <w:rPr>
                <w:rFonts w:ascii="Times New Roman" w:hAnsi="Times New Roman"/>
                <w:b w:val="0"/>
                <w:color w:val="000000"/>
                <w:sz w:val="20"/>
              </w:rPr>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the actor, Patient and booking intent -&gt; Find eligible branch and Dentist availability -&gt; Validate time rules and all overlap constraints -&gt; Create the booking or authorized revision atomically -&gt; Project appointments into day/week/month views -&gt; Record an attributed attendance response against the current revision -&gt; Route change requests through existing booking commands -&gt; Record outcomes and request approved notifications</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Booking conflicts</w:t>
            </w:r>
          </w:p>
        </w:tc>
        <w:tc>
          <w:tcPr>
            <w:tcW w:w="6485" w:type="dxa"/>
            <w:tcMar/>
            <w:shd w:fill="FFFFFF"/>
          </w:tcPr>
          <w:p>
            <w:pPr>
              <w:spacing w:before="0" w:after="0" w:line="240" w:lineRule="auto"/>
            </w:pPr>
            <w:r>
              <w:rPr>
                <w:rFonts w:ascii="Times New Roman" w:hAnsi="Times New Roman"/>
                <w:b w:val="0"/>
                <w:color w:val="000000"/>
                <w:sz w:val="20"/>
              </w:rPr>
              <w:t>Count conflict refusals and successful authorized revisions.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Response visibility</w:t>
            </w:r>
          </w:p>
        </w:tc>
        <w:tc>
          <w:tcPr>
            <w:tcW w:w="6485" w:type="dxa"/>
            <w:tcMar/>
            <w:shd w:fill="FFFFFF"/>
          </w:tcPr>
          <w:p>
            <w:pPr>
              <w:spacing w:before="0" w:after="0" w:line="240" w:lineRule="auto"/>
            </w:pPr>
            <w:r>
              <w:rPr>
                <w:rFonts w:ascii="Times New Roman" w:hAnsi="Times New Roman"/>
                <w:b w:val="0"/>
                <w:color w:val="000000"/>
                <w:sz w:val="20"/>
              </w:rPr>
              <w:t>Track current and stale attendance responses separately.</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Calendar completeness</w:t>
            </w:r>
          </w:p>
        </w:tc>
        <w:tc>
          <w:tcPr>
            <w:tcW w:w="6485" w:type="dxa"/>
            <w:tcMar/>
            <w:shd w:fill="FFFFFF"/>
          </w:tcPr>
          <w:p>
            <w:pPr>
              <w:spacing w:before="0" w:after="0" w:line="240" w:lineRule="auto"/>
            </w:pPr>
            <w:r>
              <w:rPr>
                <w:rFonts w:ascii="Times New Roman" w:hAnsi="Times New Roman"/>
                <w:b w:val="0"/>
                <w:color w:val="000000"/>
                <w:sz w:val="20"/>
              </w:rPr>
              <w:t>Compare displayed bookings with the full authorized source window.</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Response options/deadlines, stale responses, no-show rules and cancellation consequences remain open.</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cannot-attend response is visible to Staff without automatically cancelling the booking or creating arrival.</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Q20/Q28/Q32; PI-29 booking/change updates; user day/week/month calendar and attendance-response requirements. Implementation coverage: Reported booking/conflict foundation. Calendar integration and attendance-response workflow require a scoped return pass. Boundary: M6 owns booking, calendar and attendance responses. M8 owns arrival; M5/M8 supply authoritative completion; M18 delivery. Leave, lab or handover events identify work for permitted booking commands rather than silently changing appointments.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7 AI Chatbot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AI Chatbot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Authenticated Patient only; knowledge publication authority must be approved</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Approved knowledge version and scoped assistance request.</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Authenticate and resolve the Patient context. M7 is an informational Patient-only service with approved knowledge, privacy checks and fallback. Human conversations belong to M17. AI cannot diagnose, prescribe, approve leave, book or settle payments.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Authenticated Patient question</w:t>
              <w:br/>
              <w:t>2. Approved clinic knowledge</w:t>
              <w:br/>
              <w:t>3. Permitted Patient-safe context</w:t>
              <w:br/>
              <w:t>4. Configured provider and privacy choices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Authenticate and resolve the Patient context</w:t>
              <w:br/>
              <w:t>2. Check clinic scope and sensitive-information boundaries</w:t>
              <w:br/>
              <w:t>3. Retrieve approved knowledge and permitted context</w:t>
              <w:br/>
              <w:t>4. Call the existing server adapter when configured</w:t>
              <w:br/>
              <w:t>5. Check the response against supported knowledge and allowed actions</w:t>
              <w:br/>
              <w:t>6. Return guidance with navigation or an honest fallback</w:t>
              <w:br/>
              <w:t>7. Offer an authorized human-contact path</w:t>
              <w:br/>
              <w:t>8. Record minimal operational evidence without unnecessary clinical content</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Grounded informational answer or refusal</w:t>
              <w:br/>
              <w:t>Relevant navigation/contact guidance</w:t>
              <w:br/>
              <w:t>Minimal service and knowledge-version evidence</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Clinic knowledge maintainer under approved publication policy.</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Authenticated Patient; configured AI provider. Related workflows: M1 User Management; M2 Branch Management; M13 Services and Pricing.</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Authenticate and resolve the Patient context -&gt; Check clinic scope and sensitive-information boundaries -&gt; Retrieve approved knowledge and permitted context -&gt; Call the existing server adapter when configured -&gt; Check the response against supported knowledge and allowed actions -&gt; Return guidance with navigation or an honest fallback -&gt; Offer an authorized human-contact path -&gt; Record minimal operational evidence without unnecessary clinical content</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Supported answers</w:t>
            </w:r>
          </w:p>
        </w:tc>
        <w:tc>
          <w:tcPr>
            <w:tcW w:w="6485" w:type="dxa"/>
            <w:tcMar/>
            <w:shd w:fill="FFFFFF"/>
          </w:tcPr>
          <w:p>
            <w:pPr>
              <w:spacing w:before="0" w:after="0" w:line="240" w:lineRule="auto"/>
            </w:pPr>
            <w:r>
              <w:rPr>
                <w:rFonts w:ascii="Times New Roman" w:hAnsi="Times New Roman"/>
                <w:b w:val="0"/>
                <w:color w:val="000000"/>
                <w:sz w:val="20"/>
              </w:rPr>
              <w:t>Track supported knowledge responses and honest fallbacks.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Knowledge provenance</w:t>
            </w:r>
          </w:p>
        </w:tc>
        <w:tc>
          <w:tcPr>
            <w:tcW w:w="6485" w:type="dxa"/>
            <w:tcMar/>
            <w:shd w:fill="FFFFFF"/>
          </w:tcPr>
          <w:p>
            <w:pPr>
              <w:spacing w:before="0" w:after="0" w:line="240" w:lineRule="auto"/>
            </w:pPr>
            <w:r>
              <w:rPr>
                <w:rFonts w:ascii="Times New Roman" w:hAnsi="Times New Roman"/>
                <w:b w:val="0"/>
                <w:color w:val="000000"/>
                <w:sz w:val="20"/>
              </w:rPr>
              <w:t>Measure recorded knowledge/provider version completeness.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Service performance</w:t>
            </w:r>
          </w:p>
        </w:tc>
        <w:tc>
          <w:tcPr>
            <w:tcW w:w="6485" w:type="dxa"/>
            <w:tcMar/>
            <w:shd w:fill="FFFFFF"/>
          </w:tcPr>
          <w:p>
            <w:pPr>
              <w:spacing w:before="0" w:after="0" w:line="240" w:lineRule="auto"/>
            </w:pPr>
            <w:r>
              <w:rPr>
                <w:rFonts w:ascii="Times New Roman" w:hAnsi="Times New Roman"/>
                <w:b w:val="0"/>
                <w:color w:val="000000"/>
                <w:sz w:val="20"/>
              </w:rPr>
              <w:t>Measure response latency and provider failures without fake quality scores.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Live provider, privacy notice, knowledge publication and provider-data handling need confirmation.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An unsupported price or medical request produces a safe fallback rather than invented advice.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User-requested informational AI integration; reported existing constrained server adapter. Knowledge/privacy configuration remains a project decision. Implementation coverage: Reported constrained Patient-only server adapter and curated knowledge foundation; live provider use is unverified. Boundary: M7 is an informational Patient-only service with approved knowledge, privacy checks and fallback. Human conversations belong to M17. AI cannot diagnose, prescribe, approve leave, book or settle payments.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8 Patient Visits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Visits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Branch-authorized Staff admit Patients and assign within approved permissions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Arrival evidence, authoritative Visit, assignment and encounter-state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Identify the exact Patient and branch. M8 owns admission and the Visit bridge, including scheduled and walk-in context. M9 waiting order and M5 clinical completion remain distinct. An attendance response is not arrival; Patient-only feedback may remain a supporting feature without new reviewer access.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Exact Patient identity</w:t>
              <w:br/>
              <w:t>2. Scheduled appointment or walk-in request</w:t>
              <w:br/>
              <w:t>3. Actual arrival time and branch</w:t>
              <w:br/>
              <w:t>4. Available eligible Dentist or unassigned Visit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Identify the exact Patient and branch</w:t>
              <w:br/>
              <w:t>2. Validate a scheduled appointment or walk-in context</w:t>
              <w:br/>
              <w:t>3. Record actual physical arrival</w:t>
              <w:br/>
              <w:t>4. Check active-Visit and admission constraints</w:t>
              <w:br/>
              <w:t>5. Create the authoritative Visit</w:t>
              <w:br/>
              <w:t>6. Assign an eligible Dentist through permitted commands or retain an unassigned Visit</w:t>
              <w:br/>
              <w:t>7. Hand off the assigned Visit to M9 and track authorized encounter outcomes</w:t>
              <w:br/>
              <w:t>8. Present scoped Visit status and preserve attributed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Authoritative assigned or unassigned Visit</w:t>
              <w:br/>
              <w:t>Queue and treatment handoff references</w:t>
              <w:br/>
              <w:t>Arrival, assignment and encounter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Branch-authorized Staff and responsible Dentist under current commands.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Arriving Patient. Related workflows: M4 Patient Records; M6 Appointment Management; M3 Work Schedules; M9 Patient Queue; M5 Treatment Management.</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Actual arrival -&gt; Patient and booking/walk-in validation -&gt; admission checks -&gt; Visit creation -&gt; authorized assignment or unassigned state -&gt; eligible queue handoff -&gt; sourced encounter status -&gt;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Unassigned Visits</w:t>
            </w:r>
          </w:p>
        </w:tc>
        <w:tc>
          <w:tcPr>
            <w:tcW w:w="6485" w:type="dxa"/>
            <w:tcMar/>
            <w:shd w:fill="FFFFFF"/>
          </w:tcPr>
          <w:p>
            <w:pPr>
              <w:spacing w:before="0" w:after="0" w:line="240" w:lineRule="auto"/>
            </w:pPr>
            <w:r>
              <w:rPr>
                <w:rFonts w:ascii="Times New Roman" w:hAnsi="Times New Roman"/>
                <w:b w:val="0"/>
                <w:color w:val="000000"/>
                <w:sz w:val="20"/>
              </w:rPr>
              <w:t>Count actual arrivals awaiting permitted Dentist assignment.</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Admission integrity</w:t>
            </w:r>
          </w:p>
        </w:tc>
        <w:tc>
          <w:tcPr>
            <w:tcW w:w="6485" w:type="dxa"/>
            <w:tcMar/>
            <w:shd w:fill="FFFFFF"/>
          </w:tcPr>
          <w:p>
            <w:pPr>
              <w:spacing w:before="0" w:after="0" w:line="240" w:lineRule="auto"/>
            </w:pPr>
            <w:r>
              <w:rPr>
                <w:rFonts w:ascii="Times New Roman" w:hAnsi="Times New Roman"/>
                <w:b w:val="0"/>
                <w:color w:val="000000"/>
                <w:sz w:val="20"/>
              </w:rPr>
              <w:t>Track duplicate active-Visit refusals and admission exceptions.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Assignment time</w:t>
            </w:r>
          </w:p>
        </w:tc>
        <w:tc>
          <w:tcPr>
            <w:tcW w:w="6485" w:type="dxa"/>
            <w:tcMar/>
            <w:shd w:fill="FFFFFF"/>
          </w:tcPr>
          <w:p>
            <w:pPr>
              <w:spacing w:before="0" w:after="0" w:line="240" w:lineRule="auto"/>
            </w:pPr>
            <w:r>
              <w:rPr>
                <w:rFonts w:ascii="Times New Roman" w:hAnsi="Times New Roman"/>
                <w:b w:val="0"/>
                <w:color w:val="000000"/>
                <w:sz w:val="20"/>
              </w:rPr>
              <w:t>Measure arrival-to-assignment time from authoritative timestamps.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late-arrival, reassignment, departure, aborted/end-of-day handling and Patient-visible history. Preserve current responsible-Dentist completion and private feedback restrictions.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An unassigned arriving Patient has a Visit but no fabricated Dentist queue entry.</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Q15/Q27; PI-13 available Dentist assignment and PI-21 case-by-case lateness. Visit expansion is the agreed module boundary. Implementation coverage: Reported scheduled/walk-in Visit foundation. Assignment completeness and live integration require verification. Boundary: M8 owns admission and the Visit bridge, including scheduled and walk-in context. M9 waiting order and M5 clinical completion remain distinct. An attendance response is not arrival; Patient-only feedback may remain a supporting feature without new reviewer access.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9 Patient Queue</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Queue</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Scoped Staff/Owner operations and responsible-Dentist commands follow current contracts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QueueEntry, numbering and transition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Accept an eligible assigned Visit. M9 owns live ordered waiting records and factual counts. M21 owns historical trends; M5 owns actual treatment completion. Predicted waits and numeric busy thresholds remain unapproved.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Assigned authoritative Visit</w:t>
              <w:br/>
              <w:t>2. Branch, Dentist and clinic day</w:t>
              <w:br/>
              <w:t>3. Current queue state</w:t>
              <w:br/>
              <w:t>4. Authorized action or priority reason</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Accept an eligible assigned Visit</w:t>
              <w:br/>
              <w:t>2. Allocate its queue number atomically</w:t>
              <w:br/>
              <w:t>3. Compute ordering from authoritative records</w:t>
              <w:br/>
              <w:t>4. Validate actor and allowed transition</w:t>
              <w:br/>
              <w:t>5. Apply call, ready, away, return or serve outcome</w:t>
              <w:br/>
              <w:t>6. Recompute visible positions</w:t>
              <w:br/>
              <w:t>7. Publish scoped live waiting counts and Patient-safe status</w:t>
              <w:br/>
              <w:t>8. Retain transition history and source freshness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Current ordered queue and factual waiting counts</w:t>
              <w:br/>
              <w:t>Patient-safe own queue status</w:t>
              <w:br/>
              <w:t>Attributed queue transition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Scoped Staff, assigned Dentist and documented Owner exceptions.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viewing permitted own queue status. Related workflows: M8 Patient Visits; M3 Work Schedules; M5 Treatment Management; M18 Notifications.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Accept an eligible assigned Visit -&gt; Allocate its queue number atomically -&gt; Compute ordering from authoritative records -&gt; Validate actor and allowed transition -&gt; Apply call, ready, away, return or serve outcome -&gt; Recompute visible positions -&gt; Publish scoped live waiting counts and Patient-safe status -&gt; Retain transition history and source freshness</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Live waiting</w:t>
            </w:r>
          </w:p>
        </w:tc>
        <w:tc>
          <w:tcPr>
            <w:tcW w:w="6485" w:type="dxa"/>
            <w:tcMar/>
            <w:shd w:fill="FFFFFF"/>
          </w:tcPr>
          <w:p>
            <w:pPr>
              <w:spacing w:before="0" w:after="0" w:line="240" w:lineRule="auto"/>
            </w:pPr>
            <w:r>
              <w:rPr>
                <w:rFonts w:ascii="Times New Roman" w:hAnsi="Times New Roman"/>
                <w:b w:val="0"/>
                <w:color w:val="000000"/>
                <w:sz w:val="20"/>
              </w:rPr>
              <w:t>Show factual current counts and ordered positions.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Transition integrity</w:t>
            </w:r>
          </w:p>
        </w:tc>
        <w:tc>
          <w:tcPr>
            <w:tcW w:w="6485" w:type="dxa"/>
            <w:tcMar/>
            <w:shd w:fill="FFFFFF"/>
          </w:tcPr>
          <w:p>
            <w:pPr>
              <w:spacing w:before="0" w:after="0" w:line="240" w:lineRule="auto"/>
            </w:pPr>
            <w:r>
              <w:rPr>
                <w:rFonts w:ascii="Times New Roman" w:hAnsi="Times New Roman"/>
                <w:b w:val="0"/>
                <w:color w:val="000000"/>
                <w:sz w:val="20"/>
              </w:rPr>
              <w:t>Track refused duplicate numbers or invalid state changes.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Observed waiting</w:t>
            </w:r>
          </w:p>
        </w:tc>
        <w:tc>
          <w:tcPr>
            <w:tcW w:w="6485" w:type="dxa"/>
            <w:tcMar/>
            <w:shd w:fill="FFFFFF"/>
          </w:tcPr>
          <w:p>
            <w:pPr>
              <w:spacing w:before="0" w:after="0" w:line="240" w:lineRule="auto"/>
            </w:pPr>
            <w:r>
              <w:rPr>
                <w:rFonts w:ascii="Times New Roman" w:hAnsi="Times New Roman"/>
                <w:b w:val="0"/>
                <w:color w:val="000000"/>
                <w:sz w:val="20"/>
              </w:rPr>
              <w:t>Measure elapsed waiting only where actual transition timestamps exist.</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No guessed wait formula, fixed busy threshold or automatic cross-branch transfer is approved.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Two concurrent operations cannot duplicate queue numbers; a Patient cannot read another Patient queue record.</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Q19/Q21/Q32; PI-24 many waiting and PI-25 front desk visibility; user live-waitlist requirement. Implementation coverage: Reported server queue foundation. Live UI completeness and refresh behavior remain integration work. Boundary: M9 owns live ordered waiting records and factual counts. M21 owns historical trends; M5 owns actual treatment completion. Predicted waits and numeric busy thresholds remain unapproved.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10 Dental Charts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Dental Charts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authors clinical findings; other access is purpose-scoped</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Patient tooth/surface finding and chart revision.</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Patient and authorized clinical context. M10 owns structured dental findings and chart revisions. M12 owns proposed procedures, M5 actual procedures and M14 supporting image files. Clinical notation and findings remain Dentist-authored.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Patient and clinical Visit context</w:t>
              <w:br/>
              <w:t>2. Dentition/tooth identification scheme</w:t>
              <w:br/>
              <w:t>3. Dentist-recorded findings</w:t>
              <w:br/>
              <w:t>4. Previous chart and performed-procedure references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Patient and authorized clinical context</w:t>
              <w:br/>
              <w:t>2. Load the permitted prior chart</w:t>
              <w:br/>
              <w:t>3. Validate the selected tooth, surface or area</w:t>
              <w:br/>
              <w:t>4. Record Dentist findings with date and provenance</w:t>
              <w:br/>
              <w:t>5. Distinguish existing findings, planned care and completed care</w:t>
              <w:br/>
              <w:t>6. Save a versioned chart change</w:t>
              <w:br/>
              <w:t>7. Link related plans, treatment or images without duplicating their authority</w:t>
              <w:br/>
              <w:t>8. Present the chart and chronological change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Current dental chart</w:t>
              <w:br/>
              <w:t>Attributed tooth/surface findings</w:t>
              <w:br/>
              <w:t>Chart revision history and clinical links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Responsible authorized Dentist.</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whose dental findings are recorded. Related workflows: M4 Patient Records; M8 Patient Visits; M14 Document Management.</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Patient and authorized clinical context -&gt; Load the permitted prior chart -&gt; Validate the selected tooth, surface or area -&gt; Record Dentist findings with date and provenance -&gt; Distinguish existing findings, planned care and completed care -&gt; Save a versioned chart change -&gt; Link related plans, treatment or images without duplicating their authority -&gt; Present the chart and chronological change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Finding provenance</w:t>
            </w:r>
          </w:p>
        </w:tc>
        <w:tc>
          <w:tcPr>
            <w:tcW w:w="6485" w:type="dxa"/>
            <w:tcMar/>
            <w:shd w:fill="FFFFFF"/>
          </w:tcPr>
          <w:p>
            <w:pPr>
              <w:spacing w:before="0" w:after="0" w:line="240" w:lineRule="auto"/>
            </w:pPr>
            <w:r>
              <w:rPr>
                <w:rFonts w:ascii="Times New Roman" w:hAnsi="Times New Roman"/>
                <w:b w:val="0"/>
                <w:color w:val="000000"/>
                <w:sz w:val="20"/>
              </w:rPr>
              <w:t>Measure Dentist, tooth/surface and revision completeness.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Revision integrity</w:t>
            </w:r>
          </w:p>
        </w:tc>
        <w:tc>
          <w:tcPr>
            <w:tcW w:w="6485" w:type="dxa"/>
            <w:tcMar/>
            <w:shd w:fill="FFFFFF"/>
          </w:tcPr>
          <w:p>
            <w:pPr>
              <w:spacing w:before="0" w:after="0" w:line="240" w:lineRule="auto"/>
            </w:pPr>
            <w:r>
              <w:rPr>
                <w:rFonts w:ascii="Times New Roman" w:hAnsi="Times New Roman"/>
                <w:b w:val="0"/>
                <w:color w:val="000000"/>
                <w:sz w:val="20"/>
              </w:rPr>
              <w:t>Track attributed amendments with preserved earlier findings.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Chart retrieval</w:t>
            </w:r>
          </w:p>
        </w:tc>
        <w:tc>
          <w:tcPr>
            <w:tcW w:w="6485" w:type="dxa"/>
            <w:tcMar/>
            <w:shd w:fill="FFFFFF"/>
          </w:tcPr>
          <w:p>
            <w:pPr>
              <w:spacing w:before="0" w:after="0" w:line="240" w:lineRule="auto"/>
            </w:pPr>
            <w:r>
              <w:rPr>
                <w:rFonts w:ascii="Times New Roman" w:hAnsi="Times New Roman"/>
                <w:b w:val="0"/>
                <w:color w:val="000000"/>
                <w:sz w:val="20"/>
              </w:rPr>
              <w:t>Measure permitted chart retrieval and refused cross-patient access.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New project scope: clinic must confirm notation, fields, charting permissions and correction rules before write commands.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planned restoration cannot be displayed as a completed procedure; another Patient chart is inaccessible.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Project-approved charting scope; Q17 confirms digital history but does not specify notation or chart fields. Obtain the actual chart before new clinical writes. Implementation coverage: Proposed new domain. The former M10 flow/capacity prototype is not a dental-chart implementation. Boundary: M10 owns structured dental findings and chart revisions. M12 owns proposed procedures, M5 actual procedures and M14 supporting image files. Clinical notation and findings remain Dentist-authored.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11 Billing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Billing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Existing authorized financial actors issue invoices; exact monetary and legacy financial safeguards remain authoritative</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Invoice, immutable charge evidence, balance and authorized correction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the authorized Patient and billable care context. M11 owns what is owed. M23 owns collection attempts, verified settlements and payment receipts. The split is planning metadata; current composite billing/payment implementation and legacy HMO gates are not migrated or bypassed.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Authoritative completed billable procedures</w:t>
              <w:br/>
              <w:t>2. Effective price versions and existing financial holds</w:t>
              <w:br/>
              <w:t>3. Verified Patient/payer identity</w:t>
              <w:br/>
              <w:t>4. Verified settlement references from M23 or approved correction commands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the authorized Patient and billable care context</w:t>
              <w:br/>
              <w:t>2. Validate completed procedures and all existing financial holds</w:t>
              <w:br/>
              <w:t>3. Resolve exact approved price versions</w:t>
              <w:br/>
              <w:t>4. Calculate and preserve charge evidence without float arithmetic</w:t>
              <w:br/>
              <w:t>5. Issue the invoice through the permitted command</w:t>
              <w:br/>
              <w:t>6. Link verified payment evidence from M23 atomically</w:t>
              <w:br/>
              <w:t>7. Derive balance and financial status from authoritative records</w:t>
              <w:br/>
              <w:t>8. Present invoice history and preserve authorized correction evidence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Authoritative invoice and charge snapshot</w:t>
              <w:br/>
              <w:t>Balance and financial status</w:t>
              <w:br/>
              <w:t>Source-linked billing and correction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clinic financial actors under existing contracts.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or authorized payer. Related workflows: M5 Treatment Management; M13 Services and Pricing; M23 Payment Management;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Completed billable care -&gt; financial hold and price checks -&gt; exact charge snapshot -&gt; issued invoice -&gt; verified M23 settlement linkage -&gt; derived balance/status -&gt; authorized correction evidence -&gt; billing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Charge provenance</w:t>
            </w:r>
          </w:p>
        </w:tc>
        <w:tc>
          <w:tcPr>
            <w:tcW w:w="6485" w:type="dxa"/>
            <w:tcMar/>
            <w:shd w:fill="FFFFFF"/>
          </w:tcPr>
          <w:p>
            <w:pPr>
              <w:spacing w:before="0" w:after="0" w:line="240" w:lineRule="auto"/>
            </w:pPr>
            <w:r>
              <w:rPr>
                <w:rFonts w:ascii="Times New Roman" w:hAnsi="Times New Roman"/>
                <w:b w:val="0"/>
                <w:color w:val="000000"/>
                <w:sz w:val="20"/>
              </w:rPr>
              <w:t>Measure completed-procedure and effective-price linkage.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Financial exceptions</w:t>
            </w:r>
          </w:p>
        </w:tc>
        <w:tc>
          <w:tcPr>
            <w:tcW w:w="6485" w:type="dxa"/>
            <w:tcMar/>
            <w:shd w:fill="FFFFFF"/>
          </w:tcPr>
          <w:p>
            <w:pPr>
              <w:spacing w:before="0" w:after="0" w:line="240" w:lineRule="auto"/>
            </w:pPr>
            <w:r>
              <w:rPr>
                <w:rFonts w:ascii="Times New Roman" w:hAnsi="Times New Roman"/>
                <w:b w:val="0"/>
                <w:color w:val="000000"/>
                <w:sz w:val="20"/>
              </w:rPr>
              <w:t>Count blocked issues and unresolved financial holds.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Balance consistency</w:t>
            </w:r>
          </w:p>
        </w:tc>
        <w:tc>
          <w:tcPr>
            <w:tcW w:w="6485" w:type="dxa"/>
            <w:tcMar/>
            <w:shd w:fill="FFFFFF"/>
          </w:tcPr>
          <w:p>
            <w:pPr>
              <w:spacing w:before="0" w:after="0" w:line="240" w:lineRule="auto"/>
            </w:pPr>
            <w:r>
              <w:rPr>
                <w:rFonts w:ascii="Times New Roman" w:hAnsi="Times New Roman"/>
                <w:b w:val="0"/>
                <w:color w:val="000000"/>
                <w:sz w:val="20"/>
              </w:rPr>
              <w:t>Compare balances with verified charge and settlement evidence.</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adjustments, discounts, tax fields, partial-payment/refund policy and billing/payments separation before new financial behavior. Current holds remain enforced.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price update or proposed procedure cannot rewrite issued charge evidence; a browser payment redirect cannot change invoice settlement.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Q15/Q18/Q27; user-requested Billing/Payments separation. Example interview fees are not approved catalog values. Implementation coverage: Reported historical M11 billing/payment foundation, immutable charges and financial safeguards. The proposed separate billing/payment ownership requires source reconciliation. Boundary: M11 owns what is owed. M23 owns collection attempts, verified settlements and payment receipts. The split is planning metadata; current composite billing/payment implementation and legacy HMO gates are not migrated or bypassed.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12 Treatment Plans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Treatment Plans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proposes clinical care; authorized Staff coordinate bookings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Versioned proposed plan, phases, estimates and Patient decision.</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authorized Patient and Dentist context. M12 owns proposed care, phased estimates and attributed Patient decisions; M5 owns performed care and M11 issued charges. Plan acceptance is not clinical consent, completed care or payment. Legacy HMO M12 records retain their old identity.</w:t>
            </w:r>
            <w:r>
              <w:rPr>
                <w:rFonts w:ascii="Times New Roman" w:hAnsi="Times New Roman"/>
                <w:b w:val="0"/>
                <w:color w:val="000000"/>
                <w:sz w:val="20"/>
              </w:rPr>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Patient, Dentist findings and chart</w:t>
              <w:br/>
              <w:t>2. Proposed procedures and priority</w:t>
              <w:br/>
              <w:t>3. M13 prices for clearly labelled estimates</w:t>
              <w:br/>
              <w:t>4. Patient decision and planned appointment references</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authorized Patient and Dentist context</w:t>
              <w:br/>
              <w:t>2. Create the proposed plan from Dentist-selected procedures</w:t>
              <w:br/>
              <w:t>3. Organize clinically chosen phases or visit sequence</w:t>
              <w:br/>
              <w:t>4. Calculate a labelled estimate from approved price data</w:t>
              <w:br/>
              <w:t>5. Present the plan and record the attributed Patient decision</w:t>
              <w:br/>
              <w:t>6. Link accepted work to permitted M6 appointment commands</w:t>
              <w:br/>
              <w:t>7. Track actual progress from M5 completion evidence</w:t>
              <w:br/>
              <w:t>8. Version revisions and preserve earlier plan decisions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Proposed or accepted treatment plan</w:t>
              <w:br/>
              <w:t>Versioned estimate and decision history</w:t>
              <w:br/>
              <w:t>Planned-visit links and actual progress</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Dentist proposing care and Staff coordinating permitted bookings.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making a plan decision. Related workflows: M4 Patient Records; M10 Dental Charts; M13 Services and Pricing; M6 Appointment Management; M5 Treatment Management.</w:t>
            </w:r>
            <w:r>
              <w:rPr>
                <w:rFonts w:ascii="Times New Roman" w:hAnsi="Times New Roman"/>
                <w:b w:val="0"/>
                <w:color w:val="000000"/>
                <w:sz w:val="20"/>
              </w:rPr>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authorized Patient and Dentist context -&gt; Create the proposed plan from Dentist-selected procedures -&gt; Organize clinically chosen phases or visit sequence -&gt; Calculate a labelled estimate from approved price data -&gt; Present the plan and record the attributed Patient decision -&gt; Link accepted work to permitted M6 appointment commands -&gt; Track actual progress from M5 completion evidence -&gt; Version revisions and preserve earlier plan decisions</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Decision history</w:t>
            </w:r>
          </w:p>
        </w:tc>
        <w:tc>
          <w:tcPr>
            <w:tcW w:w="6485" w:type="dxa"/>
            <w:tcMar/>
            <w:shd w:fill="FFFFFF"/>
          </w:tcPr>
          <w:p>
            <w:pPr>
              <w:spacing w:before="0" w:after="0" w:line="240" w:lineRule="auto"/>
            </w:pPr>
            <w:r>
              <w:rPr>
                <w:rFonts w:ascii="Times New Roman" w:hAnsi="Times New Roman"/>
                <w:b w:val="0"/>
                <w:color w:val="000000"/>
                <w:sz w:val="20"/>
              </w:rPr>
              <w:t>Count plans with recorded patient decisions and current versions.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Unscheduled care</w:t>
            </w:r>
          </w:p>
        </w:tc>
        <w:tc>
          <w:tcPr>
            <w:tcW w:w="6485" w:type="dxa"/>
            <w:tcMar/>
            <w:shd w:fill="FFFFFF"/>
          </w:tcPr>
          <w:p>
            <w:pPr>
              <w:spacing w:before="0" w:after="0" w:line="240" w:lineRule="auto"/>
            </w:pPr>
            <w:r>
              <w:rPr>
                <w:rFonts w:ascii="Times New Roman" w:hAnsi="Times New Roman"/>
                <w:b w:val="0"/>
                <w:color w:val="000000"/>
                <w:sz w:val="20"/>
              </w:rPr>
              <w:t>Track accepted planned work with no linked permitted booking.</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Actual progress</w:t>
            </w:r>
          </w:p>
        </w:tc>
        <w:tc>
          <w:tcPr>
            <w:tcW w:w="6485" w:type="dxa"/>
            <w:tcMar/>
            <w:shd w:fill="FFFFFF"/>
          </w:tcPr>
          <w:p>
            <w:pPr>
              <w:spacing w:before="0" w:after="0" w:line="240" w:lineRule="auto"/>
            </w:pPr>
            <w:r>
              <w:rPr>
                <w:rFonts w:ascii="Times New Roman" w:hAnsi="Times New Roman"/>
                <w:b w:val="0"/>
                <w:color w:val="000000"/>
                <w:sz w:val="20"/>
              </w:rPr>
              <w:t>Derive progress from performed-care evidence, not estimated elapsed time.</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New domain: plan decision states, estimate validity and multi-visit clinic workflow need confirmation.</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Accepting a treatment plan creates no completed treatment, invoice payment or clinical consent automatically.</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Agreed project treatment-planning scope; clinic fields, decision states and multi-visit workflow still need the actual plan format. Implementation coverage: Proposed new domain. Legacy HMO M12 records and the superseded attendance proposal are not treatment-plan records. Boundary: M12 owns proposed care, phased estimates and attributed Patient decisions; M5 owns performed care and M11 issued charges. Plan acceptance is not clinical consent, completed care or payment. Legacy HMO M12 records retain their old identity.</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13 Services and Pricing</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Services and Pricing</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Owner-authorized catalog and price changes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Service/procedure definition, branch offering and effective price version.</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Validate catalog change authority. M13 owns services, branch offerings and effective fee versions. M3 supplies eligibility/availability; M5 records actual work; M11 preserves invoice price snapshots.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Service or procedure definition</w:t>
              <w:br/>
              <w:t>2. Clinic-approved scheduling duration</w:t>
              <w:br/>
              <w:t>3. Branch offering decision</w:t>
              <w:br/>
              <w:t>4. Approved price and effective date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Validate catalog change authority</w:t>
              <w:br/>
              <w:t>2. Define bookable service or clinical procedure references</w:t>
              <w:br/>
              <w:t>3. Record approved duration and eligibility dependencies</w:t>
              <w:br/>
              <w:t>4. Assign offerings to branches</w:t>
              <w:br/>
              <w:t>5. Create exact effective-dated price versions</w:t>
              <w:br/>
              <w:t>6. Validate activation, retirement and existing references</w:t>
              <w:br/>
              <w:t>7. Publish current catalog and price resolution</w:t>
              <w:br/>
              <w:t>8. Retain historical prices for earlier financial evidence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Authoritative service catalog</w:t>
              <w:br/>
              <w:t>Branch offerings and price resolver</w:t>
              <w:br/>
              <w:t>Versioned price and catalog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Owner-authorized catalog maintainer.</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using approved published service information. Related workflows: M1 User Management; M2 Branch Management; M11 Billing Management; M6 Appointment Management.</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Validate catalog change authority -&gt; Define bookable service or clinical procedure references -&gt; Record approved duration and eligibility dependencies -&gt; Assign offerings to branches -&gt; Create exact effective-dated price versions -&gt; Validate activation, retirement and existing references -&gt; Publish current catalog and price resolution -&gt; Retain historical prices for earlier financial evidence</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Price validity</w:t>
            </w:r>
          </w:p>
        </w:tc>
        <w:tc>
          <w:tcPr>
            <w:tcW w:w="6485" w:type="dxa"/>
            <w:tcMar/>
            <w:shd w:fill="FFFFFF"/>
          </w:tcPr>
          <w:p>
            <w:pPr>
              <w:spacing w:before="0" w:after="0" w:line="240" w:lineRule="auto"/>
            </w:pPr>
            <w:r>
              <w:rPr>
                <w:rFonts w:ascii="Times New Roman" w:hAnsi="Times New Roman"/>
                <w:b w:val="0"/>
                <w:color w:val="000000"/>
                <w:sz w:val="20"/>
              </w:rPr>
              <w:t>Track missing effective fees and rejected invalid price definitions.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Catalog consistency</w:t>
            </w:r>
          </w:p>
        </w:tc>
        <w:tc>
          <w:tcPr>
            <w:tcW w:w="6485" w:type="dxa"/>
            <w:tcMar/>
            <w:shd w:fill="FFFFFF"/>
          </w:tcPr>
          <w:p>
            <w:pPr>
              <w:spacing w:before="0" w:after="0" w:line="240" w:lineRule="auto"/>
            </w:pPr>
            <w:r>
              <w:rPr>
                <w:rFonts w:ascii="Times New Roman" w:hAnsi="Times New Roman"/>
                <w:b w:val="0"/>
                <w:color w:val="000000"/>
                <w:sz w:val="20"/>
              </w:rPr>
              <w:t>Measure branch/service eligibility reference completeness.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Snapshot protection</w:t>
            </w:r>
          </w:p>
        </w:tc>
        <w:tc>
          <w:tcPr>
            <w:tcW w:w="6485" w:type="dxa"/>
            <w:tcMar/>
            <w:shd w:fill="FFFFFF"/>
          </w:tcPr>
          <w:p>
            <w:pPr>
              <w:spacing w:before="0" w:after="0" w:line="240" w:lineRule="auto"/>
            </w:pPr>
            <w:r>
              <w:rPr>
                <w:rFonts w:ascii="Times New Roman" w:hAnsi="Times New Roman"/>
                <w:b w:val="0"/>
                <w:color w:val="000000"/>
                <w:sz w:val="20"/>
              </w:rPr>
              <w:t>Verify issued invoice price snapshots survive later fee changes.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Duration, free-service, discounts and tax policy require approval. Interview example fees are not authoritative prices.</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later price change does not alter an already issued invoice snapshot.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Q1/Q12. Actual approved services, durations and prices are still required. Implementation coverage: Reported catalog and effective-price backend foundation; clinic-approved values still require source verification. Boundary: M13 owns services, branch offerings and effective fee versions. M3 supplies eligibility/availability; M5 records actual work; M11 preserves invoice price snapshots.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14 Document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Document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Patient/Staff/Dentist access follows entity and purpose authorization</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Private original file, metadata and extraction draft.</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Validate uploader, Patient and workflow purpose. M14 owns protected file lifecycle, versions, retrieval and reviewed extraction drafts, including clinical image files. Consent evidence links to the relevant care record; images, upload buttons and OCR are supporting capabilities. OCR never authorizes care or prescriptions.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Patient/workflow reference and file</w:t>
              <w:br/>
              <w:t>2. Declared purpose and actual file content</w:t>
              <w:br/>
              <w:t>3. Actor and access scope</w:t>
              <w:br/>
              <w:t>4. Optional approved text-extraction request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Validate uploader, Patient and workflow purpose</w:t>
              <w:br/>
              <w:t>2. Inspect actual file type, size and permitted content</w:t>
              <w:br/>
              <w:t>3. Store the original privately with integrity metadata</w:t>
              <w:br/>
              <w:t>4. Link the exact Patient and workflow reference</w:t>
              <w:br/>
              <w:t>5. Enforce scoped retrieval and download</w:t>
              <w:br/>
              <w:t>6. Extract native text or approved OCR as a draft</w:t>
              <w:br/>
              <w:t>7. Record extraction provenance and human review reference</w:t>
              <w:br/>
              <w:t>8. Preserve versions and archive links under approved retention rules</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Private linked document and integrity metadata</w:t>
              <w:br/>
              <w:t>Authorized file access</w:t>
              <w:br/>
              <w:t>Attributed extraction draft and version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Purpose-scoped Staff and responsible Dentist; no generic Owner file access.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uploader; approved extraction provider if configured. Related workflows: M4 Patient Records; M5 Treatment Management; M19 Prescriptions; M24 Lab Cases; M25 Patient Handovers;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Validate uploader, Patient and workflow purpose -&gt; Inspect actual file type, size and permitted content -&gt; Store the original privately with integrity metadata -&gt; Link the exact Patient and workflow reference -&gt; Enforce scoped retrieval and download -&gt; Extract native text or approved OCR as a draft -&gt; Record extraction provenance and human review reference -&gt; Preserve versions and archive links under approved retention rules</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File validation</w:t>
            </w:r>
          </w:p>
        </w:tc>
        <w:tc>
          <w:tcPr>
            <w:tcW w:w="6485" w:type="dxa"/>
            <w:tcMar/>
            <w:shd w:fill="FFFFFF"/>
          </w:tcPr>
          <w:p>
            <w:pPr>
              <w:spacing w:before="0" w:after="0" w:line="240" w:lineRule="auto"/>
            </w:pPr>
            <w:r>
              <w:rPr>
                <w:rFonts w:ascii="Times New Roman" w:hAnsi="Times New Roman"/>
                <w:b w:val="0"/>
                <w:color w:val="000000"/>
                <w:sz w:val="20"/>
              </w:rPr>
              <w:t>Count rejected content/type/size mismatches without fake scan claims.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Review backlog</w:t>
            </w:r>
          </w:p>
        </w:tc>
        <w:tc>
          <w:tcPr>
            <w:tcW w:w="6485" w:type="dxa"/>
            <w:tcMar/>
            <w:shd w:fill="FFFFFF"/>
          </w:tcPr>
          <w:p>
            <w:pPr>
              <w:spacing w:before="0" w:after="0" w:line="240" w:lineRule="auto"/>
            </w:pPr>
            <w:r>
              <w:rPr>
                <w:rFonts w:ascii="Times New Roman" w:hAnsi="Times New Roman"/>
                <w:b w:val="0"/>
                <w:color w:val="000000"/>
                <w:sz w:val="20"/>
              </w:rPr>
              <w:t>Count extraction drafts awaiting authorized human review.</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File integrity</w:t>
            </w:r>
          </w:p>
        </w:tc>
        <w:tc>
          <w:tcPr>
            <w:tcW w:w="6485" w:type="dxa"/>
            <w:tcMar/>
            <w:shd w:fill="FFFFFF"/>
          </w:tcPr>
          <w:p>
            <w:pPr>
              <w:spacing w:before="0" w:after="0" w:line="240" w:lineRule="auto"/>
            </w:pPr>
            <w:r>
              <w:rPr>
                <w:rFonts w:ascii="Times New Roman" w:hAnsi="Times New Roman"/>
                <w:b w:val="0"/>
                <w:color w:val="000000"/>
                <w:sz w:val="20"/>
              </w:rPr>
              <w:t>Track protected original/version links and failed permitted retrieval.</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File limits, malware handling, retention and permitted extraction providers need configuration; e-signature validity is not claimed.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Renaming an executable as a PDF does not bypass validation; a different Patient cannot download the file.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Q16/Q17 digital forms/records; existing reported private-storage foundation. Full file permissions, retention and extraction policy remain to be finalized. Implementation coverage: Reported private-storage and extraction foundation. New separation from consent needs compatibility review. Boundary: M14 owns protected file lifecycle, versions, retrieval and reviewed extraction drafts, including clinical image files. Consent evidence links to the relevant care record; images, upload buttons and OCR are supporting capabilities. OCR never authorizes care or prescriptions.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15 Leave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Leave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Staff/Dentist requests and substitute consent are individual; automated decisions execute clinic-approved standing rules without a separate per-request Owner approval step</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Licanda, Celin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LeaveRequest, shift-specific CoverageOffer, explicit acceptance and decision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Validate requester, leave period, roster and configured policy. M15 owns requests, invitations, voluntary overtime acceptance and rule-based decisions. M3 owns the roster; M6/M25 own booking and care-responsibility changes. Eligibility is not consent; no silent overtime assignment or new generic automation engine.</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Employee, requested dates/hours and affected duties</w:t>
              <w:br/>
              <w:t>2. Authoritative Staff/Dentist roster and branch eligibility</w:t>
              <w:br/>
              <w:t>3. Configured clinic leave, coverage and work-hour rules</w:t>
              <w:br/>
              <w:t>4. Shift-specific substitute confirmation and affected-booking handling</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Validate requester, leave period, roster and configured policy</w:t>
              <w:br/>
              <w:t>2. Identify every affected shift, duty and booking</w:t>
              <w:br/>
              <w:t>3. Show only eligible available replacements and uncovered periods</w:t>
              <w:br/>
              <w:t>4. Record the selected substitute and send a coverage invitation</w:t>
              <w:br/>
              <w:t>5. Record explicit acceptance or decline of the exact shifts/overtime</w:t>
              <w:br/>
              <w:t>6. Recheck all accepted coverage, conflicts and policy versions atomically</w:t>
              <w:br/>
              <w:t>7. Approve automatically only when required coverage and all rules pass, then publish the roster change</w:t>
              <w:br/>
              <w:t>8. Record outcomes, unresolved coverage and notifications with decision evidence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Pending, approved or not-approved leave decision with reasons</w:t>
              <w:br/>
              <w:t>Confirmed coverage and published roster reference</w:t>
              <w:br/>
              <w:t>Coverage invitations, acceptance and decision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Requester/substitute Staff or Dentist; Owner defining standing policy.</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None required; coverage is an internal employee workflow. Related workflows: M1 User Management; M2 Branch Management; M3 Work Schedules; M6 Appointment Management; M18 Notifications; M22 Audit Logs; M25 Patient Handovers.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Validated leave request -&gt; affected shifts/bookings -&gt; eligible coverage choices -&gt; invitation -&gt; explicit substitute confirmation -&gt; fresh policy/conflict checks -&gt; conditional automatic approval and roster publication -&gt; outcome notifications/history.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Coverage completeness</w:t>
            </w:r>
          </w:p>
        </w:tc>
        <w:tc>
          <w:tcPr>
            <w:tcW w:w="6485" w:type="dxa"/>
            <w:tcMar/>
            <w:shd w:fill="FFFFFF"/>
          </w:tcPr>
          <w:p>
            <w:pPr>
              <w:spacing w:before="0" w:after="0" w:line="240" w:lineRule="auto"/>
            </w:pPr>
            <w:r>
              <w:rPr>
                <w:rFonts w:ascii="Times New Roman" w:hAnsi="Times New Roman"/>
                <w:b w:val="0"/>
                <w:color w:val="000000"/>
                <w:sz w:val="20"/>
              </w:rPr>
              <w:t>Compare required periods with valid accepted coverage.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Decision exceptions</w:t>
            </w:r>
          </w:p>
        </w:tc>
        <w:tc>
          <w:tcPr>
            <w:tcW w:w="6485" w:type="dxa"/>
            <w:tcMar/>
            <w:shd w:fill="FFFFFF"/>
          </w:tcPr>
          <w:p>
            <w:pPr>
              <w:spacing w:before="0" w:after="0" w:line="240" w:lineRule="auto"/>
            </w:pPr>
            <w:r>
              <w:rPr>
                <w:rFonts w:ascii="Times New Roman" w:hAnsi="Times New Roman"/>
                <w:b w:val="0"/>
                <w:color w:val="000000"/>
                <w:sz w:val="20"/>
              </w:rPr>
              <w:t>Count stale, conflicting or incomplete requests kept unapproved.</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Confirmation time</w:t>
            </w:r>
          </w:p>
        </w:tc>
        <w:tc>
          <w:tcPr>
            <w:tcW w:w="6485" w:type="dxa"/>
            <w:tcMar/>
            <w:shd w:fill="FFFFFF"/>
          </w:tcPr>
          <w:p>
            <w:pPr>
              <w:spacing w:before="0" w:after="0" w:line="240" w:lineRule="auto"/>
            </w:pPr>
            <w:r>
              <w:rPr>
                <w:rFonts w:ascii="Times New Roman" w:hAnsi="Times New Roman"/>
                <w:b w:val="0"/>
                <w:color w:val="000000"/>
                <w:sz w:val="20"/>
              </w:rPr>
              <w:t>Measure request-to-confirmation/decision time from recorded events.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permitted leave types, exact duties/service eligibility, branch scope, work-hour/rest rules, coverage deadlines, partial coverage, cancellation/withdrawal, privacy and booking-impact handling. Until required policy is configured, automatic approval remains unavailable.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An acceptance racing with another shift/request cannot double-book a substitute; incomplete, stale or unconfirmed coverage cannot approve leave.</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Calculate affected shifts and bookings from authoritative schedules</w:t>
              <w:br/>
              <w:t>Filter matching duties, branch/service eligibility and configured work-hour constraints</w:t>
              <w:br/>
              <w:t>Dispatch and track coverage invitations without assuming delivery or consent</w:t>
              <w:br/>
              <w:t>Recheck accepted offers and publish approval/roster changes transactionally</w:t>
              <w:br/>
              <w:t>Send post-commit outcome notifications and retain auditable policy/version evidence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User scope confirmed October 12: Staff/Dentist requests show eligible overtime coverage, coordination and explicit substitute confirmation before leave proceeds. PI-06/PI-08 remain Owner schedule authority and no fixed Dentist minimum. Implementation coverage: New module scope. Earlier handoff recorded the optional coverage-first concept; no complete leave engine is proven by the historical M23 evaluation recorder. Boundary: M15 owns requests, invitations, voluntary overtime acceptance and rule-based decisions. M3 owns the roster; M6/M25 own booking and care-responsibility changes. Eligibility is not consent; no silent overtime assignment or new generic automation engine.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16 Patient Inquiries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Inquiries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Authorized intake users follow actual capabilities; routing authority remains policy-dependent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Attributed external inquiry, assignment and outcome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Capture external inquiry and its actual source/provenance. M16 owns manually attributed external inquiry cases and their response/booking-link lifecycle. M17 owns identified private conversations. Recorded contact is not proof this app delivered a Messenger message; Owner external-response practice does not grant private-conversation access.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External inquiry and channel attribution</w:t>
              <w:br/>
              <w:t>2. Contact details supplied by the person</w:t>
              <w:br/>
              <w:t>3. Question/topic and responsible handler</w:t>
              <w:br/>
              <w:t>4. Verified Patient or booking link when available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Capture external inquiry and its actual source/provenance</w:t>
              <w:br/>
              <w:t>2. Validate contact and topic details without automatic Patient matching</w:t>
              <w:br/>
              <w:t>3. Assign the handler permitted by current capability/branch rules</w:t>
              <w:br/>
              <w:t>4. Expose open inquiries and record follow-up work</w:t>
              <w:br/>
              <w:t>5. Record the attributed external response or contact attempt</w:t>
              <w:br/>
              <w:t>6. Verify Patient identity when explicit linkage is needed</w:t>
              <w:br/>
              <w:t>7. Link to an existing permitted M6 appointment through the authorized conversion command</w:t>
              <w:br/>
              <w:t>8. Close or convert the inquiry and preserve immutable outcome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Open inquiry and permitted handler worklist</w:t>
              <w:br/>
              <w:t>Attributed response/contact history</w:t>
              <w:br/>
              <w:t>Verified Patient and existing appointment linkage with outcome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intake Staff; Owner external-response practice needs capability mapping.</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External inquirer on the reported contact channel. Related workflows: M1 User Management; M6 Appointment Management; M17 Patient Messaging;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Attributed external capture -&gt; validated contact/topic -&gt; permitted handler -&gt; open worklist -&gt; recorded external response -&gt; verified Patient identity -&gt; existing appointment linkage -&gt; closure/conversion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Unanswered cases</w:t>
            </w:r>
          </w:p>
        </w:tc>
        <w:tc>
          <w:tcPr>
            <w:tcW w:w="6485" w:type="dxa"/>
            <w:tcMar/>
            <w:shd w:fill="FFFFFF"/>
          </w:tcPr>
          <w:p>
            <w:pPr>
              <w:spacing w:before="0" w:after="0" w:line="240" w:lineRule="auto"/>
            </w:pPr>
            <w:r>
              <w:rPr>
                <w:rFonts w:ascii="Times New Roman" w:hAnsi="Times New Roman"/>
                <w:b w:val="0"/>
                <w:color w:val="000000"/>
                <w:sz w:val="20"/>
              </w:rPr>
              <w:t>Count open inquiries and factual time since capture.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Outcome history</w:t>
            </w:r>
          </w:p>
        </w:tc>
        <w:tc>
          <w:tcPr>
            <w:tcW w:w="6485" w:type="dxa"/>
            <w:tcMar/>
            <w:shd w:fill="FFFFFF"/>
          </w:tcPr>
          <w:p>
            <w:pPr>
              <w:spacing w:before="0" w:after="0" w:line="240" w:lineRule="auto"/>
            </w:pPr>
            <w:r>
              <w:rPr>
                <w:rFonts w:ascii="Times New Roman" w:hAnsi="Times New Roman"/>
                <w:b w:val="0"/>
                <w:color w:val="000000"/>
                <w:sz w:val="20"/>
              </w:rPr>
              <w:t>Track recorded replies, closure and verified booking linkage.</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Identity exceptions</w:t>
            </w:r>
          </w:p>
        </w:tc>
        <w:tc>
          <w:tcPr>
            <w:tcW w:w="6485" w:type="dxa"/>
            <w:tcMar/>
            <w:shd w:fill="FFFFFF"/>
          </w:tcPr>
          <w:p>
            <w:pPr>
              <w:spacing w:before="0" w:after="0" w:line="240" w:lineRule="auto"/>
            </w:pPr>
            <w:r>
              <w:rPr>
                <w:rFonts w:ascii="Times New Roman" w:hAnsi="Times New Roman"/>
                <w:b w:val="0"/>
                <w:color w:val="000000"/>
                <w:sz w:val="20"/>
              </w:rPr>
              <w:t>Count refused wrong-patient or invalid appointment links.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Owner social-response practice does not grant unrestricted messaging access; routing and official platform access remain open.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contact with a similar name is not silently linked to the wrong Patient.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Q23; PI-42 Facebook/Messenger inquiries and PI-43 Owner usually replies. Existing technical Staff-only inquiry scope is a reconciliation issue, not implied Owner API permission. Implementation coverage: Reported manual external-inquiry backend foundation; no real social-platform transport demonstrated. Boundary: M16 owns manually attributed external inquiry cases and their response/booking-link lifecycle. M17 owns identified private conversations. Recorded contact is not proof this app delivered a Messenger message; Owner external-response practice does not grant private-conversation access.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17 Patient Messaging</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Messaging</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Explicit authorized Patient/Staff/Dentist participants; current Owner denial remains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Participant-scoped conversation, immutable messages and read state.</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authorized conversation and participants. M17 owns authorized human Patient conversations and displayed-message read state. It does not own M16 inquiry cases, M18 system delivery or M15 employee coverage consent. Current Owner denial persists until a reviewed permission change.</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Verified Patient/workflow context</w:t>
              <w:br/>
              <w:t>2. Authorized conversation participants</w:t>
              <w:br/>
              <w:t>3. Message or reply command</w:t>
              <w:br/>
              <w:t>4. Displayed-message/read and closure actions</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authorized conversation and participants</w:t>
              <w:br/>
              <w:t>2. Validate open state and workflow context</w:t>
              <w:br/>
              <w:t>3. Validate and submit the message idempotently</w:t>
              <w:br/>
              <w:t>4. Persist immutable content and sender attribution</w:t>
              <w:br/>
              <w:t>5. Deliver the scoped conversation projection</w:t>
              <w:br/>
              <w:t>6. Advance read state only for displayed messages</w:t>
              <w:br/>
              <w:t>7. Close the conversation under approved commands</w:t>
              <w:br/>
              <w:t>8. Expose permitted history and minimal audit evidence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Authorized conversation and message history</w:t>
              <w:br/>
              <w:t>Participant-specific unread/read state</w:t>
              <w:br/>
              <w:t>Closure outcome and command evidence</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Participating authorized Staff/Dentist; current Owner denial remains.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Participating Patient. Related workflows: M1 User Management; M4 Patient Records; M16 Patient Inquiries;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authorized conversation and participants -&gt; Validate open state and workflow context -&gt; Validate and submit the message idempotently -&gt; Persist immutable content and sender attribution -&gt; Deliver the scoped conversation projection -&gt; Advance read state only for displayed messages -&gt; Close the conversation under approved commands -&gt; Expose permitted history and minimal audit evidence</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Unread correctness</w:t>
            </w:r>
          </w:p>
        </w:tc>
        <w:tc>
          <w:tcPr>
            <w:tcW w:w="6485" w:type="dxa"/>
            <w:tcMar/>
            <w:shd w:fill="FFFFFF"/>
          </w:tcPr>
          <w:p>
            <w:pPr>
              <w:spacing w:before="0" w:after="0" w:line="240" w:lineRule="auto"/>
            </w:pPr>
            <w:r>
              <w:rPr>
                <w:rFonts w:ascii="Times New Roman" w:hAnsi="Times New Roman"/>
                <w:b w:val="0"/>
                <w:color w:val="000000"/>
                <w:sz w:val="20"/>
              </w:rPr>
              <w:t>Compare unread state with newest actually displayed messages.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Command integrity</w:t>
            </w:r>
          </w:p>
        </w:tc>
        <w:tc>
          <w:tcPr>
            <w:tcW w:w="6485" w:type="dxa"/>
            <w:tcMar/>
            <w:shd w:fill="FFFFFF"/>
          </w:tcPr>
          <w:p>
            <w:pPr>
              <w:spacing w:before="0" w:after="0" w:line="240" w:lineRule="auto"/>
            </w:pPr>
            <w:r>
              <w:rPr>
                <w:rFonts w:ascii="Times New Roman" w:hAnsi="Times New Roman"/>
                <w:b w:val="0"/>
                <w:color w:val="000000"/>
                <w:sz w:val="20"/>
              </w:rPr>
              <w:t>Track duplicate replay and refused wrong-conversation commands.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Conversation access</w:t>
            </w:r>
          </w:p>
        </w:tc>
        <w:tc>
          <w:tcPr>
            <w:tcW w:w="6485" w:type="dxa"/>
            <w:tcMar/>
            <w:shd w:fill="FFFFFF"/>
          </w:tcPr>
          <w:p>
            <w:pPr>
              <w:spacing w:before="0" w:after="0" w:line="240" w:lineRule="auto"/>
            </w:pPr>
            <w:r>
              <w:rPr>
                <w:rFonts w:ascii="Times New Roman" w:hAnsi="Times New Roman"/>
                <w:b w:val="0"/>
                <w:color w:val="000000"/>
                <w:sz w:val="20"/>
              </w:rPr>
              <w:t>Measure permitted history retrieval and unauthorized access refusals.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New conversation creation/routing, attachments and reopening require a separate approved slice.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Switching conversations never sends the prior conversation draft to another Patient.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Agreed project human-messaging scope and reported immutable server conversation foundation. Creation/routing policy is still open. Implementation coverage: Reported server messaging foundation. Production creation/routing and external-channel integration are not established. Boundary: M17 owns authorized human Patient conversations and displayed-message read state. It does not own M16 inquiry cases, M18 system delivery or M15 employee coverage consent. Current Owner denial persists until a reviewed permission change.</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18 Notifications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Notifications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Domain-approved recipients; channel and template authority must be explicit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Notification intent, dispatch job, attempt and delivery evidence.</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event identity and eligible recipients. M18 owns committed notification intent, dispatch and truthful delivery evidence. Source modules own invitations, leave consent, booking decisions and settlement. Email/SMS/Messenger channels require actual configured transports; log/array acceptance is not inbox delivery.</w:t>
            </w:r>
            <w:r>
              <w:rPr>
                <w:rFonts w:ascii="Times New Roman" w:hAnsi="Times New Roman"/>
                <w:b w:val="0"/>
                <w:color w:val="000000"/>
                <w:sz w:val="20"/>
              </w:rPr>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Committed domain event and recipient purpose</w:t>
              <w:br/>
              <w:t>2. Authorized recipient contact/preference</w:t>
              <w:br/>
              <w:t>3. Approved template and channel</w:t>
              <w:br/>
              <w:t>4. Transport/provider result or retry request</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event identity and eligible recipients</w:t>
              <w:br/>
              <w:t>2. Render the approved purpose-limited template</w:t>
              <w:br/>
              <w:t>3. Persist notification intent with duplicate protection</w:t>
              <w:br/>
              <w:t>4. Dispatch after source transaction commit through durable jobs</w:t>
              <w:br/>
              <w:t>5. Send through the configured approved transport</w:t>
              <w:br/>
              <w:t>6. Record transport acceptance or provider delivery/failure evidence accurately</w:t>
              <w:br/>
              <w:t>7. Retry safe transient failures under defined limits</w:t>
              <w:br/>
              <w:t>8. Expose scoped notification history and administrative diagnostics</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Scoped in-app notification</w:t>
              <w:br/>
              <w:t>Email dispatch and attempt history</w:t>
              <w:br/>
              <w:t>Truthful delivery/failure diagnostics</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source-workflow handlers and delivery operators.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Configured transport provider and recipient Patient. Related workflows: Committed domain events; Configured transport and durable workers; M1 recipient identity; M22 minimal audit evidence.</w:t>
            </w:r>
            <w:r>
              <w:rPr>
                <w:rFonts w:ascii="Times New Roman" w:hAnsi="Times New Roman"/>
                <w:b w:val="0"/>
                <w:color w:val="000000"/>
                <w:sz w:val="20"/>
              </w:rPr>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event identity and eligible recipients -&gt; Render the approved purpose-limited template -&gt; Persist notification intent with duplicate protection -&gt; Dispatch after source transaction commit through durable jobs -&gt; Send through the configured approved transport -&gt; Record transport acceptance or provider delivery/failure evidence accurately -&gt; Retry safe transient failures under defined limits -&gt; Expose scoped notification history and administrative diagnostics</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Transport outcomes</w:t>
            </w:r>
          </w:p>
        </w:tc>
        <w:tc>
          <w:tcPr>
            <w:tcW w:w="6485" w:type="dxa"/>
            <w:tcMar/>
            <w:shd w:fill="FFFFFF"/>
          </w:tcPr>
          <w:p>
            <w:pPr>
              <w:spacing w:before="0" w:after="0" w:line="240" w:lineRule="auto"/>
            </w:pPr>
            <w:r>
              <w:rPr>
                <w:rFonts w:ascii="Times New Roman" w:hAnsi="Times New Roman"/>
                <w:b w:val="0"/>
                <w:color w:val="000000"/>
                <w:sz w:val="20"/>
              </w:rPr>
              <w:t>Separate queued, transport-accepted, failed and verified delivery.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Retry integrity</w:t>
            </w:r>
          </w:p>
        </w:tc>
        <w:tc>
          <w:tcPr>
            <w:tcW w:w="6485" w:type="dxa"/>
            <w:tcMar/>
            <w:shd w:fill="FFFFFF"/>
          </w:tcPr>
          <w:p>
            <w:pPr>
              <w:spacing w:before="0" w:after="0" w:line="240" w:lineRule="auto"/>
            </w:pPr>
            <w:r>
              <w:rPr>
                <w:rFonts w:ascii="Times New Roman" w:hAnsi="Times New Roman"/>
                <w:b w:val="0"/>
                <w:color w:val="000000"/>
                <w:sz w:val="20"/>
              </w:rPr>
              <w:t>Track failed attempts and duplicate side effects prevented.</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Delivery evidence</w:t>
            </w:r>
          </w:p>
        </w:tc>
        <w:tc>
          <w:tcPr>
            <w:tcW w:w="6485" w:type="dxa"/>
            <w:tcMar/>
            <w:shd w:fill="FFFFFF"/>
          </w:tcPr>
          <w:p>
            <w:pPr>
              <w:spacing w:before="0" w:after="0" w:line="240" w:lineRule="auto"/>
            </w:pPr>
            <w:r>
              <w:rPr>
                <w:rFonts w:ascii="Times New Roman" w:hAnsi="Times New Roman"/>
                <w:b w:val="0"/>
                <w:color w:val="000000"/>
                <w:sz w:val="20"/>
              </w:rPr>
              <w:t>Report receipt evidence as unavailable when it has not been received.</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TD-24 workers and TD-25 truthful diagnostics remain open. Channels, reminder timing and verified external receipt need setup.</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log-mail driver reports local logging, never recipient delivery; retries do not send duplicate receipts.</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PI-02 email employee invitations, PI-29 booking/change updates, PI-31 reminders for every appointment; user Patient/Staff notifications and leave updates. PI-30 Other was interpreted by the user as all listed channels, but API integration/timing is not confirmed. Implementation coverage: Browser-local in-app notifications only (a persisted browser collection and foreground reminders, not authoritative). No backend notification intent, dispatch job, attempt or delivery-evidence record exists. Laravel mailables (verification code, appointment booked/rescheduled/cancelled, payment receipt, employee invitation, owner test) are sent synchronously through one dispatcher and the configured mail driver, whose default is log; each send records its outcome (logged locally, accepted by transport, or failed) as audit evidence, without retries, and no recipient-delivery evidence exists. Actual recipient email delivery has not been demonstrated. Boundary: M18 owns committed notification intent, dispatch and truthful delivery evidence. Source modules own invitations, leave consent, booking decisions and settlement. Email/SMS/Messenger channels require actual configured transports; log/array acceptance is not inbox delivery.</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19 Prescriptions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Prescriptions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Responsible authorized Dentist prescribes; Patient receives a safe read-only copy</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28" w:lineRule="auto"/>
            </w:pPr>
            <w:r>
              <w:rPr>
                <w:rFonts w:ascii="Times New Roman" w:hAnsi="Times New Roman"/>
                <w:b w:val="0"/>
                <w:color w:val="000000"/>
                <w:sz w:val="18"/>
              </w:rPr>
              <w:t>Purpose: Own Dentist draft and immutable authorized prescription version.</w:t>
            </w:r>
            <w:r>
              <w:rPr>
                <w:rFonts w:ascii="Times New Roman" w:hAnsi="Times New Roman"/>
                <w:b w:val="0"/>
                <w:color w:val="000000"/>
                <w:sz w:val="18"/>
              </w:rPr>
            </w:r>
          </w:p>
        </w:tc>
      </w:tr>
      <w:tr w:rsidR="00F46233" w:rsidTr="72D72EE3" w14:paraId="19218102" w14:textId="77777777">
        <w:trPr>
          <w:cantSplit/>
        </w:trPr>
        <w:tc>
          <w:tcPr>
            <w:tcW w:w="9322" w:type="dxa"/>
            <w:tcMar/>
            <w:shd w:fill="FFFFFF"/>
          </w:tcPr>
          <w:p>
            <w:pPr>
              <w:spacing w:before="0" w:after="0" w:line="228" w:lineRule="auto"/>
            </w:pPr>
            <w:r>
              <w:rPr>
                <w:rFonts w:ascii="Times New Roman" w:hAnsi="Times New Roman"/>
                <w:b w:val="0"/>
                <w:color w:val="000000"/>
                <w:sz w:val="18"/>
              </w:rPr>
              <w:t>Process Description: Resolve the clinical Visit and authorizing Dentist. M19 owns Dentist prescribing and immutable authorized versions. M14/OCR supplies drafts only; M7 never selects medication or signs a prescription. Print fields and amendments require clinic-approved rules.</w:t>
            </w:r>
            <w:r>
              <w:rPr>
                <w:rFonts w:ascii="Times New Roman" w:hAnsi="Times New Roman"/>
                <w:b w:val="0"/>
                <w:color w:val="000000"/>
                <w:sz w:val="18"/>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28" w:lineRule="auto"/>
            </w:pPr>
            <w:r>
              <w:rPr>
                <w:rFonts w:ascii="Times New Roman" w:hAnsi="Times New Roman"/>
                <w:b w:val="0"/>
                <w:color w:val="000000"/>
                <w:sz w:val="18"/>
              </w:rPr>
              <w:t>1. Patient and valid clinical Visit</w:t>
              <w:br/>
              <w:t>2. Verified Dentist credential reference</w:t>
              <w:br/>
              <w:t>3. Dentist-selected medication instructions</w:t>
              <w:br/>
              <w:t>4. Optional human-reviewed document extraction draft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28" w:lineRule="auto"/>
            </w:pPr>
            <w:r>
              <w:rPr>
                <w:rFonts w:ascii="Times New Roman" w:hAnsi="Times New Roman"/>
                <w:b w:val="0"/>
                <w:color w:val="000000"/>
                <w:sz w:val="18"/>
              </w:rPr>
              <w:t>1. Resolve the clinical Visit and authorizing Dentist</w:t>
              <w:br/>
              <w:t>2. Review permitted recorded allergies and history</w:t>
              <w:br/>
              <w:t>3. Create the Dentist-authored prescription draft</w:t>
              <w:br/>
              <w:t>4. Validate required medication/instruction fields</w:t>
              <w:br/>
              <w:t>5. Require Dentist review of every item and OCR uncertainty</w:t>
              <w:br/>
              <w:t>6. Authorize the immutable prescription version explicitly</w:t>
              <w:br/>
              <w:t>7. Generate the approved printable and Patient-safe copy</w:t>
              <w:br/>
              <w:t>8. Retain version/authorization history and optional M18 delivery reference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28" w:lineRule="auto"/>
            </w:pPr>
            <w:r>
              <w:rPr>
                <w:rFonts w:ascii="Times New Roman" w:hAnsi="Times New Roman"/>
                <w:b w:val="0"/>
                <w:color w:val="000000"/>
                <w:sz w:val="18"/>
              </w:rPr>
              <w:t>Authorized prescription record</w:t>
              <w:br/>
              <w:t>Printable and Patient-safe copy</w:t>
              <w:br/>
              <w:t>Attribution and authorization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28" w:lineRule="auto"/>
            </w:pPr>
            <w:r>
              <w:rPr>
                <w:rFonts w:ascii="Times New Roman" w:hAnsi="Times New Roman"/>
                <w:b w:val="0"/>
                <w:color w:val="000000"/>
                <w:sz w:val="18"/>
              </w:rPr>
              <w:t>Internal: Responsible authorizing Dentist.</w:t>
            </w:r>
            <w:r>
              <w:rPr>
                <w:rFonts w:ascii="Times New Roman" w:hAnsi="Times New Roman"/>
                <w:b w:val="0"/>
                <w:color w:val="000000"/>
                <w:sz w:val="18"/>
              </w:rPr>
            </w:r>
          </w:p>
        </w:tc>
      </w:tr>
      <w:tr w:rsidR="004828C5" w:rsidTr="72D72EE3" w14:paraId="54FEC043" w14:textId="77777777">
        <w:trPr>
          <w:cantSplit/>
        </w:trPr>
        <w:tc>
          <w:tcPr>
            <w:tcW w:w="9287" w:type="dxa"/>
            <w:tcMar/>
            <w:shd w:fill="FFFFFF"/>
          </w:tcPr>
          <w:p>
            <w:pPr>
              <w:spacing w:before="0" w:after="0"/>
            </w:pPr>
            <w:r>
              <w:rPr>
                <w:rFonts w:ascii="Times New Roman" w:hAnsi="Times New Roman"/>
                <w:b w:val="0"/>
                <w:color w:val="000000"/>
                <w:sz w:val="18"/>
              </w:rPr>
              <w:t>External: Patient receiving a permitted prescription copy. Related workflows: M4 Patient Records; M5 Treatment Management; M14 Document Management; M18 Notifications; M22 Audit Logs.</w:t>
            </w:r>
            <w:r>
              <w:rPr>
                <w:rFonts w:ascii="Times New Roman" w:hAnsi="Times New Roman"/>
                <w:b w:val="0"/>
                <w:color w:val="000000"/>
                <w:sz w:val="18"/>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Resolve the clinical Visit and authorizing Dentist -&gt; Review permitted recorded allergies and history -&gt; Create the Dentist-authored prescription draft -&gt; Validate required medication/instruction fields -&gt; Require Dentist review of every item and OCR uncertainty -&gt; Authorize the immutable prescription version explicitly -&gt; Generate the approved printable and Patient-safe copy -&gt; Retain version/authorization history and optional M18 delivery reference</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Authorization</w:t>
            </w:r>
          </w:p>
        </w:tc>
        <w:tc>
          <w:tcPr>
            <w:tcW w:w="6485" w:type="dxa"/>
            <w:tcMar/>
            <w:shd w:fill="FFFFFF"/>
          </w:tcPr>
          <w:p>
            <w:pPr>
              <w:spacing w:before="0" w:after="0" w:line="240" w:lineRule="auto"/>
            </w:pPr>
            <w:r>
              <w:rPr>
                <w:rFonts w:ascii="Times New Roman" w:hAnsi="Times New Roman"/>
                <w:b w:val="0"/>
                <w:color w:val="000000"/>
                <w:sz w:val="20"/>
              </w:rPr>
              <w:t>Track drafts and explicitly authorized prescription versions.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Draft review</w:t>
            </w:r>
          </w:p>
        </w:tc>
        <w:tc>
          <w:tcPr>
            <w:tcW w:w="6485" w:type="dxa"/>
            <w:tcMar/>
            <w:shd w:fill="FFFFFF"/>
          </w:tcPr>
          <w:p>
            <w:pPr>
              <w:spacing w:before="0" w:after="0" w:line="240" w:lineRule="auto"/>
            </w:pPr>
            <w:r>
              <w:rPr>
                <w:rFonts w:ascii="Times New Roman" w:hAnsi="Times New Roman"/>
                <w:b w:val="0"/>
                <w:color w:val="000000"/>
                <w:sz w:val="20"/>
              </w:rPr>
              <w:t>Count extraction uncertainty awaiting Dentist review.</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Print integrity</w:t>
            </w:r>
          </w:p>
        </w:tc>
        <w:tc>
          <w:tcPr>
            <w:tcW w:w="6485" w:type="dxa"/>
            <w:tcMar/>
            <w:shd w:fill="FFFFFF"/>
          </w:tcPr>
          <w:p>
            <w:pPr>
              <w:spacing w:before="0" w:after="0" w:line="240" w:lineRule="auto"/>
            </w:pPr>
            <w:r>
              <w:rPr>
                <w:rFonts w:ascii="Times New Roman" w:hAnsi="Times New Roman"/>
                <w:b w:val="0"/>
                <w:color w:val="000000"/>
                <w:sz w:val="20"/>
              </w:rPr>
              <w:t>Verify printed copies correspond to the authorized immutable version.</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Clinic-approved print fields, corrections and delivery/legal requirements remain open.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An OCR draft cannot be printed or presented as an authorized prescription before Dentist approval.</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Q16; PI-38 confirms both handwritten and printed prescriptions. Implementation coverage: Browser-local only: prescription drafts and Dentist authorization are kept in a browser-persisted collection. The server stores only the Dentist prescription_required flag on the Treatment; there is no backend prescription record, immutable authorized version, route or printable output. Authorized production behavior and printing are not implemented. Boundary: M19 owns Dentist prescribing and immutable authorized versions. M14/OCR supplies drafts only; M7 never selects medication or signs a prescription. Print fields and amendments require clinic-approved rules.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20 Patient Follow-Up</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Follow-Up</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Dentist decides clinical need; scheduling follows existing M6 permissions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Alejo, Hart Jaztin A.</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Dentist-originated follow-up obligation and outcome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Validate the Dentist decision and source care record. M20 owns Dentist-originated outstanding care obligations and actual outcomes; M6 booking, M18 transport. No fixed recall interval or automatic clinical decision is inferred.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Relevant Treatment/Visit and Patient</w:t>
              <w:br/>
              <w:t>2. Dentist follow-up instruction and chosen date/interval</w:t>
              <w:br/>
              <w:t>3. Linked appointment outcome</w:t>
              <w:br/>
              <w:t>4. Approved contact preference and outreach evidence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Validate the Dentist decision and source care record</w:t>
              <w:br/>
              <w:t>2. Create the follow-up obligation with attribution</w:t>
              <w:br/>
              <w:t>3. Record the Dentist-selected target date and reason</w:t>
              <w:br/>
              <w:t>4. Expose the authorized scheduling worklist</w:t>
              <w:br/>
              <w:t>5. Link a normal M6 booking through current permissions</w:t>
              <w:br/>
              <w:t>6. Request approved reminders through M18</w:t>
              <w:br/>
              <w:t>7. Track actual booked, missed or completed evidence</w:t>
              <w:br/>
              <w:t>8. Close or return the obligation to scheduling under approved policy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Clinical follow-up obligation</w:t>
              <w:br/>
              <w:t>Due/unscheduled worklist and booking link</w:t>
              <w:br/>
              <w:t>Attributed follow-up and completion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Originating Dentist and permitted follow-up/booking Staff.</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receiving follow-up contact. Related workflows: M5 Treatment Management; M6 Appointment Management;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Validate the Dentist decision and source care record -&gt; Create the follow-up obligation with attribution -&gt; Record the Dentist-selected target date and reason -&gt; Expose the authorized scheduling worklist -&gt; Link a normal M6 booking through current permissions -&gt; Request approved reminders through M18 -&gt; Track actual booked, missed or completed evidence -&gt; Close or return the obligation to scheduling under approved policy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Outstanding care</w:t>
            </w:r>
          </w:p>
        </w:tc>
        <w:tc>
          <w:tcPr>
            <w:tcW w:w="6485" w:type="dxa"/>
            <w:tcMar/>
            <w:shd w:fill="FFFFFF"/>
          </w:tcPr>
          <w:p>
            <w:pPr>
              <w:spacing w:before="0" w:after="0" w:line="240" w:lineRule="auto"/>
            </w:pPr>
            <w:r>
              <w:rPr>
                <w:rFonts w:ascii="Times New Roman" w:hAnsi="Times New Roman"/>
                <w:b w:val="0"/>
                <w:color w:val="000000"/>
                <w:sz w:val="20"/>
              </w:rPr>
              <w:t>Count due obligations without a completed outcome.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Scheduling links</w:t>
            </w:r>
          </w:p>
        </w:tc>
        <w:tc>
          <w:tcPr>
            <w:tcW w:w="6485" w:type="dxa"/>
            <w:tcMar/>
            <w:shd w:fill="FFFFFF"/>
          </w:tcPr>
          <w:p>
            <w:pPr>
              <w:spacing w:before="0" w:after="0" w:line="240" w:lineRule="auto"/>
            </w:pPr>
            <w:r>
              <w:rPr>
                <w:rFonts w:ascii="Times New Roman" w:hAnsi="Times New Roman"/>
                <w:b w:val="0"/>
                <w:color w:val="000000"/>
                <w:sz w:val="20"/>
              </w:rPr>
              <w:t>Track obligations linked to valid appointments and actual outcomes.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Clinical provenance</w:t>
            </w:r>
          </w:p>
        </w:tc>
        <w:tc>
          <w:tcPr>
            <w:tcW w:w="6485" w:type="dxa"/>
            <w:tcMar/>
            <w:shd w:fill="FFFFFF"/>
          </w:tcPr>
          <w:p>
            <w:pPr>
              <w:spacing w:before="0" w:after="0" w:line="240" w:lineRule="auto"/>
            </w:pPr>
            <w:r>
              <w:rPr>
                <w:rFonts w:ascii="Times New Roman" w:hAnsi="Times New Roman"/>
                <w:b w:val="0"/>
                <w:color w:val="000000"/>
                <w:sz w:val="20"/>
              </w:rPr>
              <w:t>Measure originating Dentist and care-source completeness.</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Recall intervals, missed/cancelled reopening and DQ-72 scheduling authority remain open.</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Staff contact attempt cannot create a clinical follow-up requirement or mark it completed.</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Q15/Q27; agreed outstanding-care workflow. DQ-72 and clinic-selected intervals/outcome rules remain open. Implementation coverage: Browser-local obligations: follow-up tasks are created in the browser from the Dentist-documented follow-up fields recorded on the server Treatment and are scheduled through ordinary M6 booking commands. There is no backend follow-up obligation, outcome history or reminder record. Boundary: M20 owns Dentist-originated outstanding care obligations and actual outcomes; M6 booking, M18 transport. No fixed recall interval or automatic clinical decision is inferred.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21 Reports and Analytics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Reports and Analytics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Owner consumes operational/financial oversight within existing privacy scope</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Authorized report definition and source-traceable result/export.</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Validate report access and requested filters. M21 derives read-only results from authoritative records, keeping live snapshots separate from historical trends. M11/M23 own money; M15 owns leave outcomes; clinical/private message/feedback content is not made visible by reporting access.</w:t>
            </w:r>
            <w:r>
              <w:rPr>
                <w:rFonts w:ascii="Times New Roman" w:hAnsi="Times New Roman"/>
                <w:b w:val="0"/>
                <w:color w:val="000000"/>
                <w:sz w:val="20"/>
              </w:rPr>
            </w:r>
          </w:p>
        </w:tc>
      </w:tr>
    </w:tbl>
    <w:p w:rsidRPr="00E461F0" w:rsidR="009B4743" w:rsidRDefault="009B4743" w14:paraId="1F2A710A"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Authoritative appointments, Visits, queues and work schedules</w:t>
              <w:br/>
              <w:t>2. Completed care, issued charges and verified payment evidence</w:t>
              <w:br/>
              <w:t>3. Authorized date, branch and report filters</w:t>
              <w:br/>
              <w:t>4. Approved metric definitions and source availability</w:t>
            </w:r>
          </w:p>
        </w:tc>
      </w:tr>
    </w:tbl>
    <w:p w:rsidRPr="00E461F0" w:rsidR="00F46233" w:rsidRDefault="00F46233" w14:paraId="0BA6283C" w14:textId="77777777">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Validate report access and requested filters</w:t>
              <w:br/>
              <w:t>2. Select the complete authorized source window</w:t>
              <w:br/>
              <w:t>3. Separate live operational snapshots from historical trends</w:t>
              <w:br/>
              <w:t>4. Calculate exact approved aggregates</w:t>
              <w:br/>
              <w:t>5. Represent missing or partial data explicitly</w:t>
              <w:br/>
              <w:t>6. Render meaningful comparisons and drill-down references</w:t>
              <w:br/>
              <w:t>7. Export permitted data with safe formatting</w:t>
              <w:br/>
              <w:t>8. Retain report provenance and verify source consistency</w:t>
            </w:r>
          </w:p>
        </w:tc>
      </w:tr>
    </w:tbl>
    <w:p w:rsidRPr="00E461F0" w:rsidR="004828C5" w:rsidRDefault="004828C5" w14:paraId="150B4592" w14:textId="14B1E866">
      <w:pPr>
        <w:spacing w:before="0" w:after="60" w:line="60" w:lineRule="exact"/>
        <w:rPr>
          <w:rFonts w:ascii="Calibri" w:hAnsi="Calibri" w:cs="Calibri"/>
          <w:sz w:val="16"/>
          <w:szCs w:val="16"/>
        </w:rPr>
      </w:pPr>
    </w:p>
    <w:p w:rsidR="4BC96A8C" w:rsidP="4BC96A8C" w:rsidRDefault="4BC96A8C" w14:paraId="15ECD500" w14:textId="1BCFE2EC">
      <w:pPr>
        <w:spacing w:before="0" w:after="60" w:line="60" w:lineRule="exact"/>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Owner dashboard and scoped reports</w:t>
              <w:br/>
              <w:t>Source-traceable financial/operational metrics</w:t>
              <w:br/>
              <w:t>Authorized exports with completeness labels</w:t>
            </w:r>
          </w:p>
        </w:tc>
      </w:tr>
    </w:tbl>
    <w:p w:rsidR="004828C5" w:rsidRDefault="004828C5" w14:paraId="51DB83A4" w14:textId="77777777">
      <w:pPr>
        <w:spacing w:before="0" w:after="60" w:line="60" w:lineRule="exact"/>
        <w:rPr>
          <w:rFonts w:ascii="Calibri" w:hAnsi="Calibri" w:cs="Calibri"/>
          <w:sz w:val="16"/>
          <w:szCs w:val="16"/>
        </w:rPr>
      </w:pPr>
    </w:p>
    <w:p w:rsidRPr="00E461F0" w:rsidR="00E461F0" w:rsidRDefault="00E461F0" w14:paraId="683A7FA7"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Owner report viewer.</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None for report review; Patient information remains scoped. Related workflows: M3 Work Schedules; M6 Appointment Management; M8 Patient Visits; M9 Patient Queue; M11 Billing Management; M23 Payment Management; M18 Notifications.</w:t>
            </w:r>
            <w:r>
              <w:rPr>
                <w:rFonts w:ascii="Times New Roman" w:hAnsi="Times New Roman"/>
                <w:b w:val="0"/>
                <w:color w:val="000000"/>
                <w:sz w:val="20"/>
              </w:rPr>
            </w:r>
          </w:p>
        </w:tc>
      </w:tr>
    </w:tbl>
    <w:p w:rsidRPr="00E461F0" w:rsidR="004828C5" w:rsidRDefault="004828C5" w14:paraId="1C043E7F" w14:textId="77777777">
      <w:pPr>
        <w:spacing w:before="0" w:after="60" w:line="60" w:lineRule="exact"/>
        <w:rPr>
          <w:rFonts w:ascii="Calibri" w:hAnsi="Calibri" w:cs="Calibri"/>
          <w:sz w:val="16"/>
          <w:szCs w:val="16"/>
        </w:rPr>
      </w:pPr>
    </w:p>
    <w:p>
      <w:pPr>
        <w:pageBreakBefore/>
        <w:spacing w:before="0" w:after="60" w:line="60" w:lineRule="exact"/>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Validate report access and requested filters -&gt; Select the complete authorized source window -&gt; Separate live operational snapshots from historical trends -&gt; Calculate exact approved aggregates -&gt; Represent missing or partial data explicitly -&gt; Render meaningful comparisons and drill-down references -&gt; Export permitted data with safe formatting -&gt; Retain report provenance and verify source consistency</w:t>
            </w:r>
          </w:p>
        </w:tc>
      </w:tr>
    </w:tbl>
    <w:p w:rsidRPr="00E461F0" w:rsidR="004828C5" w:rsidRDefault="004828C5" w14:paraId="692863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Source completeness</w:t>
            </w:r>
          </w:p>
        </w:tc>
        <w:tc>
          <w:tcPr>
            <w:tcW w:w="6485" w:type="dxa"/>
            <w:tcMar/>
            <w:shd w:fill="FFFFFF"/>
          </w:tcPr>
          <w:p>
            <w:pPr>
              <w:spacing w:before="0" w:after="0" w:line="240" w:lineRule="auto"/>
            </w:pPr>
            <w:r>
              <w:rPr>
                <w:rFonts w:ascii="Times New Roman" w:hAnsi="Times New Roman"/>
                <w:b w:val="0"/>
                <w:color w:val="000000"/>
                <w:sz w:val="20"/>
              </w:rPr>
              <w:t>Identify absent/partial source windows rather than reporting false zero.</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Metric consistency</w:t>
            </w:r>
          </w:p>
        </w:tc>
        <w:tc>
          <w:tcPr>
            <w:tcW w:w="6485" w:type="dxa"/>
            <w:tcMar/>
            <w:shd w:fill="FFFFFF"/>
          </w:tcPr>
          <w:p>
            <w:pPr>
              <w:spacing w:before="0" w:after="0" w:line="240" w:lineRule="auto"/>
            </w:pPr>
            <w:r>
              <w:rPr>
                <w:rFonts w:ascii="Times New Roman" w:hAnsi="Times New Roman"/>
                <w:b w:val="0"/>
                <w:color w:val="000000"/>
                <w:sz w:val="20"/>
              </w:rPr>
              <w:t>Compare money/date aggregates with their authoritative sources.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Report performance</w:t>
            </w:r>
          </w:p>
        </w:tc>
        <w:tc>
          <w:tcPr>
            <w:tcW w:w="6485" w:type="dxa"/>
            <w:tcMar/>
            <w:shd w:fill="FFFFFF"/>
          </w:tcPr>
          <w:p>
            <w:pPr>
              <w:spacing w:before="0" w:after="0" w:line="240" w:lineRule="auto"/>
            </w:pPr>
            <w:r>
              <w:rPr>
                <w:rFonts w:ascii="Times New Roman" w:hAnsi="Times New Roman"/>
                <w:b w:val="0"/>
                <w:color w:val="000000"/>
                <w:sz w:val="20"/>
              </w:rPr>
              <w:t>Measure scoped query/export latency and truncation visibility.</w:t>
            </w:r>
          </w:p>
        </w:tc>
      </w:tr>
    </w:tbl>
    <w:p w:rsidRPr="00E461F0" w:rsidR="000344DF" w:rsidRDefault="000344DF" w14:paraId="041461CA"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DQ-113 revenue date basis and busy-branch definitions remain open; do not fabricate wait/capacity metrics.</w:t>
            </w:r>
          </w:p>
        </w:tc>
      </w:tr>
    </w:tbl>
    <w:p w:rsidRPr="00E461F0" w:rsidR="000344DF" w:rsidRDefault="000344DF" w14:paraId="7CFB74DF"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Current queue counts are not presented as historical daily queue trends; missing data is not a false zero.</w:t>
            </w:r>
          </w:p>
        </w:tc>
      </w:tr>
    </w:tbl>
    <w:p w:rsidRPr="00E461F0" w:rsidR="005C38FE" w:rsidRDefault="005C38FE" w14:paraId="6BE21059" w14:textId="63F79852">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spacing w:before="0" w:after="60" w:line="60" w:lineRule="exact"/>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spacing w:before="0" w:after="60" w:line="60" w:lineRule="exact"/>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Original Q7-Q11 supply estimates only; reported verbal Owner requirement for one-glance operational/revenue oversight. DQ-113 remains unresolved. Implementation coverage: Reported M21 technical corrections at 6563e4c; complete executive reporting and production readiness are unverified. Boundary: M21 derives read-only results from authoritative records, keeping live snapshots separate from historical trends. M11/M23 own money; M15 owns leave outcomes; clinical/private message/feedback content is not made visible by reporting access.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22 Audit Logs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Audit Logs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Current authorized Owner audit access; no unrestricted clinical-content access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September 17,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Append-only audit event and scoped investigation/export.</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Capture the committed action with stable references. M22 owns append-oriented minimal action evidence and authorized search/export. Domain records retain their own histories and archive/restore commands. No document, message, feedback or clinical text is copied into audit events.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Audit-worthy committed action</w:t>
              <w:br/>
              <w:t>2. Actor, target, branch and timestamp</w:t>
              <w:br/>
              <w:t>3. Minimal allowed outcome/change metadata</w:t>
              <w:br/>
              <w:t>4. Authorized search or export request</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Capture the committed action with stable references</w:t>
              <w:br/>
              <w:t>2. Validate required event metadata and sensitive-content exclusions</w:t>
              <w:br/>
              <w:t>3. Persist append-only evidence consistently with the domain action</w:t>
              <w:br/>
              <w:t>4. Apply approved access and retention controls</w:t>
              <w:br/>
              <w:t>5. Filter and paginate in the server database</w:t>
              <w:br/>
              <w:t>6. Show outcome, actor and source context for investigation</w:t>
              <w:br/>
              <w:t>7. Flag only defined review signals with transparent provenance</w:t>
              <w:br/>
              <w:t>8. Export authorized bounded results and record relevant access evidence</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Protected audit event history</w:t>
              <w:br/>
              <w:t>Scoped investigation results</w:t>
              <w:br/>
              <w:t>Bounded authorized audit export</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Owner audit reviewer and attributed source actors.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No external audit recipient is added. Related workflows: Attributed committed domain actions; M1 identity and access; Configured retention and export policy.</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Capture the committed action with stable references -&gt; Validate required event metadata and sensitive-content exclusions -&gt; Persist append-only evidence consistently with the domain action -&gt; Apply approved access and retention controls -&gt; Filter and paginate in the server database -&gt; Show outcome, actor and source context for investigation -&gt; Flag only defined review signals with transparent provenance -&gt; Export authorized bounded results and record relevant access evidence</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Search performance</w:t>
            </w:r>
          </w:p>
        </w:tc>
        <w:tc>
          <w:tcPr>
            <w:tcW w:w="6485" w:type="dxa"/>
            <w:tcMar/>
            <w:shd w:fill="FFFFFF"/>
          </w:tcPr>
          <w:p>
            <w:pPr>
              <w:spacing w:before="0" w:after="0" w:line="240" w:lineRule="auto"/>
            </w:pPr>
            <w:r>
              <w:rPr>
                <w:rFonts w:ascii="Times New Roman" w:hAnsi="Times New Roman"/>
                <w:b w:val="0"/>
                <w:color w:val="000000"/>
                <w:sz w:val="20"/>
              </w:rPr>
              <w:t>Measure authorized filter/pagination and export response time.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Event attribution</w:t>
            </w:r>
          </w:p>
        </w:tc>
        <w:tc>
          <w:tcPr>
            <w:tcW w:w="6485" w:type="dxa"/>
            <w:tcMar/>
            <w:shd w:fill="FFFFFF"/>
          </w:tcPr>
          <w:p>
            <w:pPr>
              <w:spacing w:before="0" w:after="0" w:line="240" w:lineRule="auto"/>
            </w:pPr>
            <w:r>
              <w:rPr>
                <w:rFonts w:ascii="Times New Roman" w:hAnsi="Times New Roman"/>
                <w:b w:val="0"/>
                <w:color w:val="000000"/>
                <w:sz w:val="20"/>
              </w:rPr>
              <w:t>Measure actor, target and outcome completeness for supported actions.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History protection</w:t>
            </w:r>
          </w:p>
        </w:tc>
        <w:tc>
          <w:tcPr>
            <w:tcW w:w="6485" w:type="dxa"/>
            <w:tcMar/>
            <w:shd w:fill="FFFFFF"/>
          </w:tcPr>
          <w:p>
            <w:pPr>
              <w:spacing w:before="0" w:after="0" w:line="240" w:lineRule="auto"/>
            </w:pPr>
            <w:r>
              <w:rPr>
                <w:rFonts w:ascii="Times New Roman" w:hAnsi="Times New Roman"/>
                <w:b w:val="0"/>
                <w:color w:val="000000"/>
                <w:sz w:val="20"/>
              </w:rPr>
              <w:t>Track refused mutation attempts under the application database role.</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Severity rules, read auditing, retention/export and index performance need review.</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million-row audit search is server-filtered and paginated without exposing clinical notes or message text.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Validate access, stable references and allowed state changes.</w:t>
              <w:br/>
              <w:t>Commit domain changes atomically where required and protect retries.</w:t>
              <w:br/>
              <w:t>Request purpose-limited notifications after committed outcomes.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Agreed audit/history usability requirements and reported append-only server audit foundation. Implementation coverage: Reported server append-only audit foundation with Owner read/CSV and cursor pagination; advanced usability remains incomplete. Boundary: M22 owns append-oriented minimal action evidence and authorized search/export. Domain records retain their own histories and archive/restore commands. No document, message, feedback or clinical text is copied into audit events.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23 Payment Management</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Payment Management</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Patient checkout and financial processing use existing invoice/actor permissions; verified provider evidence is required for settlement</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Delos Santos, Joevan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CheckoutAttempt, verified Payment, receipt and reconciliation exception.</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the payable invoice and authorized payer/actor. M23 owns payment collection and reconciliation; M11 owns charges/invoices/balances. This is new planning M23, not the historical automation recorder. Existing PayMongo and HMO safeguards remain; patient autofill is limited to authorized supported fields.</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Payable M11 invoice, exact amount and all active financial holds</w:t>
              <w:br/>
              <w:t>2. Authorized payer details from Patient/invoice records</w:t>
              <w:br/>
              <w:t>3. Configured PayMongo test/live mode and credentials</w:t>
              <w:br/>
              <w:t>4. Authenticated callback/provider session or permitted manual-payment evidence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the payable invoice and authorized payer/actor</w:t>
              <w:br/>
              <w:t>2. Fetch supported billing details and collect missing required fields</w:t>
              <w:br/>
              <w:t>3. Create or reuse the permitted hosted checkout attempt</w:t>
              <w:br/>
              <w:t>4. Record attempt identity without treating redirects as payment</w:t>
              <w:br/>
              <w:t>5. Verify webhook authenticity and retrieve provider session evidence</w:t>
              <w:br/>
              <w:t>6. Match invoice/session, exact amount, currency, mode and paid state idempotently</w:t>
              <w:br/>
              <w:t>7. Commit verified settlement and linked billing impact atomically or retain a reconciliation exception</w:t>
              <w:br/>
              <w:t>8. Issue linked receipt/history and request approved notification delivery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Hosted checkout or valid payment refusal</w:t>
              <w:br/>
              <w:t>Verified payment, receipt and invoice-linked history</w:t>
              <w:br/>
              <w:t>Retry-safe checkout and reconciliation evidence</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Current authorized clinic payment handlers.</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Patient/payer and PayMongo. Related workflows: M11 Billing Management; M4 Patient Records;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Payable invoice -&gt; authorized payer fields -&gt; hosted checkout -&gt; attempt record -&gt; authenticated provider retrieval -&gt; exact idempotent reconciliation -&gt; settlement or exception -&gt; linked receipt/history.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Settlement integrity</w:t>
            </w:r>
          </w:p>
        </w:tc>
        <w:tc>
          <w:tcPr>
            <w:tcW w:w="6485" w:type="dxa"/>
            <w:tcMar/>
            <w:shd w:fill="FFFFFF"/>
          </w:tcPr>
          <w:p>
            <w:pPr>
              <w:spacing w:before="0" w:after="0" w:line="240" w:lineRule="auto"/>
            </w:pPr>
            <w:r>
              <w:rPr>
                <w:rFonts w:ascii="Times New Roman" w:hAnsi="Times New Roman"/>
                <w:b w:val="0"/>
                <w:color w:val="000000"/>
                <w:sz w:val="20"/>
              </w:rPr>
              <w:t>Count verified settlements and duplicate callbacks handled safely.</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Reconciliation backlog</w:t>
            </w:r>
          </w:p>
        </w:tc>
        <w:tc>
          <w:tcPr>
            <w:tcW w:w="6485" w:type="dxa"/>
            <w:tcMar/>
            <w:shd w:fill="FFFFFF"/>
          </w:tcPr>
          <w:p>
            <w:pPr>
              <w:spacing w:before="0" w:after="0" w:line="240" w:lineRule="auto"/>
            </w:pPr>
            <w:r>
              <w:rPr>
                <w:rFonts w:ascii="Times New Roman" w:hAnsi="Times New Roman"/>
                <w:b w:val="0"/>
                <w:color w:val="000000"/>
                <w:sz w:val="20"/>
              </w:rPr>
              <w:t>Count captured/mismatched evidence awaiting resolution.</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Payment history</w:t>
            </w:r>
          </w:p>
        </w:tc>
        <w:tc>
          <w:tcPr>
            <w:tcW w:w="6485" w:type="dxa"/>
            <w:tcMar/>
            <w:shd w:fill="FFFFFF"/>
          </w:tcPr>
          <w:p>
            <w:pPr>
              <w:spacing w:before="0" w:after="0" w:line="240" w:lineRule="auto"/>
            </w:pPr>
            <w:r>
              <w:rPr>
                <w:rFonts w:ascii="Times New Roman" w:hAnsi="Times New Roman"/>
                <w:b w:val="0"/>
                <w:color w:val="000000"/>
                <w:sz w:val="20"/>
              </w:rPr>
              <w:t>Measure invoice/session/receipt linkage and exact amount consistency.</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Configure credentials/methods/mode, callback reachability and missing payer-field handling. Preserve exact amounts, signatures, provider retrieval, locks and duplicate protection. Partial payments/refunds remain policy decisions; real sandbox and actual receipt delivery remain unverified.</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Repeated verified callbacks create one settlement; a mismatched amount or forged redirect never marks an invoice Paid.</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Prefill authorized supported Patient/invoice fields</w:t>
              <w:br/>
              <w:t>Verify provider callbacks and reconcile exact authoritative evidence</w:t>
              <w:br/>
              <w:t>Deduplicate retries and atomically link settlement to the invoice</w:t>
              <w:br/>
              <w:t>Generate receipt references and dispatch approved notifications after commit</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User PayMongo, billing autofill and linked-history requirement; original Q15/Q18/Q27 payment workflow. Implementation coverage: Reported payment/PayMongo foundation currently belongs to historical M11. Separate M23 ownership is planned; sandbox E2E and recipient email receipt have not been verified. Boundary: M23 owns payment collection and reconciliation; M11 owns charges/invoices/balances. This is new planning M23, not the historical automation recorder. Existing PayMongo and HMO safeguards remain; patient autofill is limited to authorized supported fields.</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24 Lab Cases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Lab Cases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Proposed: authorized Staff coordinates dispatch/return; responsible Dentist authorizes clinical instructions and acceptance/rework; no laboratory login role is added</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Millar, John Yzhekiel</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Patient-linked LabCase, dispatch/return events and Dentist review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authorized Patient and care context. M24 owns external lab work from authorized order through accepted return/rework. M14 owns files; M6 booking; M5 clinical care. Receipt alone is not clinical acceptance, treatment completion or payment; no device/sensor or lab API integration is assumed.</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Exact Patient, clinical context and Dentist-approved laboratory instructions</w:t>
              <w:br/>
              <w:t>2. Approved external laboratory and required dates</w:t>
              <w:br/>
              <w:t>3. Dispatch, expected-return and actual-receipt evidence</w:t>
              <w:br/>
              <w:t>4. Linked appointment, supporting documents and Dentist review outcome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authorized Patient and care context</w:t>
              <w:br/>
              <w:t>2. Create the case and record Dentist-approved instructions</w:t>
              <w:br/>
              <w:t>3. Link the external laboratory, required dates and permitted appointment references</w:t>
              <w:br/>
              <w:t>4. Record actual dispatch and attributed coordination</w:t>
              <w:br/>
              <w:t>5. Track expected return and factual overdue/unresolved cases</w:t>
              <w:br/>
              <w:t>6. Record receipt with supporting evidence</w:t>
              <w:br/>
              <w:t>7. Require responsible Dentist review and record acceptance or rework</w:t>
              <w:br/>
              <w:t>8. Publish readiness/worklist outcome and preserve the complete case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Traceable laboratory case and coordination history</w:t>
              <w:br/>
              <w:t>Outstanding/overdue and rework worklist</w:t>
              <w:br/>
              <w:t>Dentist review and appointment-readiness status</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Authorized Staff coordinator and responsible reviewing Dentist.</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External dental laboratory; Patient represented by the case. Related workflows: M4 Patient Records; M5 Treatment Management; M6 Appointment Management; M14 Document Management; M18 Notifications;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Authorized care context -&gt; Dentist-approved instructions -&gt; lab/date/appointment links -&gt; recorded dispatch -&gt; expected-return tracking -&gt; receipt -&gt; Dentist acceptance or rework -&gt; readiness and case 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Outstanding lab work</w:t>
            </w:r>
          </w:p>
        </w:tc>
        <w:tc>
          <w:tcPr>
            <w:tcW w:w="6485" w:type="dxa"/>
            <w:tcMar/>
            <w:shd w:fill="FFFFFF"/>
          </w:tcPr>
          <w:p>
            <w:pPr>
              <w:spacing w:before="0" w:after="0" w:line="240" w:lineRule="auto"/>
            </w:pPr>
            <w:r>
              <w:rPr>
                <w:rFonts w:ascii="Times New Roman" w:hAnsi="Times New Roman"/>
                <w:b w:val="0"/>
                <w:color w:val="000000"/>
                <w:sz w:val="20"/>
              </w:rPr>
              <w:t>Count open cases and returns overdue against recorded expected dates.</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Review readiness</w:t>
            </w:r>
          </w:p>
        </w:tc>
        <w:tc>
          <w:tcPr>
            <w:tcW w:w="6485" w:type="dxa"/>
            <w:tcMar/>
            <w:shd w:fill="FFFFFF"/>
          </w:tcPr>
          <w:p>
            <w:pPr>
              <w:spacing w:before="0" w:after="0" w:line="240" w:lineRule="auto"/>
            </w:pPr>
            <w:r>
              <w:rPr>
                <w:rFonts w:ascii="Times New Roman" w:hAnsi="Times New Roman"/>
                <w:b w:val="0"/>
                <w:color w:val="000000"/>
                <w:sz w:val="20"/>
              </w:rPr>
              <w:t>Separate received, awaiting-review, rework and accepted outcomes.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Case traceability</w:t>
            </w:r>
          </w:p>
        </w:tc>
        <w:tc>
          <w:tcPr>
            <w:tcW w:w="6485" w:type="dxa"/>
            <w:tcMar/>
            <w:shd w:fill="FFFFFF"/>
          </w:tcPr>
          <w:p>
            <w:pPr>
              <w:spacing w:before="0" w:after="0" w:line="240" w:lineRule="auto"/>
            </w:pPr>
            <w:r>
              <w:rPr>
                <w:rFonts w:ascii="Times New Roman" w:hAnsi="Times New Roman"/>
                <w:b w:val="0"/>
                <w:color w:val="000000"/>
                <w:sz w:val="20"/>
              </w:rPr>
              <w:t>Measure Patient, lab, dispatch, receipt and review evidence linkage.</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actual laboratories, case types, instruction fields, Staff scope, review authority, expected-date/overdue rules, rework/cancellation, lab-fee handling and retention. Manual external events remain attributed evidence.</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Receiving a case cannot mark it Ready without the authorized Dentist acceptance; late/rework cases identify affected bookings without cancelling them.</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Calculate factual outstanding/overdue lists from recorded dates</w:t>
              <w:br/>
              <w:t>Surface booking dependencies and request approved notifications</w:t>
              <w:br/>
              <w:t>Record receipt and review outcomes with protected history</w:t>
              <w:br/>
              <w:t>Project readiness only from authorized review evidence</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User confirmation October 12 at 19:14 Asia/Manila: external lab work is performed and tracked manually. Detailed role/state fields above are the proposed specification. Implementation coverage: New module; user confirmed October 12 that external laboratory work is tracked manually. Existing rewards M24 records are not LabCase records. Boundary: M24 owns external lab work from authorized order through accepted return/rework. M14 owns files; M6 booking; M5 clinical care. Receipt alone is not clinical acceptance, treatment completion or payment; no device/sensor or lab API integration is assumed.</w:t>
            </w:r>
          </w:p>
        </w:tc>
      </w:tr>
    </w:tbl>
    <w:p>
      <w:r>
        <w:rPr>
          <w:rFonts w:ascii="Times New Roman" w:hAnsi="Times New Roman" w:eastAsia="Times New Roman"/>
        </w:rPr>
        <w:br w:type="page"/>
      </w:r>
    </w:p>
    <w:p>
      <w:pPr>
        <w:spacing w:before="0" w:after="100"/>
        <w:jc w:val="left"/>
      </w:pPr>
      <w:r>
        <w:rPr>
          <w:rFonts w:ascii="Times New Roman" w:hAnsi="Times New Roman" w:eastAsia="Times New Roman"/>
          <w:b/>
          <w:sz w:val="20"/>
        </w:rPr>
        <w:t>Module 25 Patient Handovers</w:t>
      </w:r>
    </w:p>
    <w:p w:rsidRPr="009B4743" w:rsidR="00B26DD9" w:rsidP="004828C5" w:rsidRDefault="004808DA" w14:paraId="4D91EA94" w14:textId="42FB98F5">
      <w:pPr>
        <w:ind w:right="-1"/>
        <w:jc w:val="center"/>
        <w:rPr>
          <w:rFonts w:ascii="Calibri" w:hAnsi="Calibri" w:cs="Calibri"/>
          <w:b/>
          <w:bCs/>
          <w:sz w:val="32"/>
          <w:szCs w:val="32"/>
        </w:rPr>
      </w:pPr>
      <w:r>
        <w:rPr>
          <w:rFonts w:ascii="Times New Roman" w:hAnsi="Times New Roman" w:cs="Times New Roman" w:eastAsia="Times New Roman"/>
          <w:b/>
          <w:bCs/>
          <w:sz w:val="32"/>
          <w:szCs w:val="32"/>
        </w:rPr>
        <w:t>PROCESS DOCUMENTATION</w:t>
      </w: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660"/>
        <w:gridCol w:w="6662"/>
      </w:tblGrid>
      <w:tr w:rsidRPr="009B4743" w:rsidR="009B4743" w:rsidTr="72D72EE3" w14:paraId="47F1C78F" w14:textId="77777777">
        <w:trPr>
          <w:tblHeader/>
          <w:cantSplit/>
        </w:trPr>
        <w:tc>
          <w:tcPr>
            <w:tcW w:w="9322" w:type="dxa"/>
            <w:gridSpan w:val="2"/>
            <w:tcMar/>
            <w:shd w:fill="333333"/>
          </w:tcPr>
          <w:p w:rsidRPr="009B4743" w:rsidR="009B4743" w:rsidRDefault="00F46233" w14:paraId="7C39940E" w14:textId="5E6208B2">
            <w:pPr>
              <w:rPr>
                <w:rFonts w:ascii="Calibri" w:hAnsi="Calibri" w:cs="Calibri"/>
                <w:b/>
                <w:bCs/>
              </w:rPr>
            </w:pPr>
            <w:r>
              <w:rPr>
                <w:rFonts w:ascii="Times New Roman" w:hAnsi="Times New Roman" w:cs="Times New Roman" w:eastAsia="Times New Roman"/>
                <w:b/>
                <w:bCs/>
                <w:color w:val="FFFFFF"/>
              </w:rPr>
              <w:t xml:space="preserve">1. Information</w:t>
            </w:r>
          </w:p>
        </w:tc>
      </w:tr>
      <w:tr w:rsidRPr="009B4743" w:rsidR="009B4743" w:rsidTr="72D72EE3" w14:paraId="4099ED22" w14:textId="77777777">
        <w:trPr>
          <w:trHeight w:val="495"/>
          <w:cantSplit/>
        </w:trPr>
        <w:tc>
          <w:tcPr>
            <w:tcW w:w="2660" w:type="dxa"/>
            <w:tcMar/>
            <w:shd w:fill="FFFFFF"/>
          </w:tcPr>
          <w:p w:rsidRPr="000344DF" w:rsidR="009B4743" w:rsidRDefault="009B4743" w14:paraId="21819723" w14:textId="5844CAF8">
            <w:pPr>
              <w:rPr>
                <w:rFonts w:ascii="Calibri" w:hAnsi="Calibri" w:cs="Calibri"/>
                <w:b/>
                <w:bCs/>
              </w:rPr>
            </w:pPr>
            <w:r>
              <w:rPr>
                <w:rFonts w:ascii="Times New Roman" w:hAnsi="Times New Roman" w:cs="Times New Roman" w:eastAsia="Times New Roman"/>
                <w:b/>
                <w:bCs/>
                <w:color w:val="000000"/>
              </w:rPr>
              <w:t>Process Name:</w:t>
            </w:r>
          </w:p>
        </w:tc>
        <w:tc>
          <w:tcPr>
            <w:tcW w:w="6662" w:type="dxa"/>
            <w:tcMar/>
            <w:shd w:fill="FFFFFF"/>
          </w:tcPr>
          <w:p>
            <w:pPr>
              <w:spacing w:before="0" w:after="0" w:line="240" w:lineRule="auto"/>
            </w:pPr>
            <w:r>
              <w:rPr>
                <w:rFonts w:ascii="Times New Roman" w:hAnsi="Times New Roman"/>
                <w:b w:val="0"/>
                <w:color w:val="000000"/>
                <w:sz w:val="20"/>
              </w:rPr>
              <w:t>Patient Handovers</w:t>
            </w:r>
          </w:p>
        </w:tc>
      </w:tr>
      <w:tr w:rsidRPr="009B4743" w:rsidR="009B4743" w:rsidTr="72D72EE3" w14:paraId="00945AAA" w14:textId="77777777">
        <w:trPr>
          <w:cantSplit/>
        </w:trPr>
        <w:tc>
          <w:tcPr>
            <w:tcW w:w="2660" w:type="dxa"/>
            <w:tcMar/>
            <w:shd w:fill="FFFFFF"/>
          </w:tcPr>
          <w:p w:rsidRPr="000344DF" w:rsidR="009B4743" w:rsidRDefault="009B4743" w14:paraId="6C2B154E" w14:textId="7AFBF137">
            <w:pPr>
              <w:rPr>
                <w:rFonts w:ascii="Calibri" w:hAnsi="Calibri" w:cs="Calibri"/>
                <w:b/>
                <w:bCs/>
              </w:rPr>
            </w:pPr>
            <w:r>
              <w:rPr>
                <w:rFonts w:ascii="Times New Roman" w:hAnsi="Times New Roman" w:cs="Times New Roman" w:eastAsia="Times New Roman"/>
                <w:b/>
                <w:bCs/>
                <w:color w:val="000000"/>
              </w:rPr>
              <w:t>Process Owner:</w:t>
            </w:r>
          </w:p>
        </w:tc>
        <w:tc>
          <w:tcPr>
            <w:tcW w:w="6662" w:type="dxa"/>
            <w:tcMar/>
            <w:shd w:fill="FFFFFF"/>
          </w:tcPr>
          <w:p>
            <w:pPr>
              <w:spacing w:before="0" w:after="0" w:line="240" w:lineRule="auto"/>
            </w:pPr>
            <w:r>
              <w:rPr>
                <w:rFonts w:ascii="Times New Roman" w:hAnsi="Times New Roman"/>
                <w:b w:val="0"/>
                <w:color w:val="000000"/>
                <w:sz w:val="20"/>
              </w:rPr>
              <w:t>Proposed: sending Dentist authorizes the clinical handover; receiving Dentist records acceptance; authorized Staff coordinates existing booking/assignment commands</w:t>
            </w:r>
          </w:p>
        </w:tc>
      </w:tr>
      <w:tr w:rsidRPr="009B4743" w:rsidR="009B4743" w:rsidTr="72D72EE3" w14:paraId="5AF4F167" w14:textId="77777777">
        <w:trPr>
          <w:cantSplit/>
        </w:trPr>
        <w:tc>
          <w:tcPr>
            <w:tcW w:w="2660" w:type="dxa"/>
            <w:tcMar/>
            <w:shd w:fill="FFFFFF"/>
          </w:tcPr>
          <w:p w:rsidRPr="000344DF" w:rsidR="009B4743" w:rsidRDefault="009B4743" w14:paraId="5666E6CD" w14:textId="2DC36E2B">
            <w:pPr>
              <w:rPr>
                <w:rFonts w:ascii="Calibri" w:hAnsi="Calibri" w:cs="Calibri"/>
                <w:b/>
                <w:bCs/>
              </w:rPr>
            </w:pPr>
            <w:r>
              <w:rPr>
                <w:rFonts w:ascii="Times New Roman" w:hAnsi="Times New Roman" w:cs="Times New Roman" w:eastAsia="Times New Roman"/>
                <w:b/>
                <w:bCs/>
                <w:color w:val="000000"/>
              </w:rPr>
              <w:t>Department/Unit:</w:t>
            </w:r>
          </w:p>
        </w:tc>
        <w:tc>
          <w:tcPr>
            <w:tcW w:w="6662" w:type="dxa"/>
            <w:tcMar/>
            <w:shd w:fill="FFFFFF"/>
          </w:tcPr>
          <w:p>
            <w:pPr>
              <w:spacing w:before="0" w:after="0" w:line="240" w:lineRule="auto"/>
            </w:pPr>
            <w:r>
              <w:rPr>
                <w:rFonts w:ascii="Times New Roman" w:hAnsi="Times New Roman"/>
                <w:b w:val="0"/>
                <w:color w:val="000000"/>
                <w:sz w:val="20"/>
              </w:rPr>
              <w:t>Authorized Clinical and Operational Services</w:t>
            </w:r>
          </w:p>
        </w:tc>
      </w:tr>
      <w:tr w:rsidRPr="009B4743" w:rsidR="009B4743" w:rsidTr="72D72EE3" w14:paraId="66450420" w14:textId="77777777">
        <w:trPr>
          <w:trHeight w:val="300"/>
          <w:cantSplit/>
        </w:trPr>
        <w:tc>
          <w:tcPr>
            <w:tcW w:w="2660" w:type="dxa"/>
            <w:tcMar/>
            <w:shd w:fill="FFFFFF"/>
          </w:tcPr>
          <w:p w:rsidRPr="000344DF" w:rsidR="009B4743" w:rsidRDefault="009B4743" w14:paraId="01DDE878" w14:textId="59C90735">
            <w:pPr>
              <w:rPr>
                <w:rFonts w:ascii="Calibri" w:hAnsi="Calibri" w:cs="Calibri"/>
                <w:b/>
                <w:bCs/>
              </w:rPr>
            </w:pPr>
            <w:r>
              <w:rPr>
                <w:rFonts w:ascii="Times New Roman" w:hAnsi="Times New Roman" w:cs="Times New Roman" w:eastAsia="Times New Roman"/>
                <w:b/>
                <w:bCs/>
                <w:color w:val="000000"/>
              </w:rPr>
              <w:t>Document Prepared By:</w:t>
            </w:r>
          </w:p>
        </w:tc>
        <w:tc>
          <w:tcPr>
            <w:tcW w:w="6662" w:type="dxa"/>
            <w:tcMar/>
            <w:shd w:fill="FFFFFF"/>
          </w:tcPr>
          <w:p>
            <w:pPr>
              <w:spacing w:before="0" w:after="0" w:line="240" w:lineRule="auto"/>
            </w:pPr>
            <w:r>
              <w:rPr>
                <w:rFonts w:ascii="Times New Roman" w:hAnsi="Times New Roman"/>
                <w:b w:val="0"/>
                <w:color w:val="000000"/>
                <w:sz w:val="20"/>
              </w:rPr>
              <w:t>Ecal, Richmon</w:t>
            </w:r>
          </w:p>
        </w:tc>
      </w:tr>
      <w:tr w:rsidRPr="009B4743" w:rsidR="009B4743" w:rsidTr="72D72EE3" w14:paraId="5B7246CE" w14:textId="77777777">
        <w:trPr>
          <w:cantSplit/>
        </w:trPr>
        <w:tc>
          <w:tcPr>
            <w:tcW w:w="2660" w:type="dxa"/>
            <w:tcMar/>
            <w:shd w:fill="FFFFFF"/>
          </w:tcPr>
          <w:p w:rsidRPr="000344DF" w:rsidR="009B4743" w:rsidRDefault="009B4743" w14:paraId="00BC332B" w14:textId="26185A20">
            <w:pPr>
              <w:rPr>
                <w:rFonts w:ascii="Calibri" w:hAnsi="Calibri" w:cs="Calibri"/>
                <w:b/>
                <w:bCs/>
              </w:rPr>
            </w:pPr>
            <w:r>
              <w:rPr>
                <w:rFonts w:ascii="Times New Roman" w:hAnsi="Times New Roman" w:cs="Times New Roman" w:eastAsia="Times New Roman"/>
                <w:b/>
                <w:bCs/>
                <w:color w:val="000000"/>
              </w:rPr>
              <w:t>Date Prepared:</w:t>
            </w:r>
          </w:p>
        </w:tc>
        <w:tc>
          <w:tcPr>
            <w:tcW w:w="6662" w:type="dxa"/>
            <w:tcMar/>
            <w:shd w:fill="FFFFFF"/>
          </w:tcPr>
          <w:p>
            <w:pPr>
              <w:spacing w:before="0" w:after="0" w:line="240" w:lineRule="auto"/>
            </w:pPr>
            <w:r>
              <w:rPr>
                <w:rFonts w:ascii="Times New Roman" w:hAnsi="Times New Roman"/>
                <w:b w:val="0"/>
                <w:color w:val="000000"/>
                <w:sz w:val="20"/>
              </w:rPr>
              <w:t>October 12, 2026</w:t>
            </w:r>
          </w:p>
        </w:tc>
      </w:tr>
      <w:tr w:rsidRPr="009B4743" w:rsidR="009B4743" w:rsidTr="72D72EE3" w14:paraId="40139FF4" w14:textId="77777777">
        <w:trPr>
          <w:cantSplit/>
        </w:trPr>
        <w:tc>
          <w:tcPr>
            <w:tcW w:w="2660" w:type="dxa"/>
            <w:tcMar/>
            <w:shd w:fill="FFFFFF"/>
          </w:tcPr>
          <w:p w:rsidRPr="000344DF" w:rsidR="009B4743" w:rsidRDefault="009B4743" w14:paraId="1D8A8058" w14:textId="02F64537">
            <w:pPr>
              <w:rPr>
                <w:rFonts w:ascii="Calibri" w:hAnsi="Calibri" w:cs="Calibri"/>
                <w:b/>
                <w:bCs/>
              </w:rPr>
            </w:pPr>
            <w:r>
              <w:rPr>
                <w:rFonts w:ascii="Times New Roman" w:hAnsi="Times New Roman" w:cs="Times New Roman" w:eastAsia="Times New Roman"/>
                <w:b/>
                <w:bCs/>
                <w:color w:val="000000"/>
              </w:rPr>
              <w:t>Version Number:</w:t>
            </w:r>
          </w:p>
        </w:tc>
        <w:tc>
          <w:tcPr>
            <w:tcW w:w="6662" w:type="dxa"/>
            <w:tcMar/>
            <w:shd w:fill="FFFFFF"/>
          </w:tcPr>
          <w:p>
            <w:pPr>
              <w:spacing w:before="0" w:after="0" w:line="240" w:lineRule="auto"/>
            </w:pPr>
            <w:r>
              <w:rPr>
                <w:rFonts w:ascii="Times New Roman" w:hAnsi="Times New Roman"/>
                <w:b w:val="0"/>
                <w:color w:val="000000"/>
                <w:sz w:val="20"/>
              </w:rPr>
              <w:t>5.0</w:t>
            </w:r>
          </w:p>
        </w:tc>
      </w:tr>
      <w:tr w:rsidRPr="009B4743" w:rsidR="009B4743" w:rsidTr="72D72EE3" w14:paraId="19D661BF" w14:textId="77777777">
        <w:trPr>
          <w:cantSplit/>
        </w:trPr>
        <w:tc>
          <w:tcPr>
            <w:tcW w:w="2660" w:type="dxa"/>
            <w:tcMar/>
            <w:shd w:fill="FFFFFF"/>
          </w:tcPr>
          <w:p w:rsidRPr="000344DF" w:rsidR="009B4743" w:rsidRDefault="009B4743" w14:paraId="4BEC2BE8" w14:textId="74759236">
            <w:pPr>
              <w:rPr>
                <w:rFonts w:ascii="Calibri" w:hAnsi="Calibri" w:cs="Calibri"/>
                <w:b/>
                <w:bCs/>
              </w:rPr>
            </w:pPr>
            <w:r>
              <w:rPr>
                <w:rFonts w:ascii="Times New Roman" w:hAnsi="Times New Roman" w:cs="Times New Roman" w:eastAsia="Times New Roman"/>
                <w:b/>
                <w:bCs/>
                <w:color w:val="000000"/>
              </w:rPr>
              <w:t>Last Updated:</w:t>
            </w:r>
          </w:p>
        </w:tc>
        <w:tc>
          <w:tcPr>
            <w:tcW w:w="6662" w:type="dxa"/>
            <w:tcMar/>
            <w:shd w:fill="FFFFFF"/>
          </w:tcPr>
          <w:p>
            <w:pPr>
              <w:spacing w:before="0" w:after="0" w:line="240" w:lineRule="auto"/>
            </w:pPr>
            <w:r>
              <w:rPr>
                <w:rFonts w:ascii="Times New Roman" w:hAnsi="Times New Roman"/>
                <w:b w:val="0"/>
                <w:color w:val="000000"/>
                <w:sz w:val="20"/>
              </w:rPr>
              <w:t>October 12, 2026</w:t>
            </w:r>
          </w:p>
        </w:tc>
      </w:tr>
    </w:tbl>
    <w:p w:rsidRPr="00E461F0" w:rsidR="009B4743" w:rsidRDefault="009B4743" w14:paraId="447ACFC3"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009B4743" w:rsidTr="72D72EE3" w14:paraId="59E04554" w14:textId="77777777">
        <w:trPr>
          <w:tblHeader/>
          <w:cantSplit/>
        </w:trPr>
        <w:tc>
          <w:tcPr>
            <w:tcW w:w="9322" w:type="dxa"/>
            <w:tcMar/>
            <w:shd w:fill="333333"/>
          </w:tcPr>
          <w:p w:rsidRPr="00F46233" w:rsidR="009B4743" w:rsidRDefault="00F46233" w14:paraId="65CBE36A" w14:textId="42BD0680">
            <w:pPr>
              <w:rPr>
                <w:rFonts w:ascii="Calibri" w:hAnsi="Calibri" w:cs="Calibri"/>
                <w:b/>
                <w:bCs/>
              </w:rPr>
            </w:pPr>
            <w:r>
              <w:rPr>
                <w:rFonts w:ascii="Times New Roman" w:hAnsi="Times New Roman" w:cs="Times New Roman" w:eastAsia="Times New Roman"/>
                <w:b/>
                <w:bCs/>
                <w:color w:val="FFFFFF"/>
              </w:rPr>
              <w:t xml:space="preserve">2. Overview</w:t>
            </w:r>
          </w:p>
        </w:tc>
      </w:tr>
      <w:tr w:rsidR="00F46233" w:rsidTr="72D72EE3" w14:paraId="5591F500" w14:textId="77777777">
        <w:trPr>
          <w:cantSplit/>
        </w:trPr>
        <w:tc>
          <w:tcPr>
            <w:tcW w:w="9322" w:type="dxa"/>
            <w:tcMar/>
            <w:shd w:fill="FFFFFF"/>
          </w:tcPr>
          <w:p>
            <w:pPr>
              <w:spacing w:before="0" w:after="0" w:line="240" w:lineRule="auto"/>
            </w:pPr>
            <w:r>
              <w:rPr>
                <w:rFonts w:ascii="Times New Roman" w:hAnsi="Times New Roman"/>
                <w:b w:val="0"/>
                <w:color w:val="000000"/>
                <w:sz w:val="20"/>
              </w:rPr>
              <w:t>Purpose: Own PatientHandover, purpose-scoped care packet, acknowledgment and outcome history.</w:t>
            </w:r>
            <w:r>
              <w:rPr>
                <w:rFonts w:ascii="Times New Roman" w:hAnsi="Times New Roman"/>
                <w:b w:val="0"/>
                <w:color w:val="000000"/>
                <w:sz w:val="20"/>
              </w:rPr>
            </w:r>
          </w:p>
        </w:tc>
      </w:tr>
      <w:tr w:rsidR="00F46233" w:rsidTr="72D72EE3" w14:paraId="19218102" w14:textId="77777777">
        <w:trPr>
          <w:cantSplit/>
        </w:trPr>
        <w:tc>
          <w:tcPr>
            <w:tcW w:w="9322" w:type="dxa"/>
            <w:tcMar/>
            <w:shd w:fill="FFFFFF"/>
          </w:tcPr>
          <w:p>
            <w:pPr>
              <w:spacing w:before="0" w:after="0" w:line="240" w:lineRule="auto"/>
            </w:pPr>
            <w:r>
              <w:rPr>
                <w:rFonts w:ascii="Times New Roman" w:hAnsi="Times New Roman"/>
                <w:b w:val="0"/>
                <w:color w:val="000000"/>
                <w:sz w:val="20"/>
              </w:rPr>
              <w:t>Process Description: Resolve the Patient and authorized sending care context. M25 owns continuity between Dentists/branches, not a branch-change button or ordinary message. M6 bookings, M8 Visit assignment and M5 care remain authoritative. No generic clinical access, automatic reassignment or rewriting completed care is granted by a handover.</w:t>
            </w:r>
            <w:r>
              <w:rPr>
                <w:rFonts w:ascii="Times New Roman" w:hAnsi="Times New Roman"/>
                <w:b w:val="0"/>
                <w:color w:val="000000"/>
                <w:sz w:val="20"/>
              </w:rPr>
            </w:r>
          </w:p>
        </w:tc>
      </w:tr>
    </w:tbl>
    <w:p w:rsidRPr="00E461F0" w:rsidR="009B4743" w:rsidRDefault="009B4743" w14:paraId="1F2A710A"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F46233" w:rsidTr="72D72EE3" w14:paraId="514ABA79" w14:textId="77777777">
        <w:trPr>
          <w:trHeight w:val="300"/>
          <w:tblHeader/>
          <w:cantSplit/>
        </w:trPr>
        <w:tc>
          <w:tcPr>
            <w:tcW w:w="9322" w:type="dxa"/>
            <w:tcMar/>
            <w:shd w:fill="333333"/>
          </w:tcPr>
          <w:p w:rsidRPr="00F46233" w:rsidR="00F46233" w:rsidP="004808DA" w:rsidRDefault="00F46233" w14:paraId="00622C50" w14:textId="6802B562">
            <w:pPr>
              <w:rPr>
                <w:rFonts w:ascii="Calibri" w:hAnsi="Calibri" w:cs="Calibri"/>
                <w:b/>
                <w:bCs/>
              </w:rPr>
            </w:pPr>
            <w:r>
              <w:rPr>
                <w:rFonts w:ascii="Times New Roman" w:hAnsi="Times New Roman" w:cs="Times New Roman" w:eastAsia="Times New Roman"/>
                <w:b/>
                <w:bCs/>
                <w:color w:val="FFFFFF"/>
              </w:rPr>
              <w:t>3. Inputs</w:t>
            </w:r>
          </w:p>
        </w:tc>
      </w:tr>
      <w:tr w:rsidR="00F46233" w:rsidTr="72D72EE3" w14:paraId="58C6972E" w14:textId="77777777">
        <w:trPr>
          <w:cantSplit/>
        </w:trPr>
        <w:tc>
          <w:tcPr>
            <w:tcW w:w="9322" w:type="dxa"/>
            <w:tcMar/>
            <w:shd w:fill="FFFFFF"/>
          </w:tcPr>
          <w:p>
            <w:pPr>
              <w:spacing w:before="0" w:after="0" w:line="240" w:lineRule="auto"/>
            </w:pPr>
            <w:r>
              <w:rPr>
                <w:rFonts w:ascii="Times New Roman" w:hAnsi="Times New Roman"/>
                <w:b w:val="0"/>
                <w:color w:val="000000"/>
                <w:sz w:val="20"/>
              </w:rPr>
              <w:t>1. Exact Patient and sending care context</w:t>
              <w:br/>
              <w:t>2. Sending and receiving Dentist/branch</w:t>
              <w:br/>
              <w:t>3. Handover reason, approved summary and outstanding-care references</w:t>
              <w:br/>
              <w:t>4. Recipient acknowledgment and permitted booking/assignment evidence</w:t>
            </w:r>
          </w:p>
        </w:tc>
      </w:tr>
    </w:tbl>
    <w:p w:rsidRPr="00E461F0" w:rsidR="00F46233" w:rsidRDefault="00F46233" w14:paraId="0BA6283C" w14:textId="77777777">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6ED3C3B2" w14:textId="77777777">
        <w:trPr>
          <w:tblHeader/>
          <w:cantSplit/>
        </w:trPr>
        <w:tc>
          <w:tcPr>
            <w:tcW w:w="9322" w:type="dxa"/>
            <w:tcMar/>
            <w:shd w:fill="333333"/>
          </w:tcPr>
          <w:p w:rsidRPr="00F46233" w:rsidR="004828C5" w:rsidP="004808DA" w:rsidRDefault="004828C5" w14:paraId="6C78BC11" w14:textId="561F5A06">
            <w:pPr>
              <w:rPr>
                <w:rFonts w:ascii="Calibri" w:hAnsi="Calibri" w:cs="Calibri"/>
                <w:b/>
                <w:bCs/>
              </w:rPr>
            </w:pPr>
            <w:r>
              <w:rPr>
                <w:rFonts w:ascii="Times New Roman" w:hAnsi="Times New Roman" w:cs="Times New Roman" w:eastAsia="Times New Roman"/>
                <w:b/>
                <w:bCs/>
                <w:color w:val="FFFFFF"/>
              </w:rPr>
              <w:t>4. Activities</w:t>
            </w:r>
          </w:p>
        </w:tc>
      </w:tr>
      <w:tr w:rsidR="004828C5" w:rsidTr="72D72EE3" w14:paraId="78218523" w14:textId="77777777">
        <w:trPr>
          <w:cantSplit/>
        </w:trPr>
        <w:tc>
          <w:tcPr>
            <w:tcW w:w="9322" w:type="dxa"/>
            <w:tcMar/>
            <w:shd w:fill="FFFFFF"/>
          </w:tcPr>
          <w:p>
            <w:pPr>
              <w:spacing w:before="0" w:after="0" w:line="240" w:lineRule="auto"/>
            </w:pPr>
            <w:r>
              <w:rPr>
                <w:rFonts w:ascii="Times New Roman" w:hAnsi="Times New Roman"/>
                <w:b w:val="0"/>
                <w:color w:val="000000"/>
                <w:sz w:val="20"/>
              </w:rPr>
              <w:t>1. Resolve the Patient and authorized sending care context</w:t>
              <w:br/>
              <w:t>2. Create a draft handover with reason and intended recipient</w:t>
              <w:br/>
              <w:t>3. Review the minimum permitted summary and supporting references</w:t>
              <w:br/>
              <w:t>4. Notify the scoped receiving team and record actual coordination</w:t>
              <w:br/>
              <w:t>5. Record acknowledgment, acceptance or decline with attribution</w:t>
              <w:br/>
              <w:t>6. Coordinate required booking/assignment through existing authorized services</w:t>
              <w:br/>
              <w:t>7. Record the agreed care-handoff outcome and linked follow-up references</w:t>
              <w:br/>
              <w:t>8. Close or retain unresolved handover work while preserving history</w:t>
            </w:r>
          </w:p>
        </w:tc>
      </w:tr>
    </w:tbl>
    <w:p w:rsidRPr="00E461F0" w:rsidR="004828C5" w:rsidRDefault="004828C5" w14:paraId="150B4592" w14:textId="14B1E866">
      <w:pPr>
        <w:rPr>
          <w:rFonts w:ascii="Calibri" w:hAnsi="Calibri" w:cs="Calibri"/>
          <w:sz w:val="16"/>
          <w:szCs w:val="16"/>
        </w:rPr>
      </w:pPr>
    </w:p>
    <w:p w:rsidR="4BC96A8C" w:rsidP="4BC96A8C" w:rsidRDefault="4BC96A8C" w14:paraId="15ECD500" w14:textId="1BCFE2EC">
      <w:pPr>
        <w:rPr>
          <w:rFonts w:ascii="Calibri" w:hAnsi="Calibri" w:cs="Calibri"/>
          <w:sz w:val="16"/>
          <w:szCs w:val="16"/>
        </w:rPr>
      </w:pPr>
    </w:p>
    <w:tbl>
      <w:tblPr>
        <w:tblStyle w:val="TableGrid"/>
        <w:tblW w:w="9322"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322"/>
      </w:tblGrid>
      <w:tr w:rsidRPr="00F46233" w:rsidR="004828C5" w:rsidTr="72D72EE3" w14:paraId="7C266C6F" w14:textId="77777777">
        <w:trPr>
          <w:tblHeader/>
          <w:cantSplit/>
        </w:trPr>
        <w:tc>
          <w:tcPr>
            <w:tcW w:w="9322" w:type="dxa"/>
            <w:tcMar/>
            <w:shd w:fill="333333"/>
          </w:tcPr>
          <w:p w:rsidRPr="00F46233" w:rsidR="004828C5" w:rsidP="004808DA" w:rsidRDefault="004828C5" w14:paraId="620F330D" w14:textId="66D5B3AF">
            <w:pPr>
              <w:rPr>
                <w:rFonts w:ascii="Calibri" w:hAnsi="Calibri" w:cs="Calibri"/>
                <w:b/>
                <w:bCs/>
              </w:rPr>
            </w:pPr>
            <w:r>
              <w:rPr>
                <w:rFonts w:ascii="Times New Roman" w:hAnsi="Times New Roman" w:cs="Times New Roman" w:eastAsia="Times New Roman"/>
                <w:b/>
                <w:bCs/>
                <w:color w:val="FFFFFF"/>
              </w:rPr>
              <w:t>5. Outputs</w:t>
            </w:r>
          </w:p>
        </w:tc>
      </w:tr>
      <w:tr w:rsidR="004828C5" w:rsidTr="72D72EE3" w14:paraId="1661998D" w14:textId="77777777">
        <w:trPr>
          <w:cantSplit/>
        </w:trPr>
        <w:tc>
          <w:tcPr>
            <w:tcW w:w="9322" w:type="dxa"/>
            <w:tcMar/>
            <w:shd w:fill="FFFFFF"/>
          </w:tcPr>
          <w:p>
            <w:pPr>
              <w:spacing w:before="0" w:after="0" w:line="240" w:lineRule="auto"/>
            </w:pPr>
            <w:r>
              <w:rPr>
                <w:rFonts w:ascii="Times New Roman" w:hAnsi="Times New Roman"/>
                <w:b w:val="0"/>
                <w:color w:val="000000"/>
                <w:sz w:val="20"/>
              </w:rPr>
              <w:t>Traceable internal care-handover case</w:t>
              <w:br/>
              <w:t>Receiving-team acknowledgment and responsibility outcome</w:t>
              <w:br/>
              <w:t>Pending handover worklist and linked care/booking history</w:t>
            </w:r>
          </w:p>
        </w:tc>
      </w:tr>
    </w:tbl>
    <w:p w:rsidR="004828C5" w:rsidRDefault="004828C5" w14:paraId="51DB83A4" w14:textId="77777777">
      <w:pPr>
        <w:rPr>
          <w:rFonts w:ascii="Calibri" w:hAnsi="Calibri" w:cs="Calibri"/>
          <w:sz w:val="16"/>
          <w:szCs w:val="16"/>
        </w:rPr>
      </w:pPr>
    </w:p>
    <w:p w:rsidRPr="00E461F0" w:rsidR="00E461F0" w:rsidRDefault="00E461F0" w14:paraId="683A7FA7"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004828C5" w:rsidTr="72D72EE3" w14:paraId="1E19F8C4" w14:textId="77777777">
        <w:trPr>
          <w:tblHeader/>
          <w:cantSplit/>
        </w:trPr>
        <w:tc>
          <w:tcPr>
            <w:tcW w:w="9287" w:type="dxa"/>
            <w:tcMar/>
            <w:shd w:fill="333333"/>
          </w:tcPr>
          <w:p w:rsidRPr="004828C5" w:rsidR="004828C5" w:rsidRDefault="004828C5" w14:paraId="44A58CDE" w14:textId="69E5AD43">
            <w:pPr>
              <w:rPr>
                <w:rFonts w:ascii="Calibri" w:hAnsi="Calibri" w:cs="Calibri"/>
                <w:b/>
                <w:bCs/>
              </w:rPr>
            </w:pPr>
            <w:r>
              <w:rPr>
                <w:rFonts w:ascii="Times New Roman" w:hAnsi="Times New Roman" w:cs="Times New Roman" w:eastAsia="Times New Roman"/>
                <w:b/>
                <w:bCs/>
                <w:color w:val="FFFFFF"/>
              </w:rPr>
              <w:t xml:space="preserve">6. Stakeholders Analysis</w:t>
            </w:r>
          </w:p>
        </w:tc>
      </w:tr>
      <w:tr w:rsidR="004828C5" w:rsidTr="72D72EE3" w14:paraId="1217FE89" w14:textId="77777777">
        <w:trPr>
          <w:cantSplit/>
        </w:trPr>
        <w:tc>
          <w:tcPr>
            <w:tcW w:w="9287" w:type="dxa"/>
            <w:tcMar/>
            <w:shd w:fill="FFFFFF"/>
          </w:tcPr>
          <w:p>
            <w:pPr>
              <w:spacing w:before="0" w:after="0" w:line="240" w:lineRule="auto"/>
            </w:pPr>
            <w:r>
              <w:rPr>
                <w:rFonts w:ascii="Times New Roman" w:hAnsi="Times New Roman"/>
                <w:b w:val="0"/>
                <w:color w:val="000000"/>
                <w:sz w:val="20"/>
              </w:rPr>
              <w:t>Internal: Sending/receiving Dentist and scoped Staff coordinator.</w:t>
            </w:r>
            <w:r>
              <w:rPr>
                <w:rFonts w:ascii="Times New Roman" w:hAnsi="Times New Roman"/>
                <w:b w:val="0"/>
                <w:color w:val="000000"/>
                <w:sz w:val="20"/>
              </w:rPr>
            </w:r>
          </w:p>
        </w:tc>
      </w:tr>
      <w:tr w:rsidR="004828C5" w:rsidTr="72D72EE3" w14:paraId="54FEC043" w14:textId="77777777">
        <w:trPr>
          <w:cantSplit/>
        </w:trPr>
        <w:tc>
          <w:tcPr>
            <w:tcW w:w="9287" w:type="dxa"/>
            <w:tcMar/>
            <w:shd w:fill="FFFFFF"/>
          </w:tcPr>
          <w:p>
            <w:pPr>
              <w:spacing w:before="0" w:after="0" w:line="240" w:lineRule="auto"/>
            </w:pPr>
            <w:r>
              <w:rPr>
                <w:rFonts w:ascii="Times New Roman" w:hAnsi="Times New Roman"/>
                <w:b w:val="0"/>
                <w:color w:val="000000"/>
                <w:sz w:val="20"/>
              </w:rPr>
              <w:t>External: Patient whose care is handed over within the clinic group. Related workflows: M4 Patient Records; M5 Treatment Management; M6 Appointment Management; M8 Patient Visits; M14 Document Management; M18 Notifications; M20 Patient Follow-Up; M22 Audit Logs.</w:t>
            </w:r>
            <w:r>
              <w:rPr>
                <w:rFonts w:ascii="Times New Roman" w:hAnsi="Times New Roman"/>
                <w:b w:val="0"/>
                <w:color w:val="000000"/>
                <w:sz w:val="20"/>
              </w:rPr>
            </w:r>
          </w:p>
        </w:tc>
      </w:tr>
    </w:tbl>
    <w:p w:rsidRPr="00E461F0" w:rsidR="004828C5" w:rsidRDefault="004828C5" w14:paraId="1C043E7F" w14:textId="77777777">
      <w:pPr>
        <w:rPr>
          <w:rFonts w:ascii="Calibri" w:hAnsi="Calibri" w:cs="Calibri"/>
          <w:sz w:val="16"/>
          <w:szCs w:val="16"/>
        </w:rPr>
      </w:pPr>
    </w:p>
    <w:p>
      <w:pPr>
        <w:pageBreakBefore/>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4828C5" w:rsidTr="72D72EE3" w14:paraId="1D1C6F9B" w14:textId="77777777">
        <w:trPr>
          <w:tblHeader/>
          <w:cantSplit/>
        </w:trPr>
        <w:tc>
          <w:tcPr>
            <w:tcW w:w="9287" w:type="dxa"/>
            <w:tcMar/>
            <w:shd w:fill="333333"/>
          </w:tcPr>
          <w:p w:rsidRPr="004828C5" w:rsidR="004828C5" w:rsidP="004808DA" w:rsidRDefault="004828C5" w14:paraId="4D8C5EC4" w14:textId="54D60371">
            <w:pPr>
              <w:rPr>
                <w:rFonts w:ascii="Calibri" w:hAnsi="Calibri" w:cs="Calibri"/>
                <w:b/>
                <w:bCs/>
              </w:rPr>
            </w:pPr>
            <w:r>
              <w:rPr>
                <w:rFonts w:ascii="Times New Roman" w:hAnsi="Times New Roman" w:cs="Times New Roman" w:eastAsia="Times New Roman"/>
                <w:b/>
                <w:bCs/>
                <w:color w:val="FFFFFF"/>
              </w:rPr>
              <w:t xml:space="preserve">7. Flow Summary</w:t>
            </w:r>
          </w:p>
        </w:tc>
      </w:tr>
      <w:tr w:rsidR="004828C5" w:rsidTr="72D72EE3" w14:paraId="44EDEBA0" w14:textId="77777777">
        <w:trPr>
          <w:cantSplit/>
        </w:trPr>
        <w:tc>
          <w:tcPr>
            <w:tcW w:w="9287" w:type="dxa"/>
            <w:tcMar/>
            <w:shd w:fill="FFFFFF"/>
          </w:tcPr>
          <w:p>
            <w:pPr>
              <w:spacing w:before="0" w:after="0" w:line="240" w:lineRule="auto"/>
            </w:pPr>
            <w:r>
              <w:rPr>
                <w:rFonts w:ascii="Times New Roman" w:hAnsi="Times New Roman"/>
                <w:b w:val="0"/>
                <w:color w:val="000000"/>
                <w:sz w:val="20"/>
              </w:rPr>
              <w:t>Authorized sending context -&gt; intended recipient/reason -&gt; permitted packet review -&gt; recorded coordination -&gt; recipient acknowledgment/acceptance or decline -&gt; normal booking/assignment commands -&gt; handover outcome -&gt; unresolved work or closure/history.</w:t>
            </w:r>
          </w:p>
        </w:tc>
      </w:tr>
    </w:tbl>
    <w:p w:rsidRPr="00E461F0" w:rsidR="004828C5" w:rsidRDefault="004828C5" w14:paraId="692863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802"/>
        <w:gridCol w:w="6485"/>
      </w:tblGrid>
      <w:tr w:rsidR="000344DF" w:rsidTr="72D72EE3" w14:paraId="4EBB19CE" w14:textId="77777777">
        <w:trPr>
          <w:tblHeader/>
          <w:cantSplit/>
        </w:trPr>
        <w:tc>
          <w:tcPr>
            <w:tcW w:w="9287" w:type="dxa"/>
            <w:gridSpan w:val="2"/>
            <w:tcMar/>
            <w:shd w:fill="333333"/>
          </w:tcPr>
          <w:p w:rsidR="000344DF" w:rsidRDefault="000344DF" w14:paraId="25DA9CB9" w14:textId="55D11E85">
            <w:pPr>
              <w:rPr>
                <w:rFonts w:ascii="Calibri" w:hAnsi="Calibri" w:cs="Calibri"/>
              </w:rPr>
            </w:pPr>
            <w:r>
              <w:rPr>
                <w:rFonts w:ascii="Times New Roman" w:hAnsi="Times New Roman" w:cs="Times New Roman" w:eastAsia="Times New Roman"/>
                <w:b/>
                <w:bCs/>
                <w:color w:val="FFFFFF"/>
              </w:rPr>
              <w:t>8. Performance Metrics</w:t>
            </w:r>
          </w:p>
        </w:tc>
      </w:tr>
      <w:tr w:rsidR="000344DF" w:rsidTr="72D72EE3" w14:paraId="48D3220F" w14:textId="77777777">
        <w:trPr>
          <w:cantSplit/>
        </w:trPr>
        <w:tc>
          <w:tcPr>
            <w:tcW w:w="2802" w:type="dxa"/>
            <w:tcMar/>
            <w:shd w:fill="FFFFFF"/>
          </w:tcPr>
          <w:p>
            <w:pPr>
              <w:spacing w:before="0" w:after="0" w:line="240" w:lineRule="auto"/>
            </w:pPr>
            <w:r>
              <w:rPr>
                <w:rFonts w:ascii="Times New Roman" w:hAnsi="Times New Roman"/>
                <w:b w:val="0"/>
                <w:color w:val="000000"/>
                <w:sz w:val="20"/>
              </w:rPr>
              <w:t>Pending handovers</w:t>
            </w:r>
          </w:p>
        </w:tc>
        <w:tc>
          <w:tcPr>
            <w:tcW w:w="6485" w:type="dxa"/>
            <w:tcMar/>
            <w:shd w:fill="FFFFFF"/>
          </w:tcPr>
          <w:p>
            <w:pPr>
              <w:spacing w:before="0" w:after="0" w:line="240" w:lineRule="auto"/>
            </w:pPr>
            <w:r>
              <w:rPr>
                <w:rFonts w:ascii="Times New Roman" w:hAnsi="Times New Roman"/>
                <w:b w:val="0"/>
                <w:color w:val="000000"/>
                <w:sz w:val="20"/>
              </w:rPr>
              <w:t>Count requests awaiting receiving-team acknowledgment/outcome.</w:t>
            </w:r>
          </w:p>
        </w:tc>
      </w:tr>
      <w:tr w:rsidR="000344DF" w:rsidTr="72D72EE3" w14:paraId="5D48E3A7" w14:textId="77777777">
        <w:trPr>
          <w:cantSplit/>
        </w:trPr>
        <w:tc>
          <w:tcPr>
            <w:tcW w:w="2802" w:type="dxa"/>
            <w:tcMar/>
            <w:shd w:fill="FFFFFF"/>
          </w:tcPr>
          <w:p>
            <w:pPr>
              <w:spacing w:before="0" w:after="0" w:line="240" w:lineRule="auto"/>
            </w:pPr>
            <w:r>
              <w:rPr>
                <w:rFonts w:ascii="Times New Roman" w:hAnsi="Times New Roman"/>
                <w:b w:val="0"/>
                <w:color w:val="000000"/>
                <w:sz w:val="20"/>
              </w:rPr>
              <w:t>Responsibility evidence</w:t>
            </w:r>
          </w:p>
        </w:tc>
        <w:tc>
          <w:tcPr>
            <w:tcW w:w="6485" w:type="dxa"/>
            <w:tcMar/>
            <w:shd w:fill="FFFFFF"/>
          </w:tcPr>
          <w:p>
            <w:pPr>
              <w:spacing w:before="0" w:after="0" w:line="240" w:lineRule="auto"/>
            </w:pPr>
            <w:r>
              <w:rPr>
                <w:rFonts w:ascii="Times New Roman" w:hAnsi="Times New Roman"/>
                <w:b w:val="0"/>
                <w:color w:val="000000"/>
                <w:sz w:val="20"/>
              </w:rPr>
              <w:t>Measure attributed acceptance and agreed outcome completeness.</w:t>
            </w:r>
          </w:p>
        </w:tc>
      </w:tr>
      <w:tr w:rsidR="000344DF" w:rsidTr="72D72EE3" w14:paraId="59C74541" w14:textId="77777777">
        <w:trPr>
          <w:cantSplit/>
        </w:trPr>
        <w:tc>
          <w:tcPr>
            <w:tcW w:w="2802" w:type="dxa"/>
            <w:tcMar/>
            <w:shd w:fill="FFFFFF"/>
          </w:tcPr>
          <w:p>
            <w:pPr>
              <w:spacing w:before="0" w:after="0" w:line="240" w:lineRule="auto"/>
            </w:pPr>
            <w:r>
              <w:rPr>
                <w:rFonts w:ascii="Times New Roman" w:hAnsi="Times New Roman"/>
                <w:b w:val="0"/>
                <w:color w:val="000000"/>
                <w:sz w:val="20"/>
              </w:rPr>
              <w:t>Handover time</w:t>
            </w:r>
          </w:p>
        </w:tc>
        <w:tc>
          <w:tcPr>
            <w:tcW w:w="6485" w:type="dxa"/>
            <w:tcMar/>
            <w:shd w:fill="FFFFFF"/>
          </w:tcPr>
          <w:p>
            <w:pPr>
              <w:spacing w:before="0" w:after="0" w:line="240" w:lineRule="auto"/>
            </w:pPr>
            <w:r>
              <w:rPr>
                <w:rFonts w:ascii="Times New Roman" w:hAnsi="Times New Roman"/>
                <w:b w:val="0"/>
                <w:color w:val="000000"/>
                <w:sz w:val="20"/>
              </w:rPr>
              <w:t>Measure dispatch-to-acknowledgment/outcome elapsed time.</w:t>
            </w:r>
          </w:p>
        </w:tc>
      </w:tr>
    </w:tbl>
    <w:p w:rsidRPr="00E461F0" w:rsidR="000344DF" w:rsidRDefault="000344DF" w14:paraId="041461CA"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0344DF" w:rsidTr="72D72EE3" w14:paraId="62A20E48" w14:textId="77777777">
        <w:trPr>
          <w:tblHeader/>
          <w:cantSplit/>
        </w:trPr>
        <w:tc>
          <w:tcPr>
            <w:tcW w:w="9287" w:type="dxa"/>
            <w:tcMar/>
            <w:shd w:fill="333333"/>
          </w:tcPr>
          <w:p w:rsidRPr="004828C5" w:rsidR="000344DF" w:rsidP="004808DA" w:rsidRDefault="000344DF" w14:paraId="4EFD3333" w14:textId="2E9AA277">
            <w:pPr>
              <w:rPr>
                <w:rFonts w:ascii="Calibri" w:hAnsi="Calibri" w:cs="Calibri"/>
                <w:b/>
                <w:bCs/>
              </w:rPr>
            </w:pPr>
            <w:r>
              <w:rPr>
                <w:rFonts w:ascii="Times New Roman" w:hAnsi="Times New Roman" w:cs="Times New Roman" w:eastAsia="Times New Roman"/>
                <w:b/>
                <w:bCs/>
                <w:color w:val="FFFFFF"/>
              </w:rPr>
              <w:t>9. Issues and Challenges</w:t>
            </w:r>
          </w:p>
        </w:tc>
      </w:tr>
      <w:tr w:rsidR="000344DF" w:rsidTr="72D72EE3" w14:paraId="16479F6E" w14:textId="77777777">
        <w:trPr>
          <w:cantSplit/>
        </w:trPr>
        <w:tc>
          <w:tcPr>
            <w:tcW w:w="9287" w:type="dxa"/>
            <w:tcMar/>
            <w:shd w:fill="FFFFFF"/>
          </w:tcPr>
          <w:p>
            <w:pPr>
              <w:spacing w:before="0" w:after="0" w:line="240" w:lineRule="auto"/>
            </w:pPr>
            <w:r>
              <w:rPr>
                <w:rFonts w:ascii="Times New Roman" w:hAnsi="Times New Roman"/>
                <w:b w:val="0"/>
                <w:color w:val="000000"/>
                <w:sz w:val="20"/>
              </w:rPr>
              <w:t>Confirm who initiates/receives, purpose-specific packet visibility, when care responsibility changes, decline/nonresponse/cancellation, active-Visit handling and return/outcome closure. External specialist referrals are not implied by the confirmed internal workflow.</w:t>
            </w:r>
          </w:p>
        </w:tc>
      </w:tr>
    </w:tbl>
    <w:p w:rsidRPr="00E461F0" w:rsidR="000344DF" w:rsidRDefault="000344DF" w14:paraId="7CFB74DF"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62A3571B" w14:textId="77777777">
        <w:trPr>
          <w:tblHeader/>
          <w:cantSplit/>
        </w:trPr>
        <w:tc>
          <w:tcPr>
            <w:tcW w:w="9287" w:type="dxa"/>
            <w:tcMar/>
            <w:shd w:fill="333333"/>
          </w:tcPr>
          <w:p w:rsidRPr="004828C5" w:rsidR="005C38FE" w:rsidP="004808DA" w:rsidRDefault="005C38FE" w14:paraId="5A9A0AF6" w14:textId="137B3A7F">
            <w:pPr>
              <w:rPr>
                <w:rFonts w:ascii="Calibri" w:hAnsi="Calibri" w:cs="Calibri"/>
                <w:b/>
                <w:bCs/>
              </w:rPr>
            </w:pPr>
            <w:r>
              <w:rPr>
                <w:rFonts w:ascii="Times New Roman" w:hAnsi="Times New Roman" w:cs="Times New Roman" w:eastAsia="Times New Roman"/>
                <w:b/>
                <w:bCs/>
                <w:color w:val="FFFFFF"/>
              </w:rPr>
              <w:t>10. Improvement Opportunities</w:t>
            </w:r>
          </w:p>
        </w:tc>
      </w:tr>
      <w:tr w:rsidRPr="005C38FE" w:rsidR="005C38FE" w:rsidTr="72D72EE3" w14:paraId="601CE7A2" w14:textId="77777777">
        <w:trPr>
          <w:cantSplit/>
        </w:trPr>
        <w:tc>
          <w:tcPr>
            <w:tcW w:w="9287" w:type="dxa"/>
            <w:tcMar/>
            <w:shd w:fill="FFFFFF"/>
          </w:tcPr>
          <w:p>
            <w:pPr>
              <w:spacing w:before="0" w:after="0" w:line="240" w:lineRule="auto"/>
            </w:pPr>
            <w:r>
              <w:rPr>
                <w:rFonts w:ascii="Times New Roman" w:hAnsi="Times New Roman"/>
                <w:b w:val="0"/>
                <w:color w:val="000000"/>
                <w:sz w:val="20"/>
              </w:rPr>
              <w:t>Complete the owned workflow with safe coordination. Acceptance scenario: A booked receiving appointment does not imply recipient acceptance, clinical access or completed care; an unauthorized recipient cannot read the care packet.</w:t>
            </w:r>
          </w:p>
        </w:tc>
      </w:tr>
    </w:tbl>
    <w:p w:rsidRPr="00E461F0" w:rsidR="005C38FE" w:rsidRDefault="005C38FE" w14:paraId="6BE21059" w14:textId="63F79852">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5C38FE" w:rsidTr="72D72EE3" w14:paraId="079A16A2" w14:textId="77777777">
        <w:trPr>
          <w:tblHeader/>
          <w:cantSplit/>
        </w:trPr>
        <w:tc>
          <w:tcPr>
            <w:tcW w:w="9287" w:type="dxa"/>
            <w:tcMar/>
            <w:shd w:fill="333333"/>
          </w:tcPr>
          <w:p w:rsidRPr="004828C5" w:rsidR="005C38FE" w:rsidP="004808DA" w:rsidRDefault="005C38FE" w14:paraId="0AEB7FFF" w14:textId="269CB33D">
            <w:pPr>
              <w:rPr>
                <w:rFonts w:ascii="Calibri" w:hAnsi="Calibri" w:cs="Calibri"/>
                <w:b/>
                <w:bCs/>
              </w:rPr>
            </w:pPr>
            <w:r>
              <w:rPr>
                <w:rFonts w:ascii="Times New Roman" w:hAnsi="Times New Roman" w:cs="Times New Roman" w:eastAsia="Times New Roman"/>
                <w:b/>
                <w:bCs/>
                <w:color w:val="FFFFFF"/>
              </w:rPr>
              <w:t>11. Automation Potential</w:t>
            </w:r>
          </w:p>
        </w:tc>
      </w:tr>
      <w:tr w:rsidRPr="005C38FE" w:rsidR="005C38FE" w:rsidTr="72D72EE3" w14:paraId="044A863D" w14:textId="77777777">
        <w:trPr>
          <w:cantSplit/>
        </w:trPr>
        <w:tc>
          <w:tcPr>
            <w:tcW w:w="9287" w:type="dxa"/>
            <w:tcMar/>
            <w:shd w:fill="FFFFFF"/>
          </w:tcPr>
          <w:p>
            <w:pPr>
              <w:spacing w:before="0" w:after="0" w:line="240" w:lineRule="auto"/>
            </w:pPr>
            <w:r>
              <w:rPr>
                <w:rFonts w:ascii="Times New Roman" w:hAnsi="Times New Roman"/>
                <w:b w:val="0"/>
                <w:color w:val="000000"/>
                <w:sz w:val="20"/>
              </w:rPr>
              <w:t>Track outstanding acknowledgments and factual handover status</w:t>
              <w:br/>
              <w:t>Send purpose-limited notifications through M18</w:t>
              <w:br/>
              <w:t>Validate recipient identity and scope before packet access</w:t>
              <w:br/>
              <w:t>Link approved booking, assignment and outcome events without duplicating their commands</w:t>
            </w:r>
          </w:p>
        </w:tc>
      </w:tr>
    </w:tbl>
    <w:p w:rsidRPr="00E461F0" w:rsidR="005C38FE" w:rsidP="005C38FE" w:rsidRDefault="005C38FE" w14:paraId="5D3169F2" w14:textId="77777777">
      <w:pPr>
        <w:rPr>
          <w:rFonts w:ascii="Calibri" w:hAnsi="Calibri" w:cs="Calibri"/>
          <w:sz w:val="16"/>
          <w:szCs w:val="16"/>
        </w:rPr>
      </w:pPr>
    </w:p>
    <w:tbl>
      <w:tblPr>
        <w:tblStyle w:val="TableGrid"/>
        <w:tblW w:w="9287" w:type="dxa"/>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2085"/>
        <w:gridCol w:w="7202"/>
      </w:tblGrid>
      <w:tr w:rsidR="005C38FE" w:rsidTr="72D72EE3" w14:paraId="45DBBE0D" w14:textId="77777777">
        <w:trPr>
          <w:tblHeader/>
          <w:cantSplit/>
        </w:trPr>
        <w:tc>
          <w:tcPr>
            <w:tcW w:w="9287" w:type="dxa"/>
            <w:gridSpan w:val="2"/>
            <w:tcMar/>
            <w:shd w:fill="333333"/>
          </w:tcPr>
          <w:p w:rsidR="005C38FE" w:rsidP="004808DA" w:rsidRDefault="005C38FE" w14:paraId="4BBA51AA" w14:textId="0D272EDB">
            <w:pPr>
              <w:rPr>
                <w:rFonts w:ascii="Calibri" w:hAnsi="Calibri" w:cs="Calibri"/>
              </w:rPr>
            </w:pPr>
            <w:r>
              <w:rPr>
                <w:rFonts w:ascii="Times New Roman" w:hAnsi="Times New Roman" w:cs="Times New Roman" w:eastAsia="Times New Roman"/>
                <w:b/>
                <w:bCs/>
                <w:color w:val="FFFFFF"/>
              </w:rPr>
              <w:t>12. Business Process Lifecycle Analysis</w:t>
            </w:r>
          </w:p>
        </w:tc>
      </w:tr>
      <w:tr w:rsidR="005C38FE" w:rsidTr="72D72EE3" w14:paraId="5BE7DFB1" w14:textId="77777777">
        <w:trPr>
          <w:cantSplit/>
        </w:trPr>
        <w:tc>
          <w:tcPr>
            <w:tcW w:w="2085" w:type="dxa"/>
            <w:tcMar/>
            <w:shd w:fill="FFFFFF"/>
          </w:tcPr>
          <w:p>
            <w:pPr>
              <w:spacing w:before="0" w:after="0" w:line="240" w:lineRule="auto"/>
            </w:pPr>
            <w:r>
              <w:rPr>
                <w:rFonts w:ascii="Times New Roman" w:hAnsi="Times New Roman"/>
                <w:b/>
                <w:color w:val="000000"/>
                <w:sz w:val="20"/>
              </w:rPr>
              <w:t>Design</w:t>
            </w:r>
          </w:p>
        </w:tc>
        <w:tc>
          <w:tcPr>
            <w:tcW w:w="7202" w:type="dxa"/>
            <w:tcMar/>
            <w:shd w:fill="FFFFFF"/>
          </w:tcPr>
          <w:p>
            <w:pPr>
              <w:spacing w:before="0" w:after="0" w:line="240" w:lineRule="auto"/>
            </w:pPr>
            <w:r>
              <w:rPr>
                <w:rFonts w:ascii="Times New Roman" w:hAnsi="Times New Roman"/>
                <w:b w:val="0"/>
                <w:color w:val="000000"/>
                <w:sz w:val="20"/>
              </w:rPr>
              <w:t>Confirm exact fields, actor capabilities and open configuration.</w:t>
            </w:r>
          </w:p>
        </w:tc>
      </w:tr>
      <w:tr w:rsidR="005C38FE" w:rsidTr="72D72EE3" w14:paraId="0A0D75B8" w14:textId="77777777">
        <w:trPr>
          <w:cantSplit/>
        </w:trPr>
        <w:tc>
          <w:tcPr>
            <w:tcW w:w="2085" w:type="dxa"/>
            <w:tcMar/>
            <w:shd w:fill="FFFFFF"/>
          </w:tcPr>
          <w:p>
            <w:pPr>
              <w:spacing w:before="0" w:after="0" w:line="240" w:lineRule="auto"/>
            </w:pPr>
            <w:r>
              <w:rPr>
                <w:rFonts w:ascii="Times New Roman" w:hAnsi="Times New Roman"/>
                <w:b/>
                <w:color w:val="000000"/>
                <w:sz w:val="20"/>
              </w:rPr>
              <w:t>Execution</w:t>
            </w:r>
          </w:p>
        </w:tc>
        <w:tc>
          <w:tcPr>
            <w:tcW w:w="7202" w:type="dxa"/>
            <w:tcMar/>
            <w:shd w:fill="FFFFFF"/>
          </w:tcPr>
          <w:p>
            <w:pPr>
              <w:spacing w:before="0" w:after="0" w:line="240" w:lineRule="auto"/>
            </w:pPr>
            <w:r>
              <w:rPr>
                <w:rFonts w:ascii="Times New Roman" w:hAnsi="Times New Roman"/>
                <w:b w:val="0"/>
                <w:color w:val="000000"/>
                <w:sz w:val="20"/>
              </w:rPr>
              <w:t>Perform the authorized module steps and preserve stable references.</w:t>
            </w:r>
          </w:p>
        </w:tc>
      </w:tr>
      <w:tr w:rsidR="005C38FE" w:rsidTr="72D72EE3" w14:paraId="5CB49508" w14:textId="77777777">
        <w:trPr>
          <w:trHeight w:val="285"/>
          <w:cantSplit/>
        </w:trPr>
        <w:tc>
          <w:tcPr>
            <w:tcW w:w="2085" w:type="dxa"/>
            <w:tcMar/>
            <w:shd w:fill="FFFFFF"/>
          </w:tcPr>
          <w:p>
            <w:pPr>
              <w:spacing w:before="0" w:after="0" w:line="240" w:lineRule="auto"/>
            </w:pPr>
            <w:r>
              <w:rPr>
                <w:rFonts w:ascii="Times New Roman" w:hAnsi="Times New Roman"/>
                <w:b/>
                <w:color w:val="000000"/>
                <w:sz w:val="20"/>
              </w:rPr>
              <w:t>Monitoring</w:t>
            </w:r>
          </w:p>
        </w:tc>
        <w:tc>
          <w:tcPr>
            <w:tcW w:w="7202" w:type="dxa"/>
            <w:tcMar/>
            <w:shd w:fill="FFFFFF"/>
          </w:tcPr>
          <w:p>
            <w:pPr>
              <w:spacing w:before="0" w:after="0" w:line="240" w:lineRule="auto"/>
            </w:pPr>
            <w:r>
              <w:rPr>
                <w:rFonts w:ascii="Times New Roman" w:hAnsi="Times New Roman"/>
                <w:b w:val="0"/>
                <w:color w:val="000000"/>
                <w:sz w:val="20"/>
              </w:rPr>
              <w:t>Measure verified outcomes, unresolved work and failures.</w:t>
            </w:r>
          </w:p>
        </w:tc>
      </w:tr>
      <w:tr w:rsidR="005C38FE" w:rsidTr="72D72EE3" w14:paraId="76EE6AD9" w14:textId="77777777">
        <w:trPr>
          <w:cantSplit/>
        </w:trPr>
        <w:tc>
          <w:tcPr>
            <w:tcW w:w="2085" w:type="dxa"/>
            <w:tcMar/>
            <w:shd w:fill="FFFFFF"/>
          </w:tcPr>
          <w:p>
            <w:pPr>
              <w:spacing w:before="0" w:after="0" w:line="240" w:lineRule="auto"/>
            </w:pPr>
            <w:r>
              <w:rPr>
                <w:rFonts w:ascii="Times New Roman" w:hAnsi="Times New Roman"/>
                <w:b/>
                <w:color w:val="000000"/>
                <w:sz w:val="20"/>
              </w:rPr>
              <w:t>Analysis</w:t>
            </w:r>
          </w:p>
        </w:tc>
        <w:tc>
          <w:tcPr>
            <w:tcW w:w="7202" w:type="dxa"/>
            <w:tcMar/>
            <w:shd w:fill="FFFFFF"/>
          </w:tcPr>
          <w:p>
            <w:pPr>
              <w:spacing w:before="0" w:after="0" w:line="240" w:lineRule="auto"/>
            </w:pPr>
            <w:r>
              <w:rPr>
                <w:rFonts w:ascii="Times New Roman" w:hAnsi="Times New Roman"/>
                <w:b w:val="0"/>
                <w:color w:val="000000"/>
                <w:sz w:val="20"/>
              </w:rPr>
              <w:t>Validate outputs against source evidence and acceptance scenarios.</w:t>
            </w:r>
          </w:p>
        </w:tc>
      </w:tr>
      <w:tr w:rsidR="005C38FE" w:rsidTr="72D72EE3" w14:paraId="53237038" w14:textId="77777777">
        <w:trPr>
          <w:cantSplit/>
        </w:trPr>
        <w:tc>
          <w:tcPr>
            <w:tcW w:w="2085" w:type="dxa"/>
            <w:tcMar/>
            <w:shd w:fill="FFFFFF"/>
          </w:tcPr>
          <w:p>
            <w:pPr>
              <w:spacing w:before="0" w:after="0" w:line="240" w:lineRule="auto"/>
            </w:pPr>
            <w:r>
              <w:rPr>
                <w:rFonts w:ascii="Times New Roman" w:hAnsi="Times New Roman"/>
                <w:b/>
                <w:color w:val="000000"/>
                <w:sz w:val="20"/>
              </w:rPr>
              <w:t>Optimization</w:t>
            </w:r>
          </w:p>
        </w:tc>
        <w:tc>
          <w:tcPr>
            <w:tcW w:w="7202" w:type="dxa"/>
            <w:tcMar/>
            <w:shd w:fill="FFFFFF"/>
          </w:tcPr>
          <w:p>
            <w:pPr>
              <w:spacing w:before="0" w:after="0" w:line="240" w:lineRule="auto"/>
            </w:pPr>
            <w:r>
              <w:rPr>
                <w:rFonts w:ascii="Times New Roman" w:hAnsi="Times New Roman"/>
                <w:b w:val="0"/>
                <w:color w:val="000000"/>
                <w:sz w:val="20"/>
              </w:rPr>
              <w:t>Improve a scoped bottleneck without inventing clinical/financial policy.</w:t>
            </w:r>
          </w:p>
        </w:tc>
      </w:tr>
    </w:tbl>
    <w:p w:rsidRPr="00E461F0" w:rsidR="005C38FE" w:rsidP="005C38FE" w:rsidRDefault="005C38FE" w14:paraId="16C632B2" w14:textId="77777777">
      <w:pPr>
        <w:rPr>
          <w:rFonts w:ascii="Calibri" w:hAnsi="Calibri" w:cs="Calibri"/>
          <w:sz w:val="16"/>
          <w:szCs w:val="16"/>
        </w:rPr>
      </w:pPr>
    </w:p>
    <w:tbl>
      <w:tblPr>
        <w:tblStyle w:val="TableGrid"/>
        <w:tblW w:w="0" w:type="auto"/>
        <w:tblLook w:val="04A0" w:firstRow="1" w:lastRow="0" w:firstColumn="1" w:lastColumn="0" w:noHBand="0" w:noVBand="1"/>
        <w:tblBorders>
          <w:top w:val="single" w:sz="4" w:color="D9D9D9"/>
          <w:left w:val="single" w:sz="4" w:color="D9D9D9"/>
          <w:bottom w:val="single" w:sz="4" w:color="D9D9D9"/>
          <w:right w:val="single" w:sz="4" w:color="D9D9D9"/>
          <w:insideH w:val="single" w:sz="4" w:color="D9D9D9"/>
          <w:insideV w:val="single" w:sz="4" w:color="D9D9D9"/>
        </w:tblBorders>
      </w:tblPr>
      <w:tblGrid>
        <w:gridCol w:w="9287"/>
      </w:tblGrid>
      <w:tr w:rsidRPr="004828C5" w:rsidR="00E461F0" w:rsidTr="72D72EE3" w14:paraId="6793BF05" w14:textId="77777777">
        <w:trPr>
          <w:tblHeader/>
          <w:cantSplit/>
        </w:trPr>
        <w:tc>
          <w:tcPr>
            <w:tcW w:w="9287" w:type="dxa"/>
            <w:tcMar/>
            <w:shd w:fill="333333"/>
          </w:tcPr>
          <w:p w:rsidRPr="004828C5" w:rsidR="00E461F0" w:rsidP="004808DA" w:rsidRDefault="00E461F0" w14:paraId="6A5C075F" w14:textId="1783EF9B">
            <w:pPr>
              <w:rPr>
                <w:rFonts w:ascii="Calibri" w:hAnsi="Calibri" w:cs="Calibri"/>
                <w:b/>
                <w:bCs/>
              </w:rPr>
            </w:pPr>
            <w:r>
              <w:rPr>
                <w:rFonts w:ascii="Times New Roman" w:hAnsi="Times New Roman" w:cs="Times New Roman" w:eastAsia="Times New Roman"/>
                <w:b/>
                <w:bCs/>
                <w:color w:val="FFFFFF"/>
              </w:rPr>
              <w:t>13. Evaluation and Recommendation</w:t>
            </w:r>
          </w:p>
        </w:tc>
      </w:tr>
      <w:tr w:rsidRPr="005C38FE" w:rsidR="00E461F0" w:rsidTr="72D72EE3" w14:paraId="1ED3654D" w14:textId="77777777">
        <w:trPr>
          <w:cantSplit/>
        </w:trPr>
        <w:tc>
          <w:tcPr>
            <w:tcW w:w="9287" w:type="dxa"/>
            <w:tcMar/>
            <w:shd w:fill="FFFFFF"/>
          </w:tcPr>
          <w:p>
            <w:pPr>
              <w:spacing w:before="0" w:after="0" w:line="240" w:lineRule="auto"/>
            </w:pPr>
            <w:r>
              <w:rPr>
                <w:rFonts w:ascii="Times New Roman" w:hAnsi="Times New Roman"/>
                <w:b w:val="0"/>
                <w:color w:val="000000"/>
                <w:sz w:val="20"/>
              </w:rPr>
              <w:t>Requirement basis: User confirmation October 12 at 19:14 Asia/Manila: care moves between Dentists/branches with coordination beyond changing an appointment, currently through calls/messages. Implementation coverage: New module; user confirmed October 12 that inter-Dentist/branch handovers are coordinated informally by calls/messages. Existing campaign M25 records are not PatientHandover records. Boundary: M25 owns continuity between Dentists/branches, not a branch-change button or ordinary message. M6 bookings, M8 Visit assignment and M5 care remain authoritative. No generic clinical access, automatic reassignment or rewriting completed care is granted by a handover.</w:t>
            </w:r>
          </w:p>
        </w:tc>
      </w:tr>
    </w:tbl>
    <w:p>
      <w:r>
        <w:rPr>
          <w:rFonts w:ascii="Times New Roman" w:hAnsi="Times New Roman" w:eastAsia="Times New Roman"/>
        </w:rPr>
        <w:br w:type="page"/>
      </w:r>
    </w:p>
    <w:p>
      <w:pPr>
        <w:jc w:val="center"/>
      </w:pPr>
      <w:r>
        <w:rPr>
          <w:rFonts w:ascii="Times New Roman" w:hAnsi="Times New Roman" w:eastAsia="Times New Roman"/>
          <w:b/>
          <w:sz w:val="32"/>
        </w:rPr>
        <w:t>Module Scope Review Signatures</w:t>
      </w:r>
    </w:p>
    <w:p>
      <w:pPr>
        <w:jc w:val="center"/>
      </w:pPr>
      <w:r>
        <w:rPr>
          <w:rFonts w:ascii="Times New Roman" w:hAnsi="Times New Roman" w:eastAsia="Times New Roman"/>
          <w:i/>
          <w:sz w:val="20"/>
        </w:rPr>
        <w:t>This page records review of the 25-module scope and assignments dated October 12, 2026. Signatures do not imply approval of unresolved clinical fields, leave rules, permissions or provider configuration. Those decisions must be recorded in the policy register.</w:t>
      </w:r>
    </w:p>
    <w:p/>
    <w:p>
      <w:r>
        <w:rPr>
          <w:rFonts w:ascii="Times New Roman" w:hAnsi="Times New Roman" w:eastAsia="Times New Roman"/>
          <w:b/>
          <w:sz w:val="24"/>
        </w:rPr>
        <w:t>Prepared By - Module Owners</w:t>
      </w:r>
    </w:p>
    <w:tbl>
      <w:tblPr>
        <w:tblStyle w:val="TableGrid"/>
        <w:tblW w:type="auto" w:w="0"/>
        <w:jc w:val="center"/>
        <w:tblLook w:firstColumn="1" w:firstRow="1" w:lastColumn="0" w:lastRow="0" w:noHBand="0" w:noVBand="1" w:val="04A0"/>
      </w:tblPr>
      <w:tblGrid>
        <w:gridCol w:w="4535"/>
        <w:gridCol w:w="4535"/>
      </w:tblGrid>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Alejo, Hart Jaztin A.</w:t>
              <w:br/>
            </w:r>
            <w:r>
              <w:rPr>
                <w:rFonts w:ascii="Times New Roman" w:hAnsi="Times New Roman" w:eastAsia="Times New Roman"/>
                <w:sz w:val="18"/>
              </w:rPr>
              <w:t>Team Leader / 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Delos Santos, Joevan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Ecal, Richmon</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Licanda, Celin</w:t>
              <w:br/>
            </w:r>
            <w:r>
              <w:rPr>
                <w:rFonts w:ascii="Times New Roman" w:hAnsi="Times New Roman" w:eastAsia="Times New Roman"/>
                <w:sz w:val="18"/>
              </w:rPr>
              <w:t>System-Process Analyst</w:t>
            </w:r>
          </w:p>
        </w:tc>
      </w:tr>
      <w:tr>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r>
              <w:rPr>
                <w:rFonts w:ascii="Times New Roman" w:hAnsi="Times New Roman" w:eastAsia="Times New Roman"/>
                <w:b/>
                <w:sz w:val="20"/>
              </w:rPr>
              <w:t>Millar, John Yzhekiel</w:t>
              <w:br/>
            </w:r>
            <w:r>
              <w:rPr>
                <w:rFonts w:ascii="Times New Roman" w:hAnsi="Times New Roman" w:eastAsia="Times New Roman"/>
                <w:sz w:val="18"/>
              </w:rPr>
              <w:t>System-Process Analyst</w:t>
            </w:r>
          </w:p>
        </w:tc>
        <w:tc>
          <w:tcPr>
            <w:tcW w:type="dxa" w:w="4535"/>
            <w:vAlign w:val="bottom"/>
            <w:tcMar>
              <w:top w:w="100" w:type="dxa"/>
              <w:start w:w="100" w:type="dxa"/>
              <w:bottom w:w="100" w:type="dxa"/>
              <w:end w:w="100" w:type="dxa"/>
            </w:tcMar>
          </w:tcPr>
          <w:p>
            <w:r>
              <w:rPr>
                <w:rFonts w:ascii="Times New Roman" w:hAnsi="Times New Roman" w:eastAsia="Times New Roman"/>
                <w:sz w:val="20"/>
              </w:rPr>
              <w:br/>
              <w:t>______________________________</w:t>
              <w:br/>
            </w:r>
          </w:p>
        </w:tc>
      </w:tr>
    </w:tbl>
    <w:p/>
    <w:tbl>
      <w:tblPr>
        <w:tblStyle w:val="TableGrid"/>
        <w:tblW w:type="auto" w:w="0"/>
        <w:jc w:val="center"/>
        <w:tblLook w:firstColumn="1" w:firstRow="1" w:lastColumn="0" w:lastRow="0" w:noHBand="0" w:noVBand="1" w:val="04A0"/>
      </w:tblPr>
      <w:tblGrid>
        <w:gridCol w:w="4535"/>
        <w:gridCol w:w="4535"/>
      </w:tblGrid>
      <w:tr>
        <w:tc>
          <w:tcPr>
            <w:tcW w:type="dxa" w:w="4535"/>
            <w:tcMar>
              <w:top w:w="150" w:type="dxa"/>
              <w:start w:w="120" w:type="dxa"/>
              <w:bottom w:w="150" w:type="dxa"/>
              <w:end w:w="120" w:type="dxa"/>
            </w:tcMar>
          </w:tcPr>
          <w:p>
            <w:r>
              <w:rPr>
                <w:rFonts w:ascii="Times New Roman" w:hAnsi="Times New Roman" w:eastAsia="Times New Roman"/>
                <w:b/>
                <w:sz w:val="22"/>
              </w:rPr>
              <w:t>Approved By</w:t>
              <w:br/>
              <w:br/>
            </w:r>
            <w:r>
              <w:rPr>
                <w:rFonts w:ascii="Times New Roman" w:hAnsi="Times New Roman" w:eastAsia="Times New Roman"/>
                <w:sz w:val="20"/>
              </w:rPr>
              <w:t>______________________________</w:t>
              <w:br/>
            </w:r>
            <w:r>
              <w:rPr>
                <w:rFonts w:ascii="Times New Roman" w:hAnsi="Times New Roman" w:eastAsia="Times New Roman"/>
                <w:b/>
                <w:sz w:val="20"/>
              </w:rPr>
              <w:t>Hart Jaztin Alejo</w:t>
              <w:br/>
            </w:r>
            <w:r>
              <w:rPr>
                <w:rFonts w:ascii="Times New Roman" w:hAnsi="Times New Roman" w:eastAsia="Times New Roman"/>
                <w:sz w:val="18"/>
              </w:rPr>
              <w:t>Team Leader / System-Process Analyst</w:t>
            </w:r>
          </w:p>
        </w:tc>
        <w:tc>
          <w:tcPr>
            <w:tcW w:type="dxa" w:w="4535"/>
            <w:tcMar>
              <w:top w:w="150" w:type="dxa"/>
              <w:start w:w="120" w:type="dxa"/>
              <w:bottom w:w="150" w:type="dxa"/>
              <w:end w:w="120" w:type="dxa"/>
            </w:tcMar>
          </w:tcPr>
          <w:p>
            <w:r>
              <w:rPr>
                <w:rFonts w:ascii="Times New Roman" w:hAnsi="Times New Roman" w:eastAsia="Times New Roman"/>
                <w:b/>
                <w:sz w:val="22"/>
              </w:rPr>
              <w:t>Client Approval</w:t>
              <w:br/>
              <w:br/>
            </w:r>
            <w:r>
              <w:rPr>
                <w:rFonts w:ascii="Times New Roman" w:hAnsi="Times New Roman" w:eastAsia="Times New Roman"/>
                <w:sz w:val="20"/>
              </w:rPr>
              <w:t>______________________________</w:t>
              <w:br/>
            </w:r>
            <w:r>
              <w:rPr>
                <w:rFonts w:ascii="Times New Roman" w:hAnsi="Times New Roman" w:eastAsia="Times New Roman"/>
                <w:b/>
                <w:sz w:val="20"/>
              </w:rPr>
              <w:t>Dr. Dana Roxas</w:t>
              <w:br/>
            </w:r>
            <w:r>
              <w:rPr>
                <w:rFonts w:ascii="Times New Roman" w:hAnsi="Times New Roman" w:eastAsia="Times New Roman"/>
                <w:sz w:val="18"/>
              </w:rPr>
              <w:t>Clinic Owner</w:t>
            </w:r>
          </w:p>
        </w:tc>
      </w:tr>
    </w:tbl>
    <w:sectPr w:rsidR="00FC693F" w:rsidRPr="0006063C" w:rsidSect="00034616">
      <w:pgSz w:w="11907" w:h="16840"/>
      <w:pgMar w:top="1134" w:right="1418"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Revised 26 Module Process Documentation</dc:title>
  <dc:subject>October 12 scope revision and proposed attendance module replacement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