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دليل Clean Architecture — تطبيق المندوب (delegate_collector)</w:t>
      </w:r>
    </w:p>
    <w:p>
      <w:pPr>
        <w:jc w:val="right"/>
      </w:pPr>
      <w:r>
        <w:t>هذا الملف يشرح كل ملف في المشروع الجديد ومساره ووظيفته. المرجع السلوكي من SalesHaider، والتنفيذ هنا داخل accountant_qlt_system/delegate_collector.</w:t>
      </w:r>
    </w:p>
    <w:p>
      <w:pPr>
        <w:pStyle w:val="Heading1"/>
      </w:pPr>
      <w:r>
        <w:t>1) الطبقات</w:t>
      </w:r>
    </w:p>
    <w:p>
      <w:pPr>
        <w:pStyle w:val="ListBullet"/>
        <w:jc w:val="right"/>
      </w:pPr>
      <w:r>
        <w:t>presentation: الشاشات والتحكم بالواجهة فقط — لا HTTP مباشر.</w:t>
      </w:r>
    </w:p>
    <w:p>
      <w:pPr>
        <w:pStyle w:val="ListBullet"/>
        <w:jc w:val="right"/>
      </w:pPr>
      <w:r>
        <w:t>domain: كيانات + واجهات مستودعات + حالات استخدام (قواعد العمل).</w:t>
      </w:r>
    </w:p>
    <w:p>
      <w:pPr>
        <w:pStyle w:val="ListBullet"/>
        <w:jc w:val="right"/>
      </w:pPr>
      <w:r>
        <w:t>data: تنفيذ الـ API وSQLite وتنفيذ المستودعات.</w:t>
      </w:r>
    </w:p>
    <w:p>
      <w:pPr>
        <w:pStyle w:val="ListBullet"/>
        <w:jc w:val="right"/>
      </w:pPr>
      <w:r>
        <w:t>core: شبكة، أمان، ثيم، قاعدة بيانات مشتركة، موقع، وقت بغداد.</w:t>
      </w:r>
    </w:p>
    <w:p>
      <w:pPr>
        <w:pStyle w:val="Heading1"/>
      </w:pPr>
      <w:r>
        <w:t>2) تدفق التسديد المالي (لا يُكسر)</w:t>
      </w:r>
    </w:p>
    <w:p>
      <w:pPr>
        <w:jc w:val="right"/>
      </w:pPr>
      <w:r>
        <w:t>واجهة التحصيل → CollectPaymentUseCase → طابور SQLite (ClientPaymentId UUID) → PaymentSyncService → POST PostPaymentIdempotent → حذف الصف عند النجاح → ترحيل الصندوق على السيرفر عبر BE_Company (خارج التطبيق).</w:t>
      </w:r>
    </w:p>
    <w:p>
      <w:pPr>
        <w:pStyle w:val="Heading1"/>
      </w:pPr>
      <w:r>
        <w:t>3) فهرس الملفات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المسار</w:t>
            </w:r>
          </w:p>
        </w:tc>
        <w:tc>
          <w:tcPr>
            <w:tcW w:type="dxa" w:w="2880"/>
          </w:tcPr>
          <w:p>
            <w:r>
              <w:t>الطبقة</w:t>
            </w:r>
          </w:p>
        </w:tc>
        <w:tc>
          <w:tcPr>
            <w:tcW w:type="dxa" w:w="2880"/>
          </w:tcPr>
          <w:p>
            <w:r>
              <w:t>ماذا يعمل</w:t>
            </w:r>
          </w:p>
        </w:tc>
      </w:tr>
      <w:tr>
        <w:tc>
          <w:tcPr>
            <w:tcW w:type="dxa" w:w="2880"/>
          </w:tcPr>
          <w:p>
            <w:r>
              <w:t>main.dart</w:t>
            </w:r>
          </w:p>
        </w:tc>
        <w:tc>
          <w:tcPr>
            <w:tcW w:type="dxa" w:w="2880"/>
          </w:tcPr>
          <w:p>
            <w:r>
              <w:t>إقلاع</w:t>
            </w:r>
          </w:p>
        </w:tc>
        <w:tc>
          <w:tcPr>
            <w:tcW w:type="dxa" w:w="2880"/>
          </w:tcPr>
          <w:p>
            <w:r>
              <w:t>نقطة تشغيل التطبيق: تهيئة DI، Crashlytics، خدمات المزامنة، ثم تشغيل App.</w:t>
            </w:r>
          </w:p>
        </w:tc>
      </w:tr>
      <w:tr>
        <w:tc>
          <w:tcPr>
            <w:tcW w:type="dxa" w:w="2880"/>
          </w:tcPr>
          <w:p>
            <w:r>
              <w:t>app.dart</w:t>
            </w:r>
          </w:p>
        </w:tc>
        <w:tc>
          <w:tcPr>
            <w:tcW w:type="dxa" w:w="2880"/>
          </w:tcPr>
          <w:p>
            <w:r>
              <w:t>إقلاع</w:t>
            </w:r>
          </w:p>
        </w:tc>
        <w:tc>
          <w:tcPr>
            <w:tcW w:type="dxa" w:w="2880"/>
          </w:tcPr>
          <w:p>
            <w:r>
              <w:t>MaterialApp RTL، الثيم، والمسارات الرئيسية.</w:t>
            </w:r>
          </w:p>
        </w:tc>
      </w:tr>
      <w:tr>
        <w:tc>
          <w:tcPr>
            <w:tcW w:type="dxa" w:w="2880"/>
          </w:tcPr>
          <w:p>
            <w:r>
              <w:t>injection.dart</w:t>
            </w:r>
          </w:p>
        </w:tc>
        <w:tc>
          <w:tcPr>
            <w:tcW w:type="dxa" w:w="2880"/>
          </w:tcPr>
          <w:p>
            <w:r>
              <w:t>إقلاع</w:t>
            </w:r>
          </w:p>
        </w:tc>
        <w:tc>
          <w:tcPr>
            <w:tcW w:type="dxa" w:w="2880"/>
          </w:tcPr>
          <w:p>
            <w:r>
              <w:t>تسجيل الاعتماديات (GetIt): Dio، قواعد البيانات، المستودعات، حالات الاستخدام.</w:t>
            </w:r>
          </w:p>
        </w:tc>
      </w:tr>
      <w:tr>
        <w:tc>
          <w:tcPr>
            <w:tcW w:type="dxa" w:w="2880"/>
          </w:tcPr>
          <w:p>
            <w:r>
              <w:t>core/theme/app_theme.dart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ثيم موحّد: ألوان الهوية، خط Cairo، أزرار/بطاقات.</w:t>
            </w:r>
          </w:p>
        </w:tc>
      </w:tr>
      <w:tr>
        <w:tc>
          <w:tcPr>
            <w:tcW w:type="dxa" w:w="2880"/>
          </w:tcPr>
          <w:p>
            <w:r>
              <w:t>core/theme/app_colors.dart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ثوابت الألوان (لا ألوان عشوائية داخل الشاشات).</w:t>
            </w:r>
          </w:p>
        </w:tc>
      </w:tr>
      <w:tr>
        <w:tc>
          <w:tcPr>
            <w:tcW w:type="dxa" w:w="2880"/>
          </w:tcPr>
          <w:p>
            <w:r>
              <w:t>core/network/dio_client.dart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عميل Dio مع interceptor لـ X-Async-Id وقياس الزمن ومنع HTTP في الإنتاج.</w:t>
            </w:r>
          </w:p>
        </w:tc>
      </w:tr>
      <w:tr>
        <w:tc>
          <w:tcPr>
            <w:tcW w:type="dxa" w:w="2880"/>
          </w:tcPr>
          <w:p>
            <w:r>
              <w:t>core/network/api_exception.dart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ترجمة أخطاء الشبكة لرسائل عربية للمستخدم.</w:t>
            </w:r>
          </w:p>
        </w:tc>
      </w:tr>
      <w:tr>
        <w:tc>
          <w:tcPr>
            <w:tcW w:type="dxa" w:w="2880"/>
          </w:tcPr>
          <w:p>
            <w:r>
              <w:t>core/security/secure_session_store.dart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حفظ AsyncId وLinkDelegate وDelegateId في flutter_secure_storage فقط.</w:t>
            </w:r>
          </w:p>
        </w:tc>
      </w:tr>
      <w:tr>
        <w:tc>
          <w:tcPr>
            <w:tcW w:type="dxa" w:w="2880"/>
          </w:tcPr>
          <w:p>
            <w:r>
              <w:t>core/security/url_policy.dart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سياسة المضيفين الموثوقين ورفض cleartext في release.</w:t>
            </w:r>
          </w:p>
        </w:tc>
      </w:tr>
      <w:tr>
        <w:tc>
          <w:tcPr>
            <w:tcW w:type="dxa" w:w="2880"/>
          </w:tcPr>
          <w:p>
            <w:r>
              <w:t>core/location/location_service.dart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جلب GPS الحقيقي أو فشل صريح — بدون إحداثيات وهمية.</w:t>
            </w:r>
          </w:p>
        </w:tc>
      </w:tr>
      <w:tr>
        <w:tc>
          <w:tcPr>
            <w:tcW w:type="dxa" w:w="2880"/>
          </w:tcPr>
          <w:p>
            <w:r>
              <w:t>core/time/iraq_date.dart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يوم العمل بتوقيت بغداد (بداية اليوم 03:00) وقفل التحصيل اليومي.</w:t>
            </w:r>
          </w:p>
        </w:tc>
      </w:tr>
      <w:tr>
        <w:tc>
          <w:tcPr>
            <w:tcW w:type="dxa" w:w="2880"/>
          </w:tcPr>
          <w:p>
            <w:r>
              <w:t>core/database/app_database.dart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فتح SQLite وترحيل الجداول (Customer, PendingPayment, BusinessDayLock).</w:t>
            </w:r>
          </w:p>
        </w:tc>
      </w:tr>
      <w:tr>
        <w:tc>
          <w:tcPr>
            <w:tcW w:type="dxa" w:w="2880"/>
          </w:tcPr>
          <w:p>
            <w:r>
              <w:t>core/database/tables.dart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تعريف جداول الأوفلاين والحقول المالية الحرجة.</w:t>
            </w:r>
          </w:p>
        </w:tc>
      </w:tr>
      <w:tr>
        <w:tc>
          <w:tcPr>
            <w:tcW w:type="dxa" w:w="2880"/>
          </w:tcPr>
          <w:p>
            <w:r>
              <w:t>core/update/update_remote.dart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فحص إصدار التطبيق من الـ gateway.</w:t>
            </w:r>
          </w:p>
        </w:tc>
      </w:tr>
      <w:tr>
        <w:tc>
          <w:tcPr>
            <w:tcW w:type="dxa" w:w="2880"/>
          </w:tcPr>
          <w:p>
            <w:r>
              <w:t>core/update/update_gate.dart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شاشة تحديث إجباري قبل الدخول للعمل.</w:t>
            </w:r>
          </w:p>
        </w:tc>
      </w:tr>
      <w:tr>
        <w:tc>
          <w:tcPr>
            <w:tcW w:type="dxa" w:w="2880"/>
          </w:tcPr>
          <w:p>
            <w:r>
              <w:t>core/widgets/app_scaffold.dart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هيكل شاشة مشترك مع حالات تحميل/خطأ/فارغ.</w:t>
            </w:r>
          </w:p>
        </w:tc>
      </w:tr>
      <w:tr>
        <w:tc>
          <w:tcPr>
            <w:tcW w:type="dxa" w:w="2880"/>
          </w:tcPr>
          <w:p>
            <w:r>
              <w:t>core/widgets/empty_state.dart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حالة فارغة موحّدة.</w:t>
            </w:r>
          </w:p>
        </w:tc>
      </w:tr>
      <w:tr>
        <w:tc>
          <w:tcPr>
            <w:tcW w:type="dxa" w:w="2880"/>
          </w:tcPr>
          <w:p>
            <w:r>
              <w:t>core/widgets/error_state.dart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حالة خطأ مع زر إعادة محاولة.</w:t>
            </w:r>
          </w:p>
        </w:tc>
      </w:tr>
      <w:tr>
        <w:tc>
          <w:tcPr>
            <w:tcW w:type="dxa" w:w="2880"/>
          </w:tcPr>
          <w:p>
            <w:r>
              <w:t>core/widgets/loading_view.dart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مؤشر تحميل موحّد.</w:t>
            </w:r>
          </w:p>
        </w:tc>
      </w:tr>
      <w:tr>
        <w:tc>
          <w:tcPr>
            <w:tcW w:type="dxa" w:w="2880"/>
          </w:tcPr>
          <w:p>
            <w:r>
              <w:t>features/auth/domain/entities/delegate_session.dart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كيان الجلسة: delegateId, asyncId, apiBase.</w:t>
            </w:r>
          </w:p>
        </w:tc>
      </w:tr>
      <w:tr>
        <w:tc>
          <w:tcPr>
            <w:tcW w:type="dxa" w:w="2880"/>
          </w:tcPr>
          <w:p>
            <w:r>
              <w:t>features/auth/domain/entities/city.dart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كيان المحافظة/المدينة ورابط الفرع.</w:t>
            </w:r>
          </w:p>
        </w:tc>
      </w:tr>
      <w:tr>
        <w:tc>
          <w:tcPr>
            <w:tcW w:type="dxa" w:w="2880"/>
          </w:tcPr>
          <w:p>
            <w:r>
              <w:t>features/auth/domain/repositories/auth_repository.dart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واجهة مجردة لتسجيل الدخول والخروج والتحقق من الجلسة.</w:t>
            </w:r>
          </w:p>
        </w:tc>
      </w:tr>
      <w:tr>
        <w:tc>
          <w:tcPr>
            <w:tcW w:type="dxa" w:w="2880"/>
          </w:tcPr>
          <w:p>
            <w:r>
              <w:t>features/auth/domain/usecases/login_usecase.dart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حالة استخدام: اختيار مدينة + رمز → جلسة آمنة.</w:t>
            </w:r>
          </w:p>
        </w:tc>
      </w:tr>
      <w:tr>
        <w:tc>
          <w:tcPr>
            <w:tcW w:type="dxa" w:w="2880"/>
          </w:tcPr>
          <w:p>
            <w:r>
              <w:t>features/auth/domain/usecases/logout_usecase.dart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خروج مع حماية طابور التسديدات المعلّق.</w:t>
            </w:r>
          </w:p>
        </w:tc>
      </w:tr>
      <w:tr>
        <w:tc>
          <w:tcPr>
            <w:tcW w:type="dxa" w:w="2880"/>
          </w:tcPr>
          <w:p>
            <w:r>
              <w:t>features/auth/data/auth_remote_datasource.dart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استدعاء GetDelegateLogin وكتالوج المدن.</w:t>
            </w:r>
          </w:p>
        </w:tc>
      </w:tr>
      <w:tr>
        <w:tc>
          <w:tcPr>
            <w:tcW w:type="dxa" w:w="2880"/>
          </w:tcPr>
          <w:p>
            <w:r>
              <w:t>features/auth/data/auth_repository_impl.dart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تنفيذ المستودع: remote + SecureSessionStore.</w:t>
            </w:r>
          </w:p>
        </w:tc>
      </w:tr>
      <w:tr>
        <w:tc>
          <w:tcPr>
            <w:tcW w:type="dxa" w:w="2880"/>
          </w:tcPr>
          <w:p>
            <w:r>
              <w:t>features/auth/presentation/login_page.dart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شاشة الدخول RTL.</w:t>
            </w:r>
          </w:p>
        </w:tc>
      </w:tr>
      <w:tr>
        <w:tc>
          <w:tcPr>
            <w:tcW w:type="dxa" w:w="2880"/>
          </w:tcPr>
          <w:p>
            <w:r>
              <w:t>features/auth/presentation/login_controller.dart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منطق واجهة الدخول (تحميل/خطأ).</w:t>
            </w:r>
          </w:p>
        </w:tc>
      </w:tr>
      <w:tr>
        <w:tc>
          <w:tcPr>
            <w:tcW w:type="dxa" w:w="2880"/>
          </w:tcPr>
          <w:p>
            <w:r>
              <w:t>features/customers/domain/entities/customer.dart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كيان الزبون للحقل والتحصيل.</w:t>
            </w:r>
          </w:p>
        </w:tc>
      </w:tr>
      <w:tr>
        <w:tc>
          <w:tcPr>
            <w:tcW w:type="dxa" w:w="2880"/>
          </w:tcPr>
          <w:p>
            <w:r>
              <w:t>features/customers/domain/repositories/customers_repository.dart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واجهة جلب/تحديث الزبائن محلياً وعن بُعد.</w:t>
            </w:r>
          </w:p>
        </w:tc>
      </w:tr>
      <w:tr>
        <w:tc>
          <w:tcPr>
            <w:tcW w:type="dxa" w:w="2880"/>
          </w:tcPr>
          <w:p>
            <w:r>
              <w:t>features/customers/domain/usecases/refresh_customers_usecase.dart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تحديث صامت للزبائن بدون تجميد الواجهة.</w:t>
            </w:r>
          </w:p>
        </w:tc>
      </w:tr>
      <w:tr>
        <w:tc>
          <w:tcPr>
            <w:tcW w:type="dxa" w:w="2880"/>
          </w:tcPr>
          <w:p>
            <w:r>
              <w:t>features/customers/domain/usecases/get_local_customers_usecase.dart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قراءة سريعة من SQLite للعرض.</w:t>
            </w:r>
          </w:p>
        </w:tc>
      </w:tr>
      <w:tr>
        <w:tc>
          <w:tcPr>
            <w:tcW w:type="dxa" w:w="2880"/>
          </w:tcPr>
          <w:p>
            <w:r>
              <w:t>features/customers/data/customers_remote_datasource.dart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GetCustomersDelegateAll وGetCustomersDataInfo وGetDateWeek.</w:t>
            </w:r>
          </w:p>
        </w:tc>
      </w:tr>
      <w:tr>
        <w:tc>
          <w:tcPr>
            <w:tcW w:type="dxa" w:w="2880"/>
          </w:tcPr>
          <w:p>
            <w:r>
              <w:t>features/customers/data/customers_local_datasource.dart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CRUD زبائن في SQLite.</w:t>
            </w:r>
          </w:p>
        </w:tc>
      </w:tr>
      <w:tr>
        <w:tc>
          <w:tcPr>
            <w:tcW w:type="dxa" w:w="2880"/>
          </w:tcPr>
          <w:p>
            <w:r>
              <w:t>features/customers/data/customers_repository_impl.dart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دمج remote/local مع تحديث تفاضلي إن أمكن.</w:t>
            </w:r>
          </w:p>
        </w:tc>
      </w:tr>
      <w:tr>
        <w:tc>
          <w:tcPr>
            <w:tcW w:type="dxa" w:w="2880"/>
          </w:tcPr>
          <w:p>
            <w:r>
              <w:t>features/customers/presentation/customers_page.dart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قائمة الزبائن مع بحث.</w:t>
            </w:r>
          </w:p>
        </w:tc>
      </w:tr>
      <w:tr>
        <w:tc>
          <w:tcPr>
            <w:tcW w:type="dxa" w:w="2880"/>
          </w:tcPr>
          <w:p>
            <w:r>
              <w:t>features/customers/presentation/customer_detail_page.dart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تفاصيل الزبون وزر التسديد.</w:t>
            </w:r>
          </w:p>
        </w:tc>
      </w:tr>
      <w:tr>
        <w:tc>
          <w:tcPr>
            <w:tcW w:type="dxa" w:w="2880"/>
          </w:tcPr>
          <w:p>
            <w:r>
              <w:t>features/payments/domain/entities/pending_payment.dart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كيان تسديد معلّق: ClientPaymentId, مبلغ, حالة مزامنة.</w:t>
            </w:r>
          </w:p>
        </w:tc>
      </w:tr>
      <w:tr>
        <w:tc>
          <w:tcPr>
            <w:tcW w:type="dxa" w:w="2880"/>
          </w:tcPr>
          <w:p>
            <w:r>
              <w:t>features/payments/domain/repositories/payments_repository.dart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واجهة إضافة تسديد محلي ومزامنة الرفع.</w:t>
            </w:r>
          </w:p>
        </w:tc>
      </w:tr>
      <w:tr>
        <w:tc>
          <w:tcPr>
            <w:tcW w:type="dxa" w:w="2880"/>
          </w:tcPr>
          <w:p>
            <w:r>
              <w:t>features/payments/domain/usecases/collect_payment_usecase.dart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تحصيل أوفلاين: GPS + قفل يوم + إدراج طابور + إيصال.</w:t>
            </w:r>
          </w:p>
        </w:tc>
      </w:tr>
      <w:tr>
        <w:tc>
          <w:tcPr>
            <w:tcW w:type="dxa" w:w="2880"/>
          </w:tcPr>
          <w:p>
            <w:r>
              <w:t>features/payments/domain/usecases/sync_pending_payments_usecase.dart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رفع الطابور عبر PostPaymentIdempotent.</w:t>
            </w:r>
          </w:p>
        </w:tc>
      </w:tr>
      <w:tr>
        <w:tc>
          <w:tcPr>
            <w:tcW w:type="dxa" w:w="2880"/>
          </w:tcPr>
          <w:p>
            <w:r>
              <w:t>features/payments/data/payments_remote_datasource.dart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PostPaymentIdempotent وسجل التسديدات.</w:t>
            </w:r>
          </w:p>
        </w:tc>
      </w:tr>
      <w:tr>
        <w:tc>
          <w:tcPr>
            <w:tcW w:type="dxa" w:w="2880"/>
          </w:tcPr>
          <w:p>
            <w:r>
              <w:t>features/payments/data/payments_local_datasource.dart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طابور SQLite + قفل يوم العمل.</w:t>
            </w:r>
          </w:p>
        </w:tc>
      </w:tr>
      <w:tr>
        <w:tc>
          <w:tcPr>
            <w:tcW w:type="dxa" w:w="2880"/>
          </w:tcPr>
          <w:p>
            <w:r>
              <w:t>features/payments/data/payments_repository_impl.dart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تنفيذ المستودع المالي.</w:t>
            </w:r>
          </w:p>
        </w:tc>
      </w:tr>
      <w:tr>
        <w:tc>
          <w:tcPr>
            <w:tcW w:type="dxa" w:w="2880"/>
          </w:tcPr>
          <w:p>
            <w:r>
              <w:t>features/payments/data/payment_sync_service.dart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مزامنة خلفية عند عودة النت وresume.</w:t>
            </w:r>
          </w:p>
        </w:tc>
      </w:tr>
      <w:tr>
        <w:tc>
          <w:tcPr>
            <w:tcW w:type="dxa" w:w="2880"/>
          </w:tcPr>
          <w:p>
            <w:r>
              <w:t>features/payments/presentation/today_payments_page.dart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تسديدات اليوم.</w:t>
            </w:r>
          </w:p>
        </w:tc>
      </w:tr>
      <w:tr>
        <w:tc>
          <w:tcPr>
            <w:tcW w:type="dxa" w:w="2880"/>
          </w:tcPr>
          <w:p>
            <w:r>
              <w:t>features/payments/presentation/collect_payment_sheet.dart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إدخال المبلغ وتأكيد التحصيل.</w:t>
            </w:r>
          </w:p>
        </w:tc>
      </w:tr>
      <w:tr>
        <w:tc>
          <w:tcPr>
            <w:tcW w:type="dxa" w:w="2880"/>
          </w:tcPr>
          <w:p>
            <w:r>
              <w:t>features/receipts/domain/usecases/build_receipt_pdf_usecase.dart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توليد PDF الإيصال.</w:t>
            </w:r>
          </w:p>
        </w:tc>
      </w:tr>
      <w:tr>
        <w:tc>
          <w:tcPr>
            <w:tcW w:type="dxa" w:w="2880"/>
          </w:tcPr>
          <w:p>
            <w:r>
              <w:t>features/receipts/data/receipt_pdf_builder.dart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بناء PDF بخط عربي.</w:t>
            </w:r>
          </w:p>
        </w:tc>
      </w:tr>
      <w:tr>
        <w:tc>
          <w:tcPr>
            <w:tcW w:type="dxa" w:w="2880"/>
          </w:tcPr>
          <w:p>
            <w:r>
              <w:t>features/receipts/presentation/receipt_preview_page.dart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معاينة/مشاركة الإيصال.</w:t>
            </w:r>
          </w:p>
        </w:tc>
      </w:tr>
      <w:tr>
        <w:tc>
          <w:tcPr>
            <w:tcW w:type="dxa" w:w="2880"/>
          </w:tcPr>
          <w:p>
            <w:r>
              <w:t>features/home/domain/repositories/home_repository.dart</w:t>
            </w:r>
          </w:p>
        </w:tc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عنوان المندوب وبيانات الرئيسية.</w:t>
            </w:r>
          </w:p>
        </w:tc>
      </w:tr>
      <w:tr>
        <w:tc>
          <w:tcPr>
            <w:tcW w:type="dxa" w:w="2880"/>
          </w:tcPr>
          <w:p>
            <w:r>
              <w:t>features/home/data/home_remote_datasource.dart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GetDelegateTitle وإعلانات (لاحقاً).</w:t>
            </w:r>
          </w:p>
        </w:tc>
      </w:tr>
      <w:tr>
        <w:tc>
          <w:tcPr>
            <w:tcW w:type="dxa" w:w="2880"/>
          </w:tcPr>
          <w:p>
            <w:r>
              <w:t>features/home/data/home_repository_impl.dart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تنفيذ مستودع الرئيسية.</w:t>
            </w:r>
          </w:p>
        </w:tc>
      </w:tr>
      <w:tr>
        <w:tc>
          <w:tcPr>
            <w:tcW w:type="dxa" w:w="2880"/>
          </w:tcPr>
          <w:p>
            <w:r>
              <w:t>features/home/presentation/home_shell.dart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الشريط السفلي: رئيسية / تسديدات / زبائن.</w:t>
            </w:r>
          </w:p>
        </w:tc>
      </w:tr>
      <w:tr>
        <w:tc>
          <w:tcPr>
            <w:tcW w:type="dxa" w:w="2880"/>
          </w:tcPr>
          <w:p>
            <w:r>
              <w:t>features/home/presentation/home_page.dart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لوحة الرئيسية مع حالة المزامنة.</w:t>
            </w:r>
          </w:p>
        </w:tc>
      </w:tr>
      <w:tr>
        <w:tc>
          <w:tcPr>
            <w:tcW w:type="dxa" w:w="2880"/>
          </w:tcPr>
          <w:p>
            <w:r>
              <w:t>features/sync/presentation/sync_status_banner.dart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عرض عدد المعلّق وزر إرسال الآن.</w:t>
            </w:r>
          </w:p>
        </w:tc>
      </w:tr>
    </w:tbl>
    <w:p>
      <w:pPr>
        <w:pStyle w:val="Heading1"/>
      </w:pPr>
      <w:r>
        <w:t>4) قواعد أمان في هذه النسخة</w:t>
      </w:r>
    </w:p>
    <w:p>
      <w:pPr>
        <w:pStyle w:val="ListBullet"/>
        <w:jc w:val="right"/>
      </w:pPr>
      <w:r>
        <w:t>AsyncId فقط في flutter_secure_storage — ليس SharedPreferences.</w:t>
      </w:r>
    </w:p>
    <w:p>
      <w:pPr>
        <w:pStyle w:val="ListBullet"/>
        <w:jc w:val="right"/>
      </w:pPr>
      <w:r>
        <w:t>إرسال الهوية عبر header X-Async-Id قدر الإمكان؛ تجنب وضع الرمز في URL في الكود الجديد.</w:t>
      </w:r>
    </w:p>
    <w:p>
      <w:pPr>
        <w:pStyle w:val="ListBullet"/>
        <w:jc w:val="right"/>
      </w:pPr>
      <w:r>
        <w:t>لا GPS وهمي (1111,1111).</w:t>
      </w:r>
    </w:p>
    <w:p>
      <w:pPr>
        <w:pStyle w:val="ListBullet"/>
        <w:jc w:val="right"/>
      </w:pPr>
      <w:r>
        <w:t>لا cleartext في build الإنتاج.</w:t>
      </w:r>
    </w:p>
    <w:p>
      <w:pPr>
        <w:pStyle w:val="ListBullet"/>
        <w:jc w:val="right"/>
      </w:pPr>
      <w:r>
        <w:t>رفض تسديد زبون خارج نطاق المندوب قبل الإدراج في الطابور.</w:t>
      </w:r>
    </w:p>
    <w:p>
      <w:pPr>
        <w:pStyle w:val="Heading1"/>
      </w:pPr>
      <w:r>
        <w:t>5) علاقة الملفات بـ Excel</w:t>
      </w:r>
    </w:p>
    <w:p>
      <w:pPr>
        <w:jc w:val="right"/>
      </w:pPr>
      <w:r>
        <w:t>ملف Excel المرافق Delegate_API_Documentation.xlsx يحتوي: ورقة API_Endpoints (كل endpoint ومسار الملف الذي يستدعيه)، ورقة Acceptance_Matrix (اختبارات القبول)، ورقة Architecture_Files (نفس فهرس هذا المستند)، ورقة Scope (من أين يستقبل / لا يستقبل).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