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features/payments/domain/entities/pending_payment.dart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delegate_collector/lib/features/payments/domain/entities/pending_payment.dart</w:t>
      </w:r>
    </w:p>
    <w:p>
      <w:pPr>
        <w:jc w:val="right"/>
      </w:pPr>
      <w:r>
        <w:rPr>
          <w:b/>
        </w:rPr>
        <w:t xml:space="preserve">الطبقة: </w:t>
      </w:r>
      <w:r>
        <w:t>domain</w:t>
      </w:r>
    </w:p>
    <w:p>
      <w:pPr>
        <w:jc w:val="right"/>
      </w:pPr>
      <w:r>
        <w:rPr>
          <w:b/>
        </w:rPr>
        <w:t xml:space="preserve">ماذا يعمل: </w:t>
      </w:r>
      <w:r>
        <w:t>كيان تسديد معلّق: ClientPaymentId, مبلغ, حالة مزامنة.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