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features/payments/domain/usecases/sync_pending_payments_usecase.dart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delegate_collector/lib/features/payments/domain/usecases/sync_pending_payments_usecase.dart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رفع الطابور عبر PostPaymentIdempotent.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