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 w:line="264" w:lineRule="auto"/>
      </w:pPr>
      <w:r>
        <w:rPr>
          <w:rFonts w:ascii="Calibri" w:hAnsi="Calibri"/>
          <w:b/>
          <w:color w:val="1F4D78"/>
          <w:sz w:val="52"/>
        </w:rPr>
        <w:t>Roteiro da Apresentação</w:t>
      </w:r>
    </w:p>
    <w:p>
      <w:pPr>
        <w:spacing w:before="0" w:after="400" w:line="264" w:lineRule="auto"/>
      </w:pPr>
      <w:r>
        <w:rPr>
          <w:rFonts w:ascii="Calibri" w:hAnsi="Calibri"/>
          <w:color w:val="595959"/>
          <w:sz w:val="26"/>
        </w:rPr>
        <w:t>Textos exibidos nos slides - Um Pipeline de Visão Computacional</w:t>
      </w:r>
    </w:p>
    <w:p>
      <w:pPr>
        <w:spacing w:before="0" w:after="280" w:line="264" w:lineRule="auto"/>
      </w:pPr>
      <w:r>
        <w:rPr>
          <w:rFonts w:ascii="Calibri" w:hAnsi="Calibri"/>
          <w:sz w:val="22"/>
        </w:rPr>
        <w:t>Este documento reúne, na ordem de apresentação, todos os textos visíveis da versão final dos slides.</w:t>
      </w:r>
    </w:p>
    <w:p>
      <w:pPr>
        <w:pStyle w:val="Heading1"/>
      </w:pPr>
      <w:r>
        <w:rPr>
          <w:rFonts w:ascii="Calibri" w:hAnsi="Calibri"/>
          <w:b/>
          <w:color w:val="2E74B5"/>
          <w:sz w:val="32"/>
        </w:rPr>
        <w:t>Slide 1 - UmPipeline de Visão Computacional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sz w:val="22"/>
        </w:rPr>
        <w:t>Análise de Achados Hiperecogênicos em Ultrassonografia Renal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sz w:val="22"/>
        </w:rPr>
        <w:t>Jefferson S. dos Anjos et al.</w:t>
        <w:br/>
        <w:t>CEFET/RJ e HUPE - UERJ</w:t>
      </w:r>
    </w:p>
    <w:p>
      <w:pPr>
        <w:pStyle w:val="Heading1"/>
      </w:pPr>
      <w:r>
        <w:rPr>
          <w:rFonts w:ascii="Calibri" w:hAnsi="Calibri"/>
          <w:b/>
          <w:color w:val="2E74B5"/>
          <w:sz w:val="32"/>
        </w:rPr>
        <w:t>Slide 2 - ROTEIRO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sz w:val="22"/>
        </w:rPr>
        <w:t>Contexto e objetivo</w:t>
        <w:br/>
        <w:t>Por que delimitar o rim primeiro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sz w:val="22"/>
        </w:rPr>
        <w:t>Metodologia</w:t>
        <w:br/>
        <w:t>Cascata em três etapas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sz w:val="22"/>
        </w:rPr>
        <w:t>Dados e protocolo</w:t>
        <w:br/>
        <w:t>Conjuntos auditados e partições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sz w:val="22"/>
        </w:rPr>
        <w:t>Resultados da cápsula</w:t>
        <w:br/>
        <w:t>Seleção do segmentador renal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sz w:val="22"/>
        </w:rPr>
        <w:t>Consenso e regiões internas</w:t>
        <w:br/>
        <w:t>Triagem e segmentação multiclasse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sz w:val="22"/>
        </w:rPr>
        <w:t>Conclusões</w:t>
        <w:br/>
        <w:t>Limites e próximos passos</w:t>
      </w:r>
    </w:p>
    <w:p>
      <w:pPr>
        <w:pStyle w:val="Heading1"/>
      </w:pPr>
      <w:r>
        <w:rPr>
          <w:rFonts w:ascii="Calibri" w:hAnsi="Calibri"/>
          <w:b/>
          <w:color w:val="2E74B5"/>
          <w:sz w:val="32"/>
        </w:rPr>
        <w:t>Slide 3 - CONTEXTO E OBJETIVO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sz w:val="22"/>
        </w:rPr>
        <w:t>Analisar estruturas internas requer uma ROI renal confiável.</w:t>
      </w:r>
    </w:p>
    <w:p>
      <w:pPr>
        <w:pStyle w:val="Heading1"/>
      </w:pPr>
      <w:r>
        <w:rPr>
          <w:rFonts w:ascii="Calibri" w:hAnsi="Calibri"/>
          <w:b/>
          <w:color w:val="2E74B5"/>
          <w:sz w:val="32"/>
        </w:rPr>
        <w:t>Slide 4 - Delimitar o rim reduz falsos achados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sz w:val="22"/>
        </w:rPr>
        <w:t>PROBLEMA</w:t>
        <w:br/>
        <w:t>A interpretação de ultrassonografias renais ainda depende fortemente da inspeção visual subjetiva do especialista e da delimitação manual/anatômica do rim. Regiões hiperecogênicas próximas às pirâmides renais podem indicar achados suspeitos, mas a presença de ruído, sombras acústicas, variações de ganho e diferenças de enquadramento dificulta sua análise automática. Sem uma máscara renal confiável, áreas muito claras podem ser confundidas com artefatos ou estruturas externas ao rim.</w:t>
      </w:r>
    </w:p>
    <w:p>
      <w:pPr>
        <w:pStyle w:val="Heading1"/>
      </w:pPr>
      <w:r>
        <w:rPr>
          <w:rFonts w:ascii="Calibri" w:hAnsi="Calibri"/>
          <w:b/>
          <w:color w:val="2E74B5"/>
          <w:sz w:val="32"/>
        </w:rPr>
        <w:t>Slide 5 - Delimitar o rim reduz falsos achados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sz w:val="22"/>
        </w:rPr>
        <w:t>OBJETIVO</w:t>
        <w:br/>
        <w:t>Propor um pipeline de visão computacional para análise de ultrassonografias renais, composto por três etapas: segmentação da cápsula renal, verificação da segmentação por consenso entre modelos e segmentação de estruturas intrarrenais. A partir dessa delimitação progressiva, o método busca restringir a análise ao interior do rim e apoiar a investigação exploratória de achados hiperecogênicos suspeitos.</w:t>
      </w:r>
    </w:p>
    <w:p>
      <w:pPr>
        <w:pStyle w:val="Heading1"/>
      </w:pPr>
      <w:r>
        <w:rPr>
          <w:rFonts w:ascii="Calibri" w:hAnsi="Calibri"/>
          <w:b/>
          <w:color w:val="2E74B5"/>
          <w:sz w:val="32"/>
        </w:rPr>
        <w:t>Slide 6 - Delimitar o rim reduz falsos achados</w:t>
      </w:r>
    </w:p>
    <w:p>
      <w:pPr>
        <w:spacing w:before="0" w:after="120" w:line="264" w:lineRule="auto"/>
      </w:pPr>
      <w:r>
        <w:rPr>
          <w:rFonts w:ascii="Calibri" w:hAnsi="Calibri"/>
          <w:color w:val="595959"/>
          <w:sz w:val="22"/>
        </w:rPr>
        <w:t>(Slide visual sem texto adicional.)</w:t>
      </w:r>
    </w:p>
    <w:p>
      <w:pPr>
        <w:pStyle w:val="Heading1"/>
      </w:pPr>
      <w:r>
        <w:rPr>
          <w:rFonts w:ascii="Calibri" w:hAnsi="Calibri"/>
          <w:b/>
          <w:color w:val="2E74B5"/>
          <w:sz w:val="32"/>
        </w:rPr>
        <w:t>Slide 7 - METODOLOGIA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sz w:val="22"/>
        </w:rPr>
        <w:t>A região analisada é delimitada progressivamente.</w:t>
      </w:r>
    </w:p>
    <w:p>
      <w:pPr>
        <w:pStyle w:val="Heading1"/>
      </w:pPr>
      <w:r>
        <w:rPr>
          <w:rFonts w:ascii="Calibri" w:hAnsi="Calibri"/>
          <w:b/>
          <w:color w:val="2E74B5"/>
          <w:sz w:val="32"/>
        </w:rPr>
        <w:t>Slide 8 - Cascata em três etapas encadeadas: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sz w:val="22"/>
        </w:rPr>
        <w:t>Segmentação da cápsula renal</w:t>
        <w:br/>
        <w:br/>
        <w:t xml:space="preserve">Nesta primeira etapa, o objetivo é localizar e delimitar corretamente o rim na imagem de ultrassom. </w:t>
        <w:br/>
        <w:t xml:space="preserve">As imagens passam por pré-processamento com CLAHE para melhorar o contraste e, em seguida, diferentes arquiteturas de segmentação são avaliadas. </w:t>
        <w:br/>
        <w:t xml:space="preserve">A U-Net apresentou o melhor desempenho no conjunto de teste, com Dice de 0,9290, sendo selecionada para a geração das pseudomáscaras nas imagens externas. </w:t>
        <w:br/>
        <w:t>Essa etapa é fundamental porque todas as análises posteriores ficam restritas à região renal identificada.</w:t>
      </w:r>
    </w:p>
    <w:p>
      <w:pPr>
        <w:pStyle w:val="Heading1"/>
      </w:pPr>
      <w:r>
        <w:rPr>
          <w:rFonts w:ascii="Calibri" w:hAnsi="Calibri"/>
          <w:b/>
          <w:color w:val="2E74B5"/>
          <w:sz w:val="32"/>
        </w:rPr>
        <w:t>Slide 9 - Cascata em três etapas encadeadas: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sz w:val="22"/>
        </w:rPr>
        <w:t>Verificação por consenso entre modelos</w:t>
        <w:br/>
        <w:br/>
        <w:t xml:space="preserve">Depois da segmentação inicial, a qualidade das pseudomáscaras é verificada por meio da concordância entre a U-Net e a DeepLabV3. </w:t>
        <w:br/>
        <w:t xml:space="preserve">Para cada imagem, as máscaras produzidas pelos dois modelos são comparadas utilizando o coeficiente Dice. </w:t>
        <w:br/>
        <w:t>Esse consenso não produz uma nova máscara, mas funciona como um indicador de confiabilidade da segmentação e permite classificar os casos em concordância alta, intermediária ou baixa, ajudando a definir quais imagens devem receber maior prioridade na revisão humana.</w:t>
      </w:r>
    </w:p>
    <w:p>
      <w:pPr>
        <w:pStyle w:val="Heading1"/>
      </w:pPr>
      <w:r>
        <w:rPr>
          <w:rFonts w:ascii="Calibri" w:hAnsi="Calibri"/>
          <w:b/>
          <w:color w:val="2E74B5"/>
          <w:sz w:val="32"/>
        </w:rPr>
        <w:t>Slide 10 - Cascata em três etapas encadeadas: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sz w:val="22"/>
        </w:rPr>
        <w:t>Segmentação das estruturas intrarrenais</w:t>
        <w:br/>
        <w:br/>
        <w:t xml:space="preserve">Após a delimitação do rim, a máscara da cápsula é utilizada para definir a região de interesse. </w:t>
        <w:br/>
        <w:t xml:space="preserve">A partir dessa região, uma U-Net multiclasse realiza a segmentação de três estruturas internas: córtex, medula e complexo ecogênico central. </w:t>
        <w:br/>
        <w:t xml:space="preserve">Essa segmentação fornece uma representação anatômica mais detalhada do interior do rim e permite restringir posteriormente a análise de regiões hiperecogênicas suspeitas. </w:t>
        <w:br/>
        <w:t>No conjunto de teste anotado manualmente, a U-Net alcançou Dice médio de 0,7594.</w:t>
      </w:r>
    </w:p>
    <w:p>
      <w:pPr>
        <w:pStyle w:val="Heading1"/>
      </w:pPr>
      <w:r>
        <w:rPr>
          <w:rFonts w:ascii="Calibri" w:hAnsi="Calibri"/>
          <w:b/>
          <w:color w:val="2E74B5"/>
          <w:sz w:val="32"/>
        </w:rPr>
        <w:t>Slide 11 - Dados e protocolo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sz w:val="22"/>
        </w:rPr>
        <w:t>Conjuntos auditados e partições.</w:t>
      </w:r>
    </w:p>
    <w:p>
      <w:pPr>
        <w:pStyle w:val="Heading1"/>
      </w:pPr>
      <w:r>
        <w:rPr>
          <w:rFonts w:ascii="Calibri" w:hAnsi="Calibri"/>
          <w:b/>
          <w:color w:val="2E74B5"/>
          <w:sz w:val="32"/>
        </w:rPr>
        <w:t>Slide 12 - Dados auditados evitam vazamento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sz w:val="22"/>
        </w:rPr>
        <w:t>CÁPSULA</w:t>
        <w:br/>
        <w:br/>
        <w:t>Para a segmentação da cápsula renal, inicialmente tínhamos 486 registros.</w:t>
        <w:br/>
        <w:br/>
        <w:t>Após a auditoria por hash, verificamos que esses registros correspondiam a 468 imagens únicas, com identificação de duplicidades entre as partições originais.</w:t>
        <w:br/>
        <w:br/>
        <w:t>Depois da deduplicação e do agrupamento por exame, o conjunto foi dividido em 328 imagens para treinamento, 70 para validação e 70 para teste.</w:t>
      </w:r>
    </w:p>
    <w:p>
      <w:pPr>
        <w:pStyle w:val="Heading1"/>
      </w:pPr>
      <w:r>
        <w:rPr>
          <w:rFonts w:ascii="Calibri" w:hAnsi="Calibri"/>
          <w:b/>
          <w:color w:val="2E74B5"/>
          <w:sz w:val="32"/>
        </w:rPr>
        <w:t>Slide 13 - Dados auditados evitam vazamento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sz w:val="22"/>
        </w:rPr>
        <w:t>ESTRUTURA INTRARRENAIS</w:t>
        <w:br/>
        <w:br/>
        <w:t>Para a segmentação das estruturas intrarrenais, utilizamos 335 imagens anotadas manualmente.</w:t>
        <w:br/>
        <w:br/>
        <w:t>O particionamento foi realizado por paciente, de modo que imagens pertencentes ao mesmo indivíduo permanecessem no mesmo conjunto.</w:t>
        <w:br/>
        <w:br/>
        <w:t>Após essa separação, o conjunto foi dividido em 235 imagens para treinamento, 50 para validação e 50 para teste.</w:t>
      </w:r>
    </w:p>
    <w:p>
      <w:pPr>
        <w:pStyle w:val="Heading1"/>
      </w:pPr>
      <w:r>
        <w:rPr>
          <w:rFonts w:ascii="Calibri" w:hAnsi="Calibri"/>
          <w:b/>
          <w:color w:val="2E74B5"/>
          <w:sz w:val="32"/>
        </w:rPr>
        <w:t>Slide 14 - Dados auditados evitam vazamento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sz w:val="22"/>
        </w:rPr>
        <w:t>MONAI EXTERNO</w:t>
        <w:br/>
        <w:br/>
        <w:t>Para o conjunto externo MONAI, utilizamos 4.479 imagens para ampliar a etapa de inferência e gerar candidatos para análise.</w:t>
        <w:br/>
        <w:br/>
        <w:t>A U-Net selecionada foi aplicada a esse conjunto e produziu 3.534 pseudomáscaras candidatas.</w:t>
        <w:br/>
        <w:br/>
        <w:t>Essas pseudomáscaras permaneceram pendentes de revisão humana e, por não possuírem referência manual no estudo, não foram incluídas nas métricas de desempenho apresentadas.</w:t>
        <w:br/>
        <w:t>.</w:t>
      </w:r>
    </w:p>
    <w:p>
      <w:pPr>
        <w:pStyle w:val="Heading1"/>
      </w:pPr>
      <w:r>
        <w:rPr>
          <w:rFonts w:ascii="Calibri" w:hAnsi="Calibri"/>
          <w:b/>
          <w:color w:val="2E74B5"/>
          <w:sz w:val="32"/>
        </w:rPr>
        <w:t>Slide 15 - Resultados da cápsula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sz w:val="22"/>
        </w:rPr>
        <w:t>Seleção do segmentador renal.</w:t>
      </w:r>
    </w:p>
    <w:p>
      <w:pPr>
        <w:pStyle w:val="Heading1"/>
      </w:pPr>
      <w:r>
        <w:rPr>
          <w:rFonts w:ascii="Calibri" w:hAnsi="Calibri"/>
          <w:b/>
          <w:color w:val="2E74B5"/>
          <w:sz w:val="32"/>
        </w:rPr>
        <w:t>Slide 16 - U-Net lidera a segmentação da cápsula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sz w:val="22"/>
        </w:rPr>
        <w:t>TESTE DEDUPLICADO</w:t>
        <w:br/>
        <w:t>No teste deduplicado com 70 imagens, a U-Net apresentou o maior Dice entre as arquiteturas avaliadas, alcançando 0,9290 de Dice, 0,8722 de IoU, 0,9236 de precisão e 0,9440 de recall. Por esse desempenho, foi selecionada para localizar o rim na cascata.</w:t>
      </w:r>
    </w:p>
    <w:p>
      <w:pPr>
        <w:pStyle w:val="Heading1"/>
      </w:pPr>
      <w:r>
        <w:rPr>
          <w:rFonts w:ascii="Calibri" w:hAnsi="Calibri"/>
          <w:b/>
          <w:color w:val="2E74B5"/>
          <w:sz w:val="32"/>
        </w:rPr>
        <w:t>Slide 17 - U-Net lidera a segmentação da cápsula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sz w:val="22"/>
        </w:rPr>
        <w:t>COMPARAÇÃO</w:t>
        <w:br/>
        <w:t>A U-Net apresentou o melhor desempenho global na segmentação da cápsula, com maior Dice (0,9290), enquanto o SegFormer-B0 apresentou a maior velocidade de inferência (31,34 FPS). Como a prioridade da etapa era a concordância espacial com a anotação manual, a U-Net foi selecionada para a cascata.</w:t>
      </w:r>
    </w:p>
    <w:p>
      <w:pPr>
        <w:pStyle w:val="Heading1"/>
      </w:pPr>
      <w:r>
        <w:rPr>
          <w:rFonts w:ascii="Calibri" w:hAnsi="Calibri"/>
          <w:b/>
          <w:color w:val="2E74B5"/>
          <w:sz w:val="32"/>
        </w:rPr>
        <w:t>Slide 18 - Consenso e regiões internas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sz w:val="22"/>
        </w:rPr>
        <w:t>Triagem e segmentação multiclasse.</w:t>
      </w:r>
    </w:p>
    <w:p>
      <w:pPr>
        <w:pStyle w:val="Heading1"/>
      </w:pPr>
      <w:r>
        <w:rPr>
          <w:rFonts w:ascii="Calibri" w:hAnsi="Calibri"/>
          <w:b/>
          <w:color w:val="2E74B5"/>
          <w:sz w:val="32"/>
        </w:rPr>
        <w:t>Slide 19 - Consenso prioriza a revisão das pseudomáscaras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sz w:val="22"/>
        </w:rPr>
        <w:t>CALIBRAÇÃO</w:t>
        <w:br/>
        <w:t>O consenso entre U-Net e DeepLabV3 foi calibrado nas 468 imagens manuais e apresentou média de 0,9416. Os limiares definidos classificam a concordância em alta, intermediária e baixa, funcionando como indicador operacional para priorizar a revisão humana.</w:t>
      </w:r>
    </w:p>
    <w:p>
      <w:pPr>
        <w:pStyle w:val="Heading1"/>
      </w:pPr>
      <w:r>
        <w:rPr>
          <w:rFonts w:ascii="Calibri" w:hAnsi="Calibri"/>
          <w:b/>
          <w:color w:val="2E74B5"/>
          <w:sz w:val="32"/>
        </w:rPr>
        <w:t>Slide 20 - Triagem externa organiza a revisão das pseudomáscaras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sz w:val="22"/>
        </w:rPr>
        <w:t>O consenso entre os modelos permitiu estratificar as 4.479 imagens externas segundo a necessidade de revisão. Casos com menor concordância ou segmentação isolada foram priorizados, enquanto imagens com alta concordância seguiram para revisão de rotina.</w:t>
        <w:br/>
        <w:br/>
        <w:t>Importante: essa distribuição mede concordância entre arquiteturas e cobertura da triagem, não acurácia externa.</w:t>
      </w:r>
    </w:p>
    <w:p>
      <w:pPr>
        <w:pStyle w:val="Heading1"/>
      </w:pPr>
      <w:r>
        <w:rPr>
          <w:rFonts w:ascii="Calibri" w:hAnsi="Calibri"/>
          <w:b/>
          <w:color w:val="2E74B5"/>
          <w:sz w:val="32"/>
        </w:rPr>
        <w:t>Slide 21 - Resultado intrarrenal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sz w:val="22"/>
        </w:rPr>
        <w:t>Após a delimitação da cápsula, a região renal é utilizada como ROI para a segmentação de córtex, medula e complexo ecogênico central (CEC).</w:t>
        <w:br/>
        <w:br/>
        <w:t>No teste manual com 50 imagens, a U-Net apresentou melhor desempenho para córtex (Dice 0,7075) e medula (0,7237), enquanto a DeepLabV3 foi ligeiramente superior no CEC (0,8497).</w:t>
        <w:br/>
        <w:br/>
        <w:t>Considerando o desempenho agregado, a U-Net alcançou Dice médio de 0,7594, superior ao 0,7492 da DeepLabV3, e foi mantida como modelo intrarrenal da cascata.</w:t>
      </w:r>
    </w:p>
    <w:p>
      <w:pPr>
        <w:pStyle w:val="Heading1"/>
      </w:pPr>
      <w:r>
        <w:rPr>
          <w:rFonts w:ascii="Calibri" w:hAnsi="Calibri"/>
          <w:b/>
          <w:color w:val="2E74B5"/>
          <w:sz w:val="32"/>
        </w:rPr>
        <w:t>Slide 22 - Qualidade de imagem limita a cascata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sz w:val="22"/>
        </w:rPr>
        <w:t>A segmentação inicial da cápsula depende diretamente da qualidade da ultrassonografia. Baixo contraste, sombras acústicas, ruído e perda de detalhes podem dificultar a identificação dos limites renais.</w:t>
        <w:br/>
        <w:br/>
        <w:t>Como as etapas são encadeadas, uma máscara incompleta ou que inclua tecido adjacente modifica a região de interesse e pode comprometer a segmentação das estruturas intrarrenais.</w:t>
      </w:r>
    </w:p>
    <w:p>
      <w:pPr>
        <w:pStyle w:val="Heading1"/>
      </w:pPr>
      <w:r>
        <w:rPr>
          <w:rFonts w:ascii="Calibri" w:hAnsi="Calibri"/>
          <w:b/>
          <w:color w:val="2E74B5"/>
          <w:sz w:val="32"/>
        </w:rPr>
        <w:t>Slide 23 - Conclusões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sz w:val="22"/>
        </w:rPr>
        <w:t>Limites e próximos passos.</w:t>
      </w:r>
    </w:p>
    <w:p>
      <w:pPr>
        <w:pStyle w:val="Heading1"/>
      </w:pPr>
      <w:r>
        <w:rPr>
          <w:rFonts w:ascii="Calibri" w:hAnsi="Calibri"/>
          <w:b/>
          <w:color w:val="2E74B5"/>
          <w:sz w:val="32"/>
        </w:rPr>
        <w:t>Slide 24 - Conclusão: uma cascata rastreável para análise renal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sz w:val="22"/>
        </w:rPr>
        <w:t>O trabalho apresentou uma cascata rastreável para análise de ultrassonografias renais, iniciando pela delimitação da cápsula, seguida pela verificação por consenso entre modelos e pela segmentação das estruturas intrarrenais.</w:t>
        <w:br/>
        <w:br/>
        <w:t>Na primeira etapa, a U-Net apresentou Dice de 0,9290 no teste deduplicado e foi selecionada para localizar o rim. Em seguida, o consenso com a DeepLabV3 foi utilizado como indicador operacional para organizar a revisão das 3.534 pseudomáscaras externas, sem substituir a validação por especialistas.</w:t>
        <w:br/>
        <w:br/>
        <w:t>Na etapa intrarrenal, a U-Net alcançou Dice médio de 0,7594 no conjunto de teste manual, permitindo a identificação de córtex, medula e complexo ecogênico central.</w:t>
        <w:br/>
        <w:br/>
        <w:t>Como próximos passos, pretende-se incorporar ao treinamento apenas pseudomáscaras revisadas e estabelecer uma referência clínica ou histológica, permitindo investigar de forma mais consistente a associação entre regiões hiperecogênicas e alterações funcionais do rim.</w:t>
      </w:r>
    </w:p>
    <w:p>
      <w:pPr>
        <w:pStyle w:val="Heading1"/>
      </w:pPr>
      <w:r>
        <w:rPr>
          <w:rFonts w:ascii="Calibri" w:hAnsi="Calibri"/>
          <w:b/>
          <w:color w:val="2E74B5"/>
          <w:sz w:val="32"/>
        </w:rPr>
        <w:t>Slide 25 - OBRIGADO!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sz w:val="22"/>
        </w:rPr>
        <w:t>jefferson.anjos.1@aluno.cefet-rj.br</w:t>
        <w:br/>
        <w:t>CEFET/RJ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sz w:val="22"/>
        </w:rPr>
        <w:t>Apoio:</w:t>
        <w:br/>
        <w:t>CEFET/RJ e HUPE - UERJ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595959"/>
        <w:sz w:val="18"/>
      </w:rPr>
      <w:t>Jefferson S. dos Anjos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595959"/>
        <w:sz w:val="18"/>
      </w:rPr>
      <w:t>ROTEIRO DA APRESENTAÇÃO | SBBD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