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Calibri" w:hAnsi="Calibri"/>
          <w:b/>
          <w:color w:val="2E74B5"/>
          <w:sz w:val="22"/>
        </w:rPr>
        <w:t>CAPSTONE PROJECT - MENTOR REVIEW</w:t>
      </w:r>
    </w:p>
    <w:p>
      <w:pPr>
        <w:spacing w:after="160"/>
        <w:jc w:val="center"/>
      </w:pPr>
      <w:r>
        <w:rPr>
          <w:rFonts w:ascii="Calibri" w:hAnsi="Calibri"/>
          <w:b/>
          <w:color w:val="0B2545"/>
          <w:sz w:val="64"/>
        </w:rPr>
        <w:t>VidQuery</w:t>
      </w:r>
    </w:p>
    <w:p>
      <w:pPr>
        <w:spacing w:after="100"/>
        <w:jc w:val="center"/>
      </w:pPr>
      <w:r>
        <w:rPr>
          <w:rFonts w:ascii="Calibri" w:hAnsi="Calibri"/>
          <w:b/>
          <w:color w:val="1F4D78"/>
          <w:sz w:val="30"/>
        </w:rPr>
        <w:t>Multimodal Semantic Video Search with Temporal Knowledge Graphs</w:t>
      </w:r>
    </w:p>
    <w:p>
      <w:pPr>
        <w:spacing w:after="1000"/>
        <w:jc w:val="center"/>
      </w:pPr>
      <w:r>
        <w:rPr>
          <w:rFonts w:ascii="Calibri" w:hAnsi="Calibri"/>
          <w:i/>
          <w:color w:val="667085"/>
          <w:sz w:val="22"/>
        </w:rPr>
        <w:t>Detailed implementation, architecture, models, evidence and measured results</w:t>
      </w:r>
    </w:p>
    <w:p>
      <w:pPr>
        <w:spacing w:after="160"/>
        <w:jc w:val="center"/>
      </w:pPr>
      <w:r>
        <w:rPr>
          <w:rFonts w:ascii="Calibri" w:hAnsi="Calibri"/>
          <w:b/>
          <w:color w:val="0B2545"/>
          <w:sz w:val="22"/>
        </w:rPr>
        <w:t>Project Team</w:t>
      </w:r>
    </w:p>
    <w:p>
      <w:pPr>
        <w:spacing w:after="40"/>
        <w:jc w:val="center"/>
      </w:pPr>
      <w:r>
        <w:rPr>
          <w:rFonts w:ascii="Calibri" w:hAnsi="Calibri"/>
          <w:color w:val="000000"/>
          <w:sz w:val="21"/>
        </w:rPr>
        <w:t>Abhishrut Kaushik - PES2UG23CS023</w:t>
      </w:r>
    </w:p>
    <w:p>
      <w:pPr>
        <w:spacing w:after="40"/>
        <w:jc w:val="center"/>
      </w:pPr>
      <w:r>
        <w:rPr>
          <w:rFonts w:ascii="Calibri" w:hAnsi="Calibri"/>
          <w:color w:val="000000"/>
          <w:sz w:val="21"/>
        </w:rPr>
        <w:t>Agnivesh Singh - PES2UG23CS034</w:t>
      </w:r>
    </w:p>
    <w:p>
      <w:pPr>
        <w:spacing w:after="40"/>
        <w:jc w:val="center"/>
      </w:pPr>
      <w:r>
        <w:rPr>
          <w:rFonts w:ascii="Calibri" w:hAnsi="Calibri"/>
          <w:color w:val="000000"/>
          <w:sz w:val="21"/>
        </w:rPr>
        <w:t>Aryaman Singh - PES2UG23CS097</w:t>
      </w:r>
    </w:p>
    <w:p>
      <w:pPr>
        <w:spacing w:after="40"/>
        <w:jc w:val="center"/>
      </w:pPr>
      <w:r>
        <w:rPr>
          <w:rFonts w:ascii="Calibri" w:hAnsi="Calibri"/>
          <w:color w:val="000000"/>
          <w:sz w:val="21"/>
        </w:rPr>
        <w:t>Rushad Khoja - PES2UG23AM061</w:t>
      </w:r>
    </w:p>
    <w:p>
      <w:pPr>
        <w:spacing w:before="240" w:after="40"/>
        <w:jc w:val="center"/>
      </w:pPr>
      <w:r>
        <w:rPr>
          <w:rFonts w:ascii="Calibri" w:hAnsi="Calibri"/>
          <w:b/>
          <w:color w:val="0B2545"/>
          <w:sz w:val="21"/>
        </w:rPr>
        <w:t>Guide: Dr. Nazmin Begum</w:t>
      </w:r>
    </w:p>
    <w:p>
      <w:pPr>
        <w:jc w:val="center"/>
      </w:pPr>
      <w:r>
        <w:rPr>
          <w:rFonts w:ascii="Calibri" w:hAnsi="Calibri"/>
          <w:color w:val="667085"/>
          <w:sz w:val="19"/>
        </w:rPr>
        <w:t>Evidence updated: 31 August 2026</w:t>
      </w:r>
    </w:p>
    <w:p>
      <w:r>
        <w:br w:type="page"/>
      </w:r>
    </w:p>
    <w:p>
      <w:pPr>
        <w:pStyle w:val="Heading1"/>
        <w:keepNext/>
      </w:pPr>
      <w:r>
        <w:t>Executive summary</w:t>
      </w:r>
    </w:p>
    <w:p>
      <w:r>
        <w:rPr>
          <w:rFonts w:ascii="Calibri" w:hAnsi="Calibri"/>
          <w:color w:val="000000"/>
          <w:sz w:val="22"/>
        </w:rPr>
        <w:t>VidQuery is an end-to-end multimodal video-search system. A user uploads an MP4 and searches for a moment using ordinary language, such as 'find where architecture is discussed', 'find a person near a laptop', or 'find where SPEAKER_01 talks'. The system returns ranked five-second segments with exact timestamps, thumbnails, evidence chips, match explanations and seekable playback.</w:t>
      </w:r>
    </w:p>
    <w:p>
      <w:r>
        <w:rPr>
          <w:rFonts w:ascii="Calibri" w:hAnsi="Calibri"/>
          <w:color w:val="000000"/>
          <w:sz w:val="22"/>
        </w:rPr>
        <w:t>The central contribution is not a single model. It is the integration of visual detection, speech transcription, speaker diarization, OCR, appearance retrieval, learned graph models, persistent temporal evidence and explainable search into one reproducible application. SQLite remains the dependable system of record, while Neo4j provides an optional graph-traversal layer.</w:t>
      </w:r>
    </w:p>
    <w:p>
      <w:pPr>
        <w:pStyle w:val="Callout"/>
      </w:pPr>
      <w:r>
        <w:rPr>
          <w:rFonts w:ascii="Calibri" w:hAnsi="Calibri"/>
          <w:b/>
          <w:color w:val="1F4D78"/>
          <w:sz w:val="20"/>
        </w:rPr>
        <w:t xml:space="preserve">CORE OUTCOME  </w:t>
      </w:r>
      <w:r>
        <w:rPr>
          <w:rFonts w:ascii="Calibri" w:hAnsi="Calibri"/>
          <w:color w:val="0B2545"/>
          <w:sz w:val="21"/>
        </w:rPr>
        <w:t>VidQuery transforms an unstructured video into searchable, timestamp-aligned multimodal evidence and can answer transcript, object, speaker, action, appearance and exact relationship queries without requiring the user to watch the complete video.</w:t>
      </w:r>
    </w:p>
    <w:p>
      <w:pPr>
        <w:pStyle w:val="Heading2"/>
        <w:keepNext/>
      </w:pPr>
      <w:r>
        <w:t>Document map</w:t>
      </w:r>
    </w:p>
    <w:p>
      <w:pPr>
        <w:pStyle w:val="ListBullet"/>
      </w:pPr>
      <w:r>
        <w:rPr>
          <w:rFonts w:ascii="Calibri" w:hAnsi="Calibri"/>
          <w:color w:val="000000"/>
          <w:sz w:val="22"/>
        </w:rPr>
        <w:t>Project motivation, scope and end-to-end architecture</w:t>
      </w:r>
    </w:p>
    <w:p>
      <w:pPr>
        <w:pStyle w:val="ListBullet"/>
      </w:pPr>
      <w:r>
        <w:rPr>
          <w:rFonts w:ascii="Calibri" w:hAnsi="Calibri"/>
          <w:color w:val="000000"/>
          <w:sz w:val="22"/>
        </w:rPr>
        <w:t>Detailed extraction, graph-learning, persistence and retrieval modules</w:t>
      </w:r>
    </w:p>
    <w:p>
      <w:pPr>
        <w:pStyle w:val="ListBullet"/>
      </w:pPr>
      <w:r>
        <w:rPr>
          <w:rFonts w:ascii="Calibri" w:hAnsi="Calibri"/>
          <w:color w:val="000000"/>
          <w:sz w:val="22"/>
        </w:rPr>
        <w:t>AVA action GNN and VidOR relationship GNN methodology</w:t>
      </w:r>
    </w:p>
    <w:p>
      <w:pPr>
        <w:pStyle w:val="ListBullet"/>
      </w:pPr>
      <w:r>
        <w:rPr>
          <w:rFonts w:ascii="Calibri" w:hAnsi="Calibri"/>
          <w:color w:val="000000"/>
          <w:sz w:val="22"/>
        </w:rPr>
        <w:t>Measured retrieval and model results</w:t>
      </w:r>
    </w:p>
    <w:p>
      <w:pPr>
        <w:pStyle w:val="ListBullet"/>
      </w:pPr>
      <w:r>
        <w:rPr>
          <w:rFonts w:ascii="Calibri" w:hAnsi="Calibri"/>
          <w:color w:val="000000"/>
          <w:sz w:val="22"/>
        </w:rPr>
        <w:t>Testing, deployment evidence, limitations and safe presentation claims</w:t>
      </w:r>
    </w:p>
    <w:p>
      <w:pPr>
        <w:pStyle w:val="Heading1"/>
        <w:keepNext/>
      </w:pPr>
      <w:r>
        <w:t>1. Problem statement and project scope</w:t>
      </w:r>
    </w:p>
    <w:p>
      <w:r>
        <w:rPr>
          <w:rFonts w:ascii="Calibri" w:hAnsi="Calibri"/>
          <w:color w:val="000000"/>
          <w:sz w:val="22"/>
        </w:rPr>
        <w:t>Conventional video search usually relies on filenames, manual tags or transcript keywords. It cannot reliably answer questions involving visible objects, actions, speakers, on-screen text or explicit relations between entities. Manually reviewing long videos is slow and makes it difficult to locate the exact moment where an event occurs.</w:t>
      </w:r>
    </w:p>
    <w:p>
      <w:r>
        <w:rPr>
          <w:rFonts w:ascii="Calibri" w:hAnsi="Calibri"/>
          <w:color w:val="000000"/>
          <w:sz w:val="22"/>
        </w:rPr>
        <w:t>VidQuery addresses this by converting videos into a temporal, multimodal index. It is intended for researchers, educators, reviewers, media teams and any user who needs to locate evidence inside long videos. The capstone scope covers local MP4 ingestion, multimodal analysis, graph construction, persistent indexing, natural-language retrieval, browser playback and reproducible evaluation.</w:t>
      </w:r>
    </w:p>
    <w:p>
      <w:pPr>
        <w:pStyle w:val="Heading2"/>
        <w:keepNext/>
      </w:pPr>
      <w:r>
        <w:t>Implemented search capabilities</w:t>
      </w:r>
    </w:p>
    <w:p>
      <w:pPr>
        <w:pStyle w:val="ListBullet"/>
      </w:pPr>
      <w:r>
        <w:rPr>
          <w:rFonts w:ascii="Calibri" w:hAnsi="Calibri"/>
          <w:color w:val="000000"/>
          <w:sz w:val="22"/>
        </w:rPr>
        <w:t>Spoken concepts and semantically similar transcript phrases</w:t>
      </w:r>
    </w:p>
    <w:p>
      <w:pPr>
        <w:pStyle w:val="ListBullet"/>
      </w:pPr>
      <w:r>
        <w:rPr>
          <w:rFonts w:ascii="Calibri" w:hAnsi="Calibri"/>
          <w:color w:val="000000"/>
          <w:sz w:val="22"/>
        </w:rPr>
        <w:t>Visual objects and people detected in sampled frames</w:t>
      </w:r>
    </w:p>
    <w:p>
      <w:pPr>
        <w:pStyle w:val="ListBullet"/>
      </w:pPr>
      <w:r>
        <w:rPr>
          <w:rFonts w:ascii="Calibri" w:hAnsi="Calibri"/>
          <w:color w:val="000000"/>
          <w:sz w:val="22"/>
        </w:rPr>
        <w:t>Anonymous speaker clusters such as SPEAKER_01</w:t>
      </w:r>
    </w:p>
    <w:p>
      <w:pPr>
        <w:pStyle w:val="ListBullet"/>
      </w:pPr>
      <w:r>
        <w:rPr>
          <w:rFonts w:ascii="Calibri" w:hAnsi="Calibri"/>
          <w:color w:val="000000"/>
          <w:sz w:val="22"/>
        </w:rPr>
        <w:t>Visible text obtained through OCR</w:t>
      </w:r>
    </w:p>
    <w:p>
      <w:pPr>
        <w:pStyle w:val="ListBullet"/>
      </w:pPr>
      <w:r>
        <w:rPr>
          <w:rFonts w:ascii="Calibri" w:hAnsi="Calibri"/>
          <w:color w:val="000000"/>
          <w:sz w:val="22"/>
        </w:rPr>
        <w:t>Person-centric actions predicted by an AVA model</w:t>
      </w:r>
    </w:p>
    <w:p>
      <w:pPr>
        <w:pStyle w:val="ListBullet"/>
      </w:pPr>
      <w:r>
        <w:rPr>
          <w:rFonts w:ascii="Calibri" w:hAnsi="Calibri"/>
          <w:color w:val="000000"/>
          <w:sz w:val="22"/>
        </w:rPr>
        <w:t>Explicit subject-predicate-object relationships</w:t>
      </w:r>
    </w:p>
    <w:p>
      <w:pPr>
        <w:pStyle w:val="ListBullet"/>
      </w:pPr>
      <w:r>
        <w:rPr>
          <w:rFonts w:ascii="Calibri" w:hAnsi="Calibri"/>
          <w:color w:val="000000"/>
          <w:sz w:val="22"/>
        </w:rPr>
        <w:t>Visual appearance descriptions such as a red-shirt person</w:t>
      </w:r>
    </w:p>
    <w:p>
      <w:pPr>
        <w:pStyle w:val="ListBullet"/>
      </w:pPr>
      <w:r>
        <w:rPr>
          <w:rFonts w:ascii="Calibri" w:hAnsi="Calibri"/>
          <w:color w:val="000000"/>
          <w:sz w:val="22"/>
        </w:rPr>
        <w:t>Multimodal combinations of speech, objects, speakers, actions and relations</w:t>
      </w:r>
    </w:p>
    <w:p>
      <w:pPr>
        <w:pStyle w:val="Heading1"/>
        <w:keepNext/>
      </w:pPr>
      <w:r>
        <w:t>2. End-to-end system architecture</w:t>
      </w:r>
    </w:p>
    <w:p>
      <w:pPr>
        <w:pStyle w:val="CodeBlock"/>
        <w:keepLines/>
      </w:pPr>
      <w:r>
        <w:rPr>
          <w:rFonts w:ascii="Consolas" w:hAnsi="Consolas"/>
          <w:color w:val="0B2545"/>
          <w:sz w:val="18"/>
        </w:rPr>
        <w:t>MP4 upload -&gt; validation and SHA-256 deduplication</w:t>
      </w:r>
      <w:r>
        <w:br/>
      </w:r>
      <w:r>
        <w:rPr>
          <w:rFonts w:ascii="Consolas" w:hAnsi="Consolas"/>
          <w:color w:val="0B2545"/>
          <w:sz w:val="18"/>
        </w:rPr>
        <w:t>-&gt; frame and audio extraction</w:t>
      </w:r>
      <w:r>
        <w:br/>
      </w:r>
      <w:r>
        <w:rPr>
          <w:rFonts w:ascii="Consolas" w:hAnsi="Consolas"/>
          <w:color w:val="0B2545"/>
          <w:sz w:val="18"/>
        </w:rPr>
        <w:t>-&gt; YOLO + Whisper + Pyannote + EasyOCR + OpenCLIP</w:t>
      </w:r>
      <w:r>
        <w:br/>
      </w:r>
      <w:r>
        <w:rPr>
          <w:rFonts w:ascii="Consolas" w:hAnsi="Consolas"/>
          <w:color w:val="0B2545"/>
          <w:sz w:val="18"/>
        </w:rPr>
        <w:t>-&gt; short-range tracking and timestamp scene graphs</w:t>
      </w:r>
      <w:r>
        <w:br/>
      </w:r>
      <w:r>
        <w:rPr>
          <w:rFonts w:ascii="Consolas" w:hAnsi="Consolas"/>
          <w:color w:val="0B2545"/>
          <w:sz w:val="18"/>
        </w:rPr>
        <w:t>-&gt; AVA action GNN + target resolver + VidOR relationship GNN</w:t>
      </w:r>
      <w:r>
        <w:br/>
      </w:r>
      <w:r>
        <w:rPr>
          <w:rFonts w:ascii="Consolas" w:hAnsi="Consolas"/>
          <w:color w:val="0B2545"/>
          <w:sz w:val="18"/>
        </w:rPr>
        <w:t>-&gt; canonical five-second segments</w:t>
      </w:r>
      <w:r>
        <w:br/>
      </w:r>
      <w:r>
        <w:rPr>
          <w:rFonts w:ascii="Consolas" w:hAnsi="Consolas"/>
          <w:color w:val="0B2545"/>
          <w:sz w:val="18"/>
        </w:rPr>
        <w:t>-&gt; SQLite system of record + optional Neo4j mirror</w:t>
      </w:r>
      <w:r>
        <w:br/>
      </w:r>
      <w:r>
        <w:rPr>
          <w:rFonts w:ascii="Consolas" w:hAnsi="Consolas"/>
          <w:color w:val="0B2545"/>
          <w:sz w:val="18"/>
        </w:rPr>
        <w:t>-&gt; structured planning + lexical/MiniLM/graph retrieval</w:t>
      </w:r>
      <w:r>
        <w:br/>
      </w:r>
      <w:r>
        <w:rPr>
          <w:rFonts w:ascii="Consolas" w:hAnsi="Consolas"/>
          <w:color w:val="0B2545"/>
          <w:sz w:val="18"/>
        </w:rPr>
        <w:t>-&gt; FastAPI, browser UI and optional grounded Groq answer</w:t>
      </w:r>
    </w:p>
    <w:p>
      <w:pPr>
        <w:pStyle w:val="Heading2"/>
        <w:keepNext/>
      </w:pPr>
      <w:r>
        <w:t>Processing flow</w:t>
      </w:r>
    </w:p>
    <w:p>
      <w:pPr>
        <w:pStyle w:val="ListNumber"/>
      </w:pPr>
      <w:r>
        <w:rPr>
          <w:rFonts w:ascii="Calibri" w:hAnsi="Calibri"/>
          <w:color w:val="000000"/>
          <w:sz w:val="22"/>
        </w:rPr>
        <w:t>The user uploads an MP4 through the browser UI or FastAPI endpoint.</w:t>
      </w:r>
    </w:p>
    <w:p>
      <w:pPr>
        <w:pStyle w:val="ListNumber"/>
      </w:pPr>
      <w:r>
        <w:rPr>
          <w:rFonts w:ascii="Calibri" w:hAnsi="Calibri"/>
          <w:color w:val="000000"/>
          <w:sz w:val="22"/>
        </w:rPr>
        <w:t>The backend validates the container, size and media metadata, then calculates a SHA-256 hash to prevent duplicate processing.</w:t>
      </w:r>
    </w:p>
    <w:p>
      <w:pPr>
        <w:pStyle w:val="ListNumber"/>
      </w:pPr>
      <w:r>
        <w:rPr>
          <w:rFonts w:ascii="Calibri" w:hAnsi="Calibri"/>
          <w:color w:val="000000"/>
          <w:sz w:val="22"/>
        </w:rPr>
        <w:t>FFmpeg and OpenCV extract the audio track and timestamped sampled frames.</w:t>
      </w:r>
    </w:p>
    <w:p>
      <w:pPr>
        <w:pStyle w:val="ListNumber"/>
      </w:pPr>
      <w:r>
        <w:rPr>
          <w:rFonts w:ascii="Calibri" w:hAnsi="Calibri"/>
          <w:color w:val="000000"/>
          <w:sz w:val="22"/>
        </w:rPr>
        <w:t>YOLO, Whisper, Pyannote, EasyOCR and OpenCLIP produce visual, speech, speaker, OCR and appearance evidence.</w:t>
      </w:r>
    </w:p>
    <w:p>
      <w:pPr>
        <w:pStyle w:val="ListNumber"/>
      </w:pPr>
      <w:r>
        <w:rPr>
          <w:rFonts w:ascii="Calibri" w:hAnsi="Calibri"/>
          <w:color w:val="000000"/>
          <w:sz w:val="22"/>
        </w:rPr>
        <w:t>Adjacent detections are associated using class labels, IoU and centroid distance, producing short-range track IDs.</w:t>
      </w:r>
    </w:p>
    <w:p>
      <w:pPr>
        <w:pStyle w:val="ListNumber"/>
      </w:pPr>
      <w:r>
        <w:rPr>
          <w:rFonts w:ascii="Calibri" w:hAnsi="Calibri"/>
          <w:color w:val="000000"/>
          <w:sz w:val="22"/>
        </w:rPr>
        <w:t>Each timestamp becomes a scene graph containing entities, geometry, edges and multimodal context.</w:t>
      </w:r>
    </w:p>
    <w:p>
      <w:pPr>
        <w:pStyle w:val="ListNumber"/>
      </w:pPr>
      <w:r>
        <w:rPr>
          <w:rFonts w:ascii="Calibri" w:hAnsi="Calibri"/>
          <w:color w:val="000000"/>
          <w:sz w:val="22"/>
        </w:rPr>
        <w:t>The AVA GNN predicts person actions, while the VidOR GNN predicts ordered entity-pair predicates.</w:t>
      </w:r>
    </w:p>
    <w:p>
      <w:pPr>
        <w:pStyle w:val="ListNumber"/>
      </w:pPr>
      <w:r>
        <w:rPr>
          <w:rFonts w:ascii="Calibri" w:hAnsi="Calibri"/>
          <w:color w:val="000000"/>
          <w:sz w:val="22"/>
        </w:rPr>
        <w:t>All outputs are aligned into canonical five-second segments and persisted in SQLite; Neo4j can mirror the graph evidence.</w:t>
      </w:r>
    </w:p>
    <w:p>
      <w:pPr>
        <w:pStyle w:val="ListNumber"/>
      </w:pPr>
      <w:r>
        <w:rPr>
          <w:rFonts w:ascii="Calibri" w:hAnsi="Calibri"/>
          <w:color w:val="000000"/>
          <w:sz w:val="22"/>
        </w:rPr>
        <w:t>A query planner extracts transcript, object, speaker, OCR, action and exact relationship requirements.</w:t>
      </w:r>
    </w:p>
    <w:p>
      <w:pPr>
        <w:pStyle w:val="ListNumber"/>
      </w:pPr>
      <w:r>
        <w:rPr>
          <w:rFonts w:ascii="Calibri" w:hAnsi="Calibri"/>
          <w:color w:val="000000"/>
          <w:sz w:val="22"/>
        </w:rPr>
        <w:t>The API returns ranked segments with timestamps, evidence, explanations and video links; Groq can optionally synthesize only the retrieved evidence.</w:t>
      </w:r>
    </w:p>
    <w:p>
      <w:pPr>
        <w:pStyle w:val="Heading1"/>
        <w:keepNext/>
      </w:pPr>
      <w:r>
        <w:t>3. Video ingestion and multimodal extraction</w:t>
      </w:r>
    </w:p>
    <w:p>
      <w:pPr>
        <w:pStyle w:val="Heading2"/>
        <w:keepNext/>
      </w:pPr>
      <w:r>
        <w:t>3.1 Reliable ingestion</w:t>
      </w:r>
    </w:p>
    <w:p>
      <w:r>
        <w:rPr>
          <w:rFonts w:ascii="Calibri" w:hAnsi="Calibri"/>
          <w:color w:val="000000"/>
          <w:sz w:val="22"/>
        </w:rPr>
        <w:t>The ingestion layer implements bounded upload handling, MP4 validation, SHA-256 deduplication, persistent processing state, warnings and safe retry behavior. Video registration and job state survive backend restarts because they are stored in SQLite rather than kept only in memory.</w:t>
      </w:r>
    </w:p>
    <w:p>
      <w:pPr>
        <w:pStyle w:val="Heading2"/>
        <w:keepNext/>
      </w:pPr>
      <w:r>
        <w:t>3.2 YOLO visual detection</w:t>
      </w:r>
    </w:p>
    <w:p>
      <w:r>
        <w:rPr>
          <w:rFonts w:ascii="Calibri" w:hAnsi="Calibri"/>
          <w:color w:val="000000"/>
          <w:sz w:val="22"/>
        </w:rPr>
        <w:t>YOLOv8 detects people and supported object classes in sampled frames. Every detection stores its class, confidence, pixel and normalized bounding boxes, centroid, timestamp, track ID and optional appearance ID. These records support entity search, scene-graph construction and relationship inference.</w:t>
      </w:r>
    </w:p>
    <w:p>
      <w:pPr>
        <w:pStyle w:val="Heading2"/>
        <w:keepNext/>
      </w:pPr>
      <w:r>
        <w:t>3.3 Whisper transcription</w:t>
      </w:r>
    </w:p>
    <w:p>
      <w:r>
        <w:rPr>
          <w:rFonts w:ascii="Calibri" w:hAnsi="Calibri"/>
          <w:color w:val="000000"/>
          <w:sz w:val="22"/>
        </w:rPr>
        <w:t>Whisper converts speech into timestamped transcript segments. The segment text is retained alongside confidence when available and is later aligned with speaker intervals and canonical five-second windows. Transcript evidence supports both lexical and semantic search.</w:t>
      </w:r>
    </w:p>
    <w:p>
      <w:pPr>
        <w:pStyle w:val="Heading2"/>
        <w:keepNext/>
      </w:pPr>
      <w:r>
        <w:t>3.4 Pyannote diarization</w:t>
      </w:r>
    </w:p>
    <w:p>
      <w:r>
        <w:rPr>
          <w:rFonts w:ascii="Calibri" w:hAnsi="Calibri"/>
          <w:color w:val="000000"/>
          <w:sz w:val="22"/>
        </w:rPr>
        <w:t>Pyannote divides audio into anonymous speaker clusters such as SPEAKER_00 and SPEAKER_01. Speaker intervals are aligned with Whisper transcript intervals, enabling speaker-constrained searches. Fresh audio-bearing processing requires the configured Pyannote model and Hugging Face access; the labels represent clusters, not real identities.</w:t>
      </w:r>
    </w:p>
    <w:p>
      <w:pPr>
        <w:pStyle w:val="Heading2"/>
        <w:keepNext/>
      </w:pPr>
      <w:r>
        <w:t>3.5 EasyOCR and OpenCLIP</w:t>
      </w:r>
    </w:p>
    <w:p>
      <w:r>
        <w:rPr>
          <w:rFonts w:ascii="Calibri" w:hAnsi="Calibri"/>
          <w:color w:val="000000"/>
          <w:sz w:val="22"/>
        </w:rPr>
        <w:t>EasyOCR extracts text visible inside frames and stores the text, confidence, supporting frames and time interval. OpenCLIP produces normalized 512-dimensional visual embeddings for tracked entity crops. This allows text-to-image appearance retrieval, for example finding a red-shirt or black-shirt person even when colour is not a YOLO class.</w:t>
      </w:r>
    </w:p>
    <w:p>
      <w:pPr>
        <w:pStyle w:val="Callout"/>
      </w:pPr>
      <w:r>
        <w:rPr>
          <w:rFonts w:ascii="Calibri" w:hAnsi="Calibri"/>
          <w:b/>
          <w:color w:val="1F4D78"/>
          <w:sz w:val="20"/>
        </w:rPr>
        <w:t xml:space="preserve">CONTROLLED OPENCLIP PROOF  </w:t>
      </w:r>
      <w:r>
        <w:rPr>
          <w:rFonts w:ascii="Calibri" w:hAnsi="Calibri"/>
          <w:color w:val="0B2545"/>
          <w:sz w:val="21"/>
        </w:rPr>
        <w:t>The red-shirt query retrieved the 0-5 second interval at Rank 1 with a score of 0.8321, while the black-shirt query retrieved 5-10 seconds at Rank 1 with a score of 0.9604. The wrong-colour distractor was excluded in both cases.</w:t>
      </w:r>
    </w:p>
    <w:p>
      <w:pPr>
        <w:pStyle w:val="Heading1"/>
        <w:keepNext/>
      </w:pPr>
      <w:r>
        <w:t>4. Temporal scene graphs and relationship correctness</w:t>
      </w:r>
    </w:p>
    <w:p>
      <w:r>
        <w:rPr>
          <w:rFonts w:ascii="Calibri" w:hAnsi="Calibri"/>
          <w:color w:val="000000"/>
          <w:sz w:val="22"/>
        </w:rPr>
        <w:t>Each timestamp graph contains person and object nodes. Geometry-derived edges include near, overlaps_with, left_of, right_of, above, below, inside and contains. Consecutive observations for the same tracked tuple can be merged into a temporal interval with aggregated confidence and observation count.</w:t>
      </w:r>
    </w:p>
    <w:p>
      <w:pPr>
        <w:pStyle w:val="Heading2"/>
        <w:keepNext/>
      </w:pPr>
      <w:r>
        <w:t>Exact relationship-tuple matching</w:t>
      </w:r>
    </w:p>
    <w:p>
      <w:r>
        <w:rPr>
          <w:rFonts w:ascii="Calibri" w:hAnsi="Calibri"/>
          <w:color w:val="000000"/>
          <w:sz w:val="22"/>
        </w:rPr>
        <w:t>A major semantic defect was corrected by requiring the requested subject, predicate and object to occur on the same stored edge. A segment containing a person near a table and an unrelated chair no longer matches 'person near chair'. The matcher resolves source and target entity IDs to classes and checks predicate normalization, directionality, confidence, source method and timestamp.</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shd w:fill="E8EEF5"/>
            <w:vAlign w:val="center"/>
            <w:tcMar>
              <w:top w:w="80" w:type="dxa"/>
              <w:start w:w="120" w:type="dxa"/>
              <w:bottom w:w="80" w:type="dxa"/>
              <w:end w:w="120" w:type="dxa"/>
            </w:tcMar>
          </w:tcPr>
          <w:p>
            <w:pPr>
              <w:spacing w:after="0"/>
              <w:jc w:val="left"/>
            </w:pPr>
            <w:r>
              <w:rPr>
                <w:rFonts w:ascii="Calibri" w:hAnsi="Calibri"/>
                <w:b/>
                <w:color w:val="0B2545"/>
                <w:sz w:val="18"/>
              </w:rPr>
              <w:t>Query behavior</w:t>
            </w:r>
          </w:p>
        </w:tc>
        <w:tc>
          <w:tcPr>
            <w:tcW w:type="dxa" w:w="6480"/>
            <w:shd w:fill="E8EEF5"/>
            <w:vAlign w:val="center"/>
            <w:tcMar>
              <w:top w:w="80" w:type="dxa"/>
              <w:start w:w="120" w:type="dxa"/>
              <w:bottom w:w="80" w:type="dxa"/>
              <w:end w:w="120" w:type="dxa"/>
            </w:tcMar>
          </w:tcPr>
          <w:p>
            <w:pPr>
              <w:spacing w:after="0"/>
              <w:jc w:val="left"/>
            </w:pPr>
            <w:r>
              <w:rPr>
                <w:rFonts w:ascii="Calibri" w:hAnsi="Calibri"/>
                <w:b/>
                <w:color w:val="0B2545"/>
                <w:sz w:val="18"/>
              </w:rPr>
              <w:t>Expected result</w:t>
            </w:r>
          </w:p>
        </w:tc>
      </w:tr>
      <w:tr>
        <w:tc>
          <w:tcPr>
            <w:tcW w:type="dxa" w:w="2880"/>
            <w:vAlign w:val="center"/>
            <w:tcMar>
              <w:top w:w="80" w:type="dxa"/>
              <w:start w:w="120" w:type="dxa"/>
              <w:bottom w:w="80" w:type="dxa"/>
              <w:end w:w="120" w:type="dxa"/>
            </w:tcMar>
          </w:tcPr>
          <w:p>
            <w:pPr>
              <w:spacing w:after="0"/>
              <w:jc w:val="left"/>
            </w:pPr>
            <w:r>
              <w:rPr>
                <w:rFonts w:ascii="Calibri" w:hAnsi="Calibri"/>
                <w:color w:val="000000"/>
                <w:sz w:val="18"/>
              </w:rPr>
              <w:t>person near chair</w:t>
            </w:r>
          </w:p>
        </w:tc>
        <w:tc>
          <w:tcPr>
            <w:tcW w:type="dxa" w:w="6480"/>
            <w:vAlign w:val="center"/>
            <w:tcMar>
              <w:top w:w="80" w:type="dxa"/>
              <w:start w:w="120" w:type="dxa"/>
              <w:bottom w:w="80" w:type="dxa"/>
              <w:end w:w="120" w:type="dxa"/>
            </w:tcMar>
          </w:tcPr>
          <w:p>
            <w:pPr>
              <w:spacing w:after="0"/>
              <w:jc w:val="left"/>
            </w:pPr>
            <w:r>
              <w:rPr>
                <w:rFonts w:ascii="Calibri" w:hAnsi="Calibri"/>
                <w:color w:val="000000"/>
                <w:sz w:val="18"/>
              </w:rPr>
              <w:t>Matches only an explicit person -&gt; near -&gt; chair edge</w:t>
            </w:r>
          </w:p>
        </w:tc>
      </w:tr>
      <w:tr>
        <w:tc>
          <w:tcPr>
            <w:tcW w:type="dxa" w:w="2880"/>
            <w:vAlign w:val="center"/>
            <w:tcMar>
              <w:top w:w="80" w:type="dxa"/>
              <w:start w:w="120" w:type="dxa"/>
              <w:bottom w:w="80" w:type="dxa"/>
              <w:end w:w="120" w:type="dxa"/>
            </w:tcMar>
          </w:tcPr>
          <w:p>
            <w:pPr>
              <w:spacing w:after="0"/>
              <w:jc w:val="left"/>
            </w:pPr>
            <w:r>
              <w:rPr>
                <w:rFonts w:ascii="Calibri" w:hAnsi="Calibri"/>
                <w:color w:val="000000"/>
                <w:sz w:val="18"/>
              </w:rPr>
              <w:t>chair near person</w:t>
            </w:r>
          </w:p>
        </w:tc>
        <w:tc>
          <w:tcPr>
            <w:tcW w:type="dxa" w:w="6480"/>
            <w:vAlign w:val="center"/>
            <w:tcMar>
              <w:top w:w="80" w:type="dxa"/>
              <w:start w:w="120" w:type="dxa"/>
              <w:bottom w:w="80" w:type="dxa"/>
              <w:end w:w="120" w:type="dxa"/>
            </w:tcMar>
          </w:tcPr>
          <w:p>
            <w:pPr>
              <w:spacing w:after="0"/>
              <w:jc w:val="left"/>
            </w:pPr>
            <w:r>
              <w:rPr>
                <w:rFonts w:ascii="Calibri" w:hAnsi="Calibri"/>
                <w:color w:val="000000"/>
                <w:sz w:val="18"/>
              </w:rPr>
              <w:t>Matches because near is symmetric</w:t>
            </w:r>
          </w:p>
        </w:tc>
      </w:tr>
      <w:tr>
        <w:tc>
          <w:tcPr>
            <w:tcW w:type="dxa" w:w="2880"/>
            <w:vAlign w:val="center"/>
            <w:tcMar>
              <w:top w:w="80" w:type="dxa"/>
              <w:start w:w="120" w:type="dxa"/>
              <w:bottom w:w="80" w:type="dxa"/>
              <w:end w:w="120" w:type="dxa"/>
            </w:tcMar>
          </w:tcPr>
          <w:p>
            <w:pPr>
              <w:spacing w:after="0"/>
              <w:jc w:val="left"/>
            </w:pPr>
            <w:r>
              <w:rPr>
                <w:rFonts w:ascii="Calibri" w:hAnsi="Calibri"/>
                <w:color w:val="000000"/>
                <w:sz w:val="18"/>
              </w:rPr>
              <w:t>chair left_of person</w:t>
            </w:r>
          </w:p>
        </w:tc>
        <w:tc>
          <w:tcPr>
            <w:tcW w:type="dxa" w:w="6480"/>
            <w:vAlign w:val="center"/>
            <w:tcMar>
              <w:top w:w="80" w:type="dxa"/>
              <w:start w:w="120" w:type="dxa"/>
              <w:bottom w:w="80" w:type="dxa"/>
              <w:end w:w="120" w:type="dxa"/>
            </w:tcMar>
          </w:tcPr>
          <w:p>
            <w:pPr>
              <w:spacing w:after="0"/>
              <w:jc w:val="left"/>
            </w:pPr>
            <w:r>
              <w:rPr>
                <w:rFonts w:ascii="Calibri" w:hAnsi="Calibri"/>
                <w:color w:val="000000"/>
                <w:sz w:val="18"/>
              </w:rPr>
              <w:t>Does not match person left_of chair</w:t>
            </w:r>
          </w:p>
        </w:tc>
      </w:tr>
      <w:tr>
        <w:tc>
          <w:tcPr>
            <w:tcW w:type="dxa" w:w="2880"/>
            <w:vAlign w:val="center"/>
            <w:tcMar>
              <w:top w:w="80" w:type="dxa"/>
              <w:start w:w="120" w:type="dxa"/>
              <w:bottom w:w="80" w:type="dxa"/>
              <w:end w:w="120" w:type="dxa"/>
            </w:tcMar>
          </w:tcPr>
          <w:p>
            <w:pPr>
              <w:spacing w:after="0"/>
              <w:jc w:val="left"/>
            </w:pPr>
            <w:r>
              <w:rPr>
                <w:rFonts w:ascii="Calibri" w:hAnsi="Calibri"/>
                <w:color w:val="000000"/>
                <w:sz w:val="18"/>
              </w:rPr>
              <w:t>beside / next to</w:t>
            </w:r>
          </w:p>
        </w:tc>
        <w:tc>
          <w:tcPr>
            <w:tcW w:type="dxa" w:w="6480"/>
            <w:vAlign w:val="center"/>
            <w:tcMar>
              <w:top w:w="80" w:type="dxa"/>
              <w:start w:w="120" w:type="dxa"/>
              <w:bottom w:w="80" w:type="dxa"/>
              <w:end w:w="120" w:type="dxa"/>
            </w:tcMar>
          </w:tcPr>
          <w:p>
            <w:pPr>
              <w:spacing w:after="0"/>
              <w:jc w:val="left"/>
            </w:pPr>
            <w:r>
              <w:rPr>
                <w:rFonts w:ascii="Calibri" w:hAnsi="Calibri"/>
                <w:color w:val="000000"/>
                <w:sz w:val="18"/>
              </w:rPr>
              <w:t>Normalized to near</w:t>
            </w:r>
          </w:p>
        </w:tc>
      </w:tr>
      <w:tr>
        <w:tc>
          <w:tcPr>
            <w:tcW w:type="dxa" w:w="2880"/>
            <w:vAlign w:val="center"/>
            <w:tcMar>
              <w:top w:w="80" w:type="dxa"/>
              <w:start w:w="120" w:type="dxa"/>
              <w:bottom w:w="80" w:type="dxa"/>
              <w:end w:w="120" w:type="dxa"/>
            </w:tcMar>
          </w:tcPr>
          <w:p>
            <w:pPr>
              <w:spacing w:after="0"/>
              <w:jc w:val="left"/>
            </w:pPr>
            <w:r>
              <w:rPr>
                <w:rFonts w:ascii="Calibri" w:hAnsi="Calibri"/>
                <w:color w:val="000000"/>
                <w:sz w:val="18"/>
              </w:rPr>
              <w:t>talking to / writing on</w:t>
            </w:r>
          </w:p>
        </w:tc>
        <w:tc>
          <w:tcPr>
            <w:tcW w:type="dxa" w:w="6480"/>
            <w:vAlign w:val="center"/>
            <w:tcMar>
              <w:top w:w="80" w:type="dxa"/>
              <w:start w:w="120" w:type="dxa"/>
              <w:bottom w:w="80" w:type="dxa"/>
              <w:end w:w="120" w:type="dxa"/>
            </w:tcMar>
          </w:tcPr>
          <w:p>
            <w:pPr>
              <w:spacing w:after="0"/>
              <w:jc w:val="left"/>
            </w:pPr>
            <w:r>
              <w:rPr>
                <w:rFonts w:ascii="Calibri" w:hAnsi="Calibri"/>
                <w:color w:val="000000"/>
                <w:sz w:val="18"/>
              </w:rPr>
              <w:t>Normalized to talk_to / write_on</w:t>
            </w:r>
          </w:p>
        </w:tc>
      </w:tr>
    </w:tbl>
    <w:p>
      <w:pPr>
        <w:spacing w:after="0"/>
      </w:pPr>
    </w:p>
    <w:p>
      <w:pPr>
        <w:pStyle w:val="Heading1"/>
        <w:keepNext/>
      </w:pPr>
      <w:r>
        <w:t>5. AVA 80-label person-action GNN</w:t>
      </w:r>
    </w:p>
    <w:p>
      <w:r>
        <w:rPr>
          <w:rFonts w:ascii="Calibri" w:hAnsi="Calibri"/>
          <w:color w:val="000000"/>
          <w:sz w:val="22"/>
        </w:rPr>
        <w:t>A genuine multi-label graph model was trained from official AVA v2.2 annotations. One graph is constructed per AVA timestamp. Person nodes receive 80-dimensional multi-hot action targets, while object nodes contribute context but are masked from the action loss.</w:t>
      </w:r>
    </w:p>
    <w:p>
      <w:pPr>
        <w:pStyle w:val="Heading2"/>
        <w:keepNext/>
      </w:pPr>
      <w:r>
        <w:t>Features and architecture</w:t>
      </w:r>
    </w:p>
    <w:p>
      <w:pPr>
        <w:pStyle w:val="ListBullet"/>
      </w:pPr>
      <w:r>
        <w:rPr>
          <w:rFonts w:ascii="Calibri" w:hAnsi="Calibri"/>
          <w:color w:val="000000"/>
          <w:sz w:val="22"/>
        </w:rPr>
        <w:t>Node features: class embedding, normalized box, area, aspect ratio, detector confidence, frozen ResNet-18 crop features, whole-frame context, audio/transcript summaries and optional motion.</w:t>
      </w:r>
    </w:p>
    <w:p>
      <w:pPr>
        <w:pStyle w:val="ListBullet"/>
      </w:pPr>
      <w:r>
        <w:rPr>
          <w:rFonts w:ascii="Calibri" w:hAnsi="Calibri"/>
          <w:color w:val="000000"/>
          <w:sz w:val="22"/>
        </w:rPr>
        <w:t>Edge features: relative position, centre distance, IoU, size ratio, direction and overlap.</w:t>
      </w:r>
    </w:p>
    <w:p>
      <w:pPr>
        <w:pStyle w:val="ListBullet"/>
      </w:pPr>
      <w:r>
        <w:rPr>
          <w:rFonts w:ascii="Calibri" w:hAnsi="Calibri"/>
          <w:color w:val="000000"/>
          <w:sz w:val="22"/>
        </w:rPr>
        <w:t>Architecture: node projection, two edge-aware GATv2 layers, residual connections, layer normalization, dropout and an 80-logit person-node classifier.</w:t>
      </w:r>
    </w:p>
    <w:p>
      <w:pPr>
        <w:pStyle w:val="ListBullet"/>
      </w:pPr>
      <w:r>
        <w:rPr>
          <w:rFonts w:ascii="Calibri" w:hAnsi="Calibri"/>
          <w:color w:val="000000"/>
          <w:sz w:val="22"/>
        </w:rPr>
        <w:t>Training: strict video-level split, BCEWithLogitsLoss with imbalance handling, validation-only thresholds, deterministic seeds and checkpoint/schema/checksum validation.</w:t>
      </w:r>
    </w:p>
    <w:p>
      <w:pPr>
        <w:pStyle w:val="Heading2"/>
        <w:keepNext/>
      </w:pPr>
      <w:r>
        <w:t>Active action model</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shd w:fill="E8EEF5"/>
            <w:vAlign w:val="center"/>
            <w:tcMar>
              <w:top w:w="80" w:type="dxa"/>
              <w:start w:w="120" w:type="dxa"/>
              <w:bottom w:w="80" w:type="dxa"/>
              <w:end w:w="120" w:type="dxa"/>
            </w:tcMar>
          </w:tcPr>
          <w:p>
            <w:pPr>
              <w:spacing w:after="0"/>
              <w:jc w:val="left"/>
            </w:pPr>
            <w:r>
              <w:rPr>
                <w:rFonts w:ascii="Calibri" w:hAnsi="Calibri"/>
                <w:b/>
                <w:color w:val="0B2545"/>
                <w:sz w:val="18"/>
              </w:rPr>
              <w:t>Item</w:t>
            </w:r>
          </w:p>
        </w:tc>
        <w:tc>
          <w:tcPr>
            <w:tcW w:type="dxa" w:w="6840"/>
            <w:shd w:fill="E8EEF5"/>
            <w:vAlign w:val="center"/>
            <w:tcMar>
              <w:top w:w="80" w:type="dxa"/>
              <w:start w:w="120" w:type="dxa"/>
              <w:bottom w:w="80" w:type="dxa"/>
              <w:end w:w="120" w:type="dxa"/>
            </w:tcMar>
          </w:tcPr>
          <w:p>
            <w:pPr>
              <w:spacing w:after="0"/>
              <w:jc w:val="left"/>
            </w:pPr>
            <w:r>
              <w:rPr>
                <w:rFonts w:ascii="Calibri" w:hAnsi="Calibri"/>
                <w:b/>
                <w:color w:val="0B2545"/>
                <w:sz w:val="18"/>
              </w:rPr>
              <w:t>Verified value</w:t>
            </w:r>
          </w:p>
        </w:tc>
      </w:tr>
      <w:tr>
        <w:tc>
          <w:tcPr>
            <w:tcW w:type="dxa" w:w="2520"/>
            <w:vAlign w:val="center"/>
            <w:tcMar>
              <w:top w:w="80" w:type="dxa"/>
              <w:start w:w="120" w:type="dxa"/>
              <w:bottom w:w="80" w:type="dxa"/>
              <w:end w:w="120" w:type="dxa"/>
            </w:tcMar>
          </w:tcPr>
          <w:p>
            <w:pPr>
              <w:spacing w:after="0"/>
              <w:jc w:val="left"/>
            </w:pPr>
            <w:r>
              <w:rPr>
                <w:rFonts w:ascii="Calibri" w:hAnsi="Calibri"/>
                <w:color w:val="000000"/>
                <w:sz w:val="18"/>
              </w:rPr>
              <w:t>Model</w:t>
            </w:r>
          </w:p>
        </w:tc>
        <w:tc>
          <w:tcPr>
            <w:tcW w:type="dxa" w:w="6840"/>
            <w:vAlign w:val="center"/>
            <w:tcMar>
              <w:top w:w="80" w:type="dxa"/>
              <w:start w:w="120" w:type="dxa"/>
              <w:bottom w:w="80" w:type="dxa"/>
              <w:end w:w="120" w:type="dxa"/>
            </w:tcMar>
          </w:tcPr>
          <w:p>
            <w:pPr>
              <w:spacing w:after="0"/>
              <w:jc w:val="left"/>
            </w:pPr>
            <w:r>
              <w:rPr>
                <w:rFonts w:ascii="Calibri" w:hAnsi="Calibri"/>
                <w:color w:val="000000"/>
                <w:sz w:val="18"/>
              </w:rPr>
              <w:t>ava80-gat-v5-scale30-roi-frame</w:t>
            </w:r>
          </w:p>
        </w:tc>
      </w:tr>
      <w:tr>
        <w:tc>
          <w:tcPr>
            <w:tcW w:type="dxa" w:w="2520"/>
            <w:vAlign w:val="center"/>
            <w:tcMar>
              <w:top w:w="80" w:type="dxa"/>
              <w:start w:w="120" w:type="dxa"/>
              <w:bottom w:w="80" w:type="dxa"/>
              <w:end w:w="120" w:type="dxa"/>
            </w:tcMar>
          </w:tcPr>
          <w:p>
            <w:pPr>
              <w:spacing w:after="0"/>
              <w:jc w:val="left"/>
            </w:pPr>
            <w:r>
              <w:rPr>
                <w:rFonts w:ascii="Calibri" w:hAnsi="Calibri"/>
                <w:color w:val="000000"/>
                <w:sz w:val="18"/>
              </w:rPr>
              <w:t>Corpus</w:t>
            </w:r>
          </w:p>
        </w:tc>
        <w:tc>
          <w:tcPr>
            <w:tcW w:type="dxa" w:w="6840"/>
            <w:vAlign w:val="center"/>
            <w:tcMar>
              <w:top w:w="80" w:type="dxa"/>
              <w:start w:w="120" w:type="dxa"/>
              <w:bottom w:w="80" w:type="dxa"/>
              <w:end w:w="120" w:type="dxa"/>
            </w:tcMar>
          </w:tcPr>
          <w:p>
            <w:pPr>
              <w:spacing w:after="0"/>
              <w:jc w:val="left"/>
            </w:pPr>
            <w:r>
              <w:rPr>
                <w:rFonts w:ascii="Calibri" w:hAnsi="Calibri"/>
                <w:color w:val="000000"/>
                <w:sz w:val="18"/>
              </w:rPr>
              <w:t>30 official AVA videos</w:t>
            </w:r>
          </w:p>
        </w:tc>
      </w:tr>
      <w:tr>
        <w:tc>
          <w:tcPr>
            <w:tcW w:type="dxa" w:w="2520"/>
            <w:vAlign w:val="center"/>
            <w:tcMar>
              <w:top w:w="80" w:type="dxa"/>
              <w:start w:w="120" w:type="dxa"/>
              <w:bottom w:w="80" w:type="dxa"/>
              <w:end w:w="120" w:type="dxa"/>
            </w:tcMar>
          </w:tcPr>
          <w:p>
            <w:pPr>
              <w:spacing w:after="0"/>
              <w:jc w:val="left"/>
            </w:pPr>
            <w:r>
              <w:rPr>
                <w:rFonts w:ascii="Calibri" w:hAnsi="Calibri"/>
                <w:color w:val="000000"/>
                <w:sz w:val="18"/>
              </w:rPr>
              <w:t>Video split</w:t>
            </w:r>
          </w:p>
        </w:tc>
        <w:tc>
          <w:tcPr>
            <w:tcW w:type="dxa" w:w="6840"/>
            <w:vAlign w:val="center"/>
            <w:tcMar>
              <w:top w:w="80" w:type="dxa"/>
              <w:start w:w="120" w:type="dxa"/>
              <w:bottom w:w="80" w:type="dxa"/>
              <w:end w:w="120" w:type="dxa"/>
            </w:tcMar>
          </w:tcPr>
          <w:p>
            <w:pPr>
              <w:spacing w:after="0"/>
              <w:jc w:val="left"/>
            </w:pPr>
            <w:r>
              <w:rPr>
                <w:rFonts w:ascii="Calibri" w:hAnsi="Calibri"/>
                <w:color w:val="000000"/>
                <w:sz w:val="18"/>
              </w:rPr>
              <w:t>24 train / 3 validation / 3 test</w:t>
            </w:r>
          </w:p>
        </w:tc>
      </w:tr>
      <w:tr>
        <w:tc>
          <w:tcPr>
            <w:tcW w:type="dxa" w:w="2520"/>
            <w:vAlign w:val="center"/>
            <w:tcMar>
              <w:top w:w="80" w:type="dxa"/>
              <w:start w:w="120" w:type="dxa"/>
              <w:bottom w:w="80" w:type="dxa"/>
              <w:end w:w="120" w:type="dxa"/>
            </w:tcMar>
          </w:tcPr>
          <w:p>
            <w:pPr>
              <w:spacing w:after="0"/>
              <w:jc w:val="left"/>
            </w:pPr>
            <w:r>
              <w:rPr>
                <w:rFonts w:ascii="Calibri" w:hAnsi="Calibri"/>
                <w:color w:val="000000"/>
                <w:sz w:val="18"/>
              </w:rPr>
              <w:t>Timestamp graphs</w:t>
            </w:r>
          </w:p>
        </w:tc>
        <w:tc>
          <w:tcPr>
            <w:tcW w:type="dxa" w:w="6840"/>
            <w:vAlign w:val="center"/>
            <w:tcMar>
              <w:top w:w="80" w:type="dxa"/>
              <w:start w:w="120" w:type="dxa"/>
              <w:bottom w:w="80" w:type="dxa"/>
              <w:end w:w="120" w:type="dxa"/>
            </w:tcMar>
          </w:tcPr>
          <w:p>
            <w:pPr>
              <w:spacing w:after="0"/>
              <w:jc w:val="left"/>
            </w:pPr>
            <w:r>
              <w:rPr>
                <w:rFonts w:ascii="Calibri" w:hAnsi="Calibri"/>
                <w:color w:val="000000"/>
                <w:sz w:val="18"/>
              </w:rPr>
              <w:t>23,200</w:t>
            </w:r>
          </w:p>
        </w:tc>
      </w:tr>
      <w:tr>
        <w:tc>
          <w:tcPr>
            <w:tcW w:type="dxa" w:w="2520"/>
            <w:vAlign w:val="center"/>
            <w:tcMar>
              <w:top w:w="80" w:type="dxa"/>
              <w:start w:w="120" w:type="dxa"/>
              <w:bottom w:w="80" w:type="dxa"/>
              <w:end w:w="120" w:type="dxa"/>
            </w:tcMar>
          </w:tcPr>
          <w:p>
            <w:pPr>
              <w:spacing w:after="0"/>
              <w:jc w:val="left"/>
            </w:pPr>
            <w:r>
              <w:rPr>
                <w:rFonts w:ascii="Calibri" w:hAnsi="Calibri"/>
                <w:color w:val="000000"/>
                <w:sz w:val="18"/>
              </w:rPr>
              <w:t>Supervised person nodes</w:t>
            </w:r>
          </w:p>
        </w:tc>
        <w:tc>
          <w:tcPr>
            <w:tcW w:type="dxa" w:w="6840"/>
            <w:vAlign w:val="center"/>
            <w:tcMar>
              <w:top w:w="80" w:type="dxa"/>
              <w:start w:w="120" w:type="dxa"/>
              <w:bottom w:w="80" w:type="dxa"/>
              <w:end w:w="120" w:type="dxa"/>
            </w:tcMar>
          </w:tcPr>
          <w:p>
            <w:pPr>
              <w:spacing w:after="0"/>
              <w:jc w:val="left"/>
            </w:pPr>
            <w:r>
              <w:rPr>
                <w:rFonts w:ascii="Calibri" w:hAnsi="Calibri"/>
                <w:color w:val="000000"/>
                <w:sz w:val="18"/>
              </w:rPr>
              <w:t>43,747</w:t>
            </w:r>
          </w:p>
        </w:tc>
      </w:tr>
      <w:tr>
        <w:tc>
          <w:tcPr>
            <w:tcW w:type="dxa" w:w="2520"/>
            <w:vAlign w:val="center"/>
            <w:tcMar>
              <w:top w:w="80" w:type="dxa"/>
              <w:start w:w="120" w:type="dxa"/>
              <w:bottom w:w="80" w:type="dxa"/>
              <w:end w:w="120" w:type="dxa"/>
            </w:tcMar>
          </w:tcPr>
          <w:p>
            <w:pPr>
              <w:spacing w:after="0"/>
              <w:jc w:val="left"/>
            </w:pPr>
            <w:r>
              <w:rPr>
                <w:rFonts w:ascii="Calibri" w:hAnsi="Calibri"/>
                <w:color w:val="000000"/>
                <w:sz w:val="18"/>
              </w:rPr>
              <w:t>Training-label coverage</w:t>
            </w:r>
          </w:p>
        </w:tc>
        <w:tc>
          <w:tcPr>
            <w:tcW w:type="dxa" w:w="6840"/>
            <w:vAlign w:val="center"/>
            <w:tcMar>
              <w:top w:w="80" w:type="dxa"/>
              <w:start w:w="120" w:type="dxa"/>
              <w:bottom w:w="80" w:type="dxa"/>
              <w:end w:w="120" w:type="dxa"/>
            </w:tcMar>
          </w:tcPr>
          <w:p>
            <w:pPr>
              <w:spacing w:after="0"/>
              <w:jc w:val="left"/>
            </w:pPr>
            <w:r>
              <w:rPr>
                <w:rFonts w:ascii="Calibri" w:hAnsi="Calibri"/>
                <w:color w:val="000000"/>
                <w:sz w:val="18"/>
              </w:rPr>
              <w:t>Positive examples for all 80 actions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6120"/>
        <w:gridCol w:w="3240"/>
      </w:tblGrid>
      <w:tr>
        <w:trPr>
          <w:tblHeader w:val="true"/>
        </w:trPr>
        <w:tc>
          <w:tcPr>
            <w:tcW w:type="dxa" w:w="6120"/>
            <w:shd w:fill="E8EEF5"/>
            <w:vAlign w:val="center"/>
            <w:tcMar>
              <w:top w:w="80" w:type="dxa"/>
              <w:start w:w="120" w:type="dxa"/>
              <w:bottom w:w="80" w:type="dxa"/>
              <w:end w:w="120" w:type="dxa"/>
            </w:tcMar>
          </w:tcPr>
          <w:p>
            <w:pPr>
              <w:spacing w:after="0"/>
              <w:jc w:val="left"/>
            </w:pPr>
            <w:r>
              <w:rPr>
                <w:rFonts w:ascii="Calibri" w:hAnsi="Calibri"/>
                <w:b/>
                <w:color w:val="0B2545"/>
                <w:sz w:val="18"/>
              </w:rPr>
              <w:t>Held-out metric</w:t>
            </w:r>
          </w:p>
        </w:tc>
        <w:tc>
          <w:tcPr>
            <w:tcW w:type="dxa" w:w="3240"/>
            <w:shd w:fill="E8EEF5"/>
            <w:vAlign w:val="center"/>
            <w:tcMar>
              <w:top w:w="80" w:type="dxa"/>
              <w:start w:w="120" w:type="dxa"/>
              <w:bottom w:w="80" w:type="dxa"/>
              <w:end w:w="120" w:type="dxa"/>
            </w:tcMar>
          </w:tcPr>
          <w:p>
            <w:pPr>
              <w:spacing w:after="0"/>
              <w:jc w:val="center"/>
            </w:pPr>
            <w:r>
              <w:rPr>
                <w:rFonts w:ascii="Calibri" w:hAnsi="Calibri"/>
                <w:b/>
                <w:color w:val="0B2545"/>
                <w:sz w:val="18"/>
              </w:rPr>
              <w:t>Value</w:t>
            </w:r>
          </w:p>
        </w:tc>
      </w:tr>
      <w:tr>
        <w:tc>
          <w:tcPr>
            <w:tcW w:type="dxa" w:w="6120"/>
            <w:vAlign w:val="center"/>
            <w:tcMar>
              <w:top w:w="80" w:type="dxa"/>
              <w:start w:w="120" w:type="dxa"/>
              <w:bottom w:w="80" w:type="dxa"/>
              <w:end w:w="120" w:type="dxa"/>
            </w:tcMar>
          </w:tcPr>
          <w:p>
            <w:pPr>
              <w:spacing w:after="0"/>
              <w:jc w:val="left"/>
            </w:pPr>
            <w:r>
              <w:rPr>
                <w:rFonts w:ascii="Calibri" w:hAnsi="Calibri"/>
                <w:color w:val="000000"/>
                <w:sz w:val="18"/>
              </w:rPr>
              <w:t>Supported-class macro F1</w:t>
            </w:r>
          </w:p>
        </w:tc>
        <w:tc>
          <w:tcPr>
            <w:tcW w:type="dxa" w:w="3240"/>
            <w:vAlign w:val="center"/>
            <w:tcMar>
              <w:top w:w="80" w:type="dxa"/>
              <w:start w:w="120" w:type="dxa"/>
              <w:bottom w:w="80" w:type="dxa"/>
              <w:end w:w="120" w:type="dxa"/>
            </w:tcMar>
          </w:tcPr>
          <w:p>
            <w:pPr>
              <w:spacing w:after="0"/>
              <w:jc w:val="center"/>
            </w:pPr>
            <w:r>
              <w:rPr>
                <w:rFonts w:ascii="Calibri" w:hAnsi="Calibri"/>
                <w:color w:val="000000"/>
                <w:sz w:val="18"/>
              </w:rPr>
              <w:t>0.072086</w:t>
            </w:r>
          </w:p>
        </w:tc>
      </w:tr>
      <w:tr>
        <w:tc>
          <w:tcPr>
            <w:tcW w:type="dxa" w:w="6120"/>
            <w:vAlign w:val="center"/>
            <w:tcMar>
              <w:top w:w="80" w:type="dxa"/>
              <w:start w:w="120" w:type="dxa"/>
              <w:bottom w:w="80" w:type="dxa"/>
              <w:end w:w="120" w:type="dxa"/>
            </w:tcMar>
          </w:tcPr>
          <w:p>
            <w:pPr>
              <w:spacing w:after="0"/>
              <w:jc w:val="left"/>
            </w:pPr>
            <w:r>
              <w:rPr>
                <w:rFonts w:ascii="Calibri" w:hAnsi="Calibri"/>
                <w:color w:val="000000"/>
                <w:sz w:val="18"/>
              </w:rPr>
              <w:t>Micro F1</w:t>
            </w:r>
          </w:p>
        </w:tc>
        <w:tc>
          <w:tcPr>
            <w:tcW w:type="dxa" w:w="3240"/>
            <w:vAlign w:val="center"/>
            <w:tcMar>
              <w:top w:w="80" w:type="dxa"/>
              <w:start w:w="120" w:type="dxa"/>
              <w:bottom w:w="80" w:type="dxa"/>
              <w:end w:w="120" w:type="dxa"/>
            </w:tcMar>
          </w:tcPr>
          <w:p>
            <w:pPr>
              <w:spacing w:after="0"/>
              <w:jc w:val="center"/>
            </w:pPr>
            <w:r>
              <w:rPr>
                <w:rFonts w:ascii="Calibri" w:hAnsi="Calibri"/>
                <w:color w:val="000000"/>
                <w:sz w:val="18"/>
              </w:rPr>
              <w:t>0.462054</w:t>
            </w:r>
          </w:p>
        </w:tc>
      </w:tr>
      <w:tr>
        <w:tc>
          <w:tcPr>
            <w:tcW w:type="dxa" w:w="6120"/>
            <w:vAlign w:val="center"/>
            <w:tcMar>
              <w:top w:w="80" w:type="dxa"/>
              <w:start w:w="120" w:type="dxa"/>
              <w:bottom w:w="80" w:type="dxa"/>
              <w:end w:w="120" w:type="dxa"/>
            </w:tcMar>
          </w:tcPr>
          <w:p>
            <w:pPr>
              <w:spacing w:after="0"/>
              <w:jc w:val="left"/>
            </w:pPr>
            <w:r>
              <w:rPr>
                <w:rFonts w:ascii="Calibri" w:hAnsi="Calibri"/>
                <w:color w:val="000000"/>
                <w:sz w:val="18"/>
              </w:rPr>
              <w:t>Mean average precision</w:t>
            </w:r>
          </w:p>
        </w:tc>
        <w:tc>
          <w:tcPr>
            <w:tcW w:type="dxa" w:w="3240"/>
            <w:vAlign w:val="center"/>
            <w:tcMar>
              <w:top w:w="80" w:type="dxa"/>
              <w:start w:w="120" w:type="dxa"/>
              <w:bottom w:w="80" w:type="dxa"/>
              <w:end w:w="120" w:type="dxa"/>
            </w:tcMar>
          </w:tcPr>
          <w:p>
            <w:pPr>
              <w:spacing w:after="0"/>
              <w:jc w:val="center"/>
            </w:pPr>
            <w:r>
              <w:rPr>
                <w:rFonts w:ascii="Calibri" w:hAnsi="Calibri"/>
                <w:color w:val="000000"/>
                <w:sz w:val="18"/>
              </w:rPr>
              <w:t>0.086745</w:t>
            </w:r>
          </w:p>
        </w:tc>
      </w:tr>
    </w:tbl>
    <w:p>
      <w:pPr>
        <w:spacing w:after="0"/>
      </w:pPr>
    </w:p>
    <w:p>
      <w:pPr>
        <w:pStyle w:val="Callout"/>
      </w:pPr>
      <w:r>
        <w:rPr>
          <w:rFonts w:ascii="Calibri" w:hAnsi="Calibri"/>
          <w:b/>
          <w:color w:val="1F4D78"/>
          <w:sz w:val="20"/>
        </w:rPr>
        <w:t xml:space="preserve">INTERPRETATION  </w:t>
      </w:r>
      <w:r>
        <w:rPr>
          <w:rFonts w:ascii="Calibri" w:hAnsi="Calibri"/>
          <w:color w:val="0B2545"/>
          <w:sz w:val="21"/>
        </w:rPr>
        <w:t>The model is genuinely trained and integrated, but 30 videos are still small for an 80-class long-tailed task. The low macro F1 is reported honestly; the project does not claim broad action-recognition superiority.</w:t>
      </w:r>
    </w:p>
    <w:p>
      <w:pPr>
        <w:pStyle w:val="Heading2"/>
        <w:keepNext/>
      </w:pPr>
      <w:r>
        <w:t>Action target resolver</w:t>
      </w:r>
    </w:p>
    <w:p>
      <w:r>
        <w:rPr>
          <w:rFonts w:ascii="Calibri" w:hAnsi="Calibri"/>
          <w:color w:val="000000"/>
          <w:sz w:val="22"/>
        </w:rPr>
        <w:t>AVA labels are person-centric. The GNN may predict that person_1 performs talk_to, but it does not directly predict the target person. A separate resolver may select a compatible target and create person_1 -&gt; talk_to -&gt; person_2 evidence. The provenance is explicitly stored as gnn_action_plus_target_resolver so the target is never misrepresented as a direct GNN output.</w:t>
      </w:r>
    </w:p>
    <w:p>
      <w:pPr>
        <w:pStyle w:val="Heading1"/>
        <w:keepNext/>
      </w:pPr>
      <w:r>
        <w:t>6. VidOR explicit relationship GNN</w:t>
      </w:r>
    </w:p>
    <w:p>
      <w:r>
        <w:rPr>
          <w:rFonts w:ascii="Calibri" w:hAnsi="Calibri"/>
          <w:color w:val="000000"/>
          <w:sz w:val="22"/>
        </w:rPr>
        <w:t>A separate pair-visual GATv2 model was trained from VidOR annotations to predict ordered subject-predicate-object relationships. Unlike the AVA target resolver, this model directly classifies predicates for candidate entity pairs.</w:t>
      </w:r>
    </w:p>
    <w:p>
      <w:pPr>
        <w:pStyle w:val="ListBullet"/>
      </w:pPr>
      <w:r>
        <w:rPr>
          <w:rFonts w:ascii="Calibri" w:hAnsi="Calibri"/>
          <w:color w:val="000000"/>
          <w:sz w:val="22"/>
        </w:rPr>
        <w:t>Inputs include subject, object and union-box frozen ResNet-18 embeddings, entity classes, geometry and motion.</w:t>
      </w:r>
    </w:p>
    <w:p>
      <w:pPr>
        <w:pStyle w:val="ListBullet"/>
      </w:pPr>
      <w:r>
        <w:rPr>
          <w:rFonts w:ascii="Calibri" w:hAnsi="Calibri"/>
          <w:color w:val="000000"/>
          <w:sz w:val="22"/>
        </w:rPr>
        <w:t>The graph model predicts 50 predicates across 80 entity classes.</w:t>
      </w:r>
    </w:p>
    <w:p>
      <w:pPr>
        <w:pStyle w:val="ListBullet"/>
      </w:pPr>
      <w:r>
        <w:rPr>
          <w:rFonts w:ascii="Calibri" w:hAnsi="Calibri"/>
          <w:color w:val="000000"/>
          <w:sz w:val="22"/>
        </w:rPr>
        <w:t>The strict split contains 57 training, 6 validation and 4 test videos.</w:t>
      </w:r>
    </w:p>
    <w:p>
      <w:pPr>
        <w:pStyle w:val="ListBullet"/>
      </w:pPr>
      <w:r>
        <w:rPr>
          <w:rFonts w:ascii="Calibri" w:hAnsi="Calibri"/>
          <w:color w:val="000000"/>
          <w:sz w:val="22"/>
        </w:rPr>
        <w:t>The dataset contains 402 timestamp graphs and 11,981 candidate edges.</w:t>
      </w:r>
    </w:p>
    <w:p>
      <w:pPr>
        <w:pStyle w:val="ListBullet"/>
      </w:pPr>
      <w:r>
        <w:rPr>
          <w:rFonts w:ascii="Calibri" w:hAnsi="Calibri"/>
          <w:color w:val="000000"/>
          <w:sz w:val="22"/>
        </w:rPr>
        <w:t>Predictions are serialized with relationship_gnn provenance and the exact model version.</w:t>
      </w:r>
    </w:p>
    <w:tbl>
      <w:tblPr>
        <w:tblStyle w:val="TableGrid"/>
        <w:tblW w:type="dxa" w:w="9360"/>
        <w:jc w:val="left"/>
        <w:tblLayout w:type="fixed"/>
        <w:tblLook w:firstColumn="1" w:firstRow="1" w:lastColumn="0" w:lastRow="0" w:noHBand="0" w:noVBand="1" w:val="04A0"/>
        <w:tblInd w:w="120" w:type="dxa"/>
      </w:tblPr>
      <w:tblGrid>
        <w:gridCol w:w="3240"/>
        <w:gridCol w:w="1530"/>
        <w:gridCol w:w="1530"/>
        <w:gridCol w:w="1530"/>
        <w:gridCol w:w="1530"/>
      </w:tblGrid>
      <w:tr>
        <w:trPr>
          <w:tblHeader w:val="true"/>
        </w:trPr>
        <w:tc>
          <w:tcPr>
            <w:tcW w:type="dxa" w:w="3240"/>
            <w:shd w:fill="E8EEF5"/>
            <w:vAlign w:val="center"/>
            <w:tcMar>
              <w:top w:w="80" w:type="dxa"/>
              <w:start w:w="120" w:type="dxa"/>
              <w:bottom w:w="80" w:type="dxa"/>
              <w:end w:w="120" w:type="dxa"/>
            </w:tcMar>
          </w:tcPr>
          <w:p>
            <w:pPr>
              <w:spacing w:after="0"/>
              <w:jc w:val="left"/>
            </w:pPr>
            <w:r>
              <w:rPr>
                <w:rFonts w:ascii="Calibri" w:hAnsi="Calibri"/>
                <w:b/>
                <w:color w:val="0B2545"/>
                <w:sz w:val="18"/>
              </w:rPr>
              <w:t>Model</w:t>
            </w:r>
          </w:p>
        </w:tc>
        <w:tc>
          <w:tcPr>
            <w:tcW w:type="dxa" w:w="1530"/>
            <w:shd w:fill="E8EEF5"/>
            <w:vAlign w:val="center"/>
            <w:tcMar>
              <w:top w:w="80" w:type="dxa"/>
              <w:start w:w="120" w:type="dxa"/>
              <w:bottom w:w="80" w:type="dxa"/>
              <w:end w:w="120" w:type="dxa"/>
            </w:tcMar>
          </w:tcPr>
          <w:p>
            <w:pPr>
              <w:spacing w:after="0"/>
              <w:jc w:val="center"/>
            </w:pPr>
            <w:r>
              <w:rPr>
                <w:rFonts w:ascii="Calibri" w:hAnsi="Calibri"/>
                <w:b/>
                <w:color w:val="0B2545"/>
                <w:sz w:val="18"/>
              </w:rPr>
              <w:t>Validation macro F1</w:t>
            </w:r>
          </w:p>
        </w:tc>
        <w:tc>
          <w:tcPr>
            <w:tcW w:type="dxa" w:w="1530"/>
            <w:shd w:fill="E8EEF5"/>
            <w:vAlign w:val="center"/>
            <w:tcMar>
              <w:top w:w="80" w:type="dxa"/>
              <w:start w:w="120" w:type="dxa"/>
              <w:bottom w:w="80" w:type="dxa"/>
              <w:end w:w="120" w:type="dxa"/>
            </w:tcMar>
          </w:tcPr>
          <w:p>
            <w:pPr>
              <w:spacing w:after="0"/>
              <w:jc w:val="center"/>
            </w:pPr>
            <w:r>
              <w:rPr>
                <w:rFonts w:ascii="Calibri" w:hAnsi="Calibri"/>
                <w:b/>
                <w:color w:val="0B2545"/>
                <w:sz w:val="18"/>
              </w:rPr>
              <w:t>Test macro F1</w:t>
            </w:r>
          </w:p>
        </w:tc>
        <w:tc>
          <w:tcPr>
            <w:tcW w:type="dxa" w:w="1530"/>
            <w:shd w:fill="E8EEF5"/>
            <w:vAlign w:val="center"/>
            <w:tcMar>
              <w:top w:w="80" w:type="dxa"/>
              <w:start w:w="120" w:type="dxa"/>
              <w:bottom w:w="80" w:type="dxa"/>
              <w:end w:w="120" w:type="dxa"/>
            </w:tcMar>
          </w:tcPr>
          <w:p>
            <w:pPr>
              <w:spacing w:after="0"/>
              <w:jc w:val="center"/>
            </w:pPr>
            <w:r>
              <w:rPr>
                <w:rFonts w:ascii="Calibri" w:hAnsi="Calibri"/>
                <w:b/>
                <w:color w:val="0B2545"/>
                <w:sz w:val="18"/>
              </w:rPr>
              <w:t>Test micro F1</w:t>
            </w:r>
          </w:p>
        </w:tc>
        <w:tc>
          <w:tcPr>
            <w:tcW w:type="dxa" w:w="1530"/>
            <w:shd w:fill="E8EEF5"/>
            <w:vAlign w:val="center"/>
            <w:tcMar>
              <w:top w:w="80" w:type="dxa"/>
              <w:start w:w="120" w:type="dxa"/>
              <w:bottom w:w="80" w:type="dxa"/>
              <w:end w:w="120" w:type="dxa"/>
            </w:tcMar>
          </w:tcPr>
          <w:p>
            <w:pPr>
              <w:spacing w:after="0"/>
              <w:jc w:val="center"/>
            </w:pPr>
            <w:r>
              <w:rPr>
                <w:rFonts w:ascii="Calibri" w:hAnsi="Calibri"/>
                <w:b/>
                <w:color w:val="0B2545"/>
                <w:sz w:val="18"/>
              </w:rPr>
              <w:t>Test mAP</w:t>
            </w:r>
          </w:p>
        </w:tc>
      </w:tr>
      <w:tr>
        <w:tc>
          <w:tcPr>
            <w:tcW w:type="dxa" w:w="3240"/>
            <w:vAlign w:val="center"/>
            <w:tcMar>
              <w:top w:w="80" w:type="dxa"/>
              <w:start w:w="120" w:type="dxa"/>
              <w:bottom w:w="80" w:type="dxa"/>
              <w:end w:w="120" w:type="dxa"/>
            </w:tcMar>
          </w:tcPr>
          <w:p>
            <w:pPr>
              <w:spacing w:after="0"/>
              <w:jc w:val="left"/>
            </w:pPr>
            <w:r>
              <w:rPr>
                <w:rFonts w:ascii="Calibri" w:hAnsi="Calibri"/>
                <w:color w:val="000000"/>
                <w:sz w:val="18"/>
              </w:rPr>
              <w:t>Pair-visual MLP v2</w:t>
            </w:r>
          </w:p>
        </w:tc>
        <w:tc>
          <w:tcPr>
            <w:tcW w:type="dxa" w:w="1530"/>
            <w:vAlign w:val="center"/>
            <w:tcMar>
              <w:top w:w="80" w:type="dxa"/>
              <w:start w:w="120" w:type="dxa"/>
              <w:bottom w:w="80" w:type="dxa"/>
              <w:end w:w="120" w:type="dxa"/>
            </w:tcMar>
          </w:tcPr>
          <w:p>
            <w:pPr>
              <w:spacing w:after="0"/>
              <w:jc w:val="center"/>
            </w:pPr>
            <w:r>
              <w:rPr>
                <w:rFonts w:ascii="Calibri" w:hAnsi="Calibri"/>
                <w:color w:val="000000"/>
                <w:sz w:val="18"/>
              </w:rPr>
              <w:t>0.270589</w:t>
            </w:r>
          </w:p>
        </w:tc>
        <w:tc>
          <w:tcPr>
            <w:tcW w:type="dxa" w:w="1530"/>
            <w:vAlign w:val="center"/>
            <w:tcMar>
              <w:top w:w="80" w:type="dxa"/>
              <w:start w:w="120" w:type="dxa"/>
              <w:bottom w:w="80" w:type="dxa"/>
              <w:end w:w="120" w:type="dxa"/>
            </w:tcMar>
          </w:tcPr>
          <w:p>
            <w:pPr>
              <w:spacing w:after="0"/>
              <w:jc w:val="center"/>
            </w:pPr>
            <w:r>
              <w:rPr>
                <w:rFonts w:ascii="Calibri" w:hAnsi="Calibri"/>
                <w:color w:val="000000"/>
                <w:sz w:val="18"/>
              </w:rPr>
              <w:t>0.182475</w:t>
            </w:r>
          </w:p>
        </w:tc>
        <w:tc>
          <w:tcPr>
            <w:tcW w:type="dxa" w:w="1530"/>
            <w:vAlign w:val="center"/>
            <w:tcMar>
              <w:top w:w="80" w:type="dxa"/>
              <w:start w:w="120" w:type="dxa"/>
              <w:bottom w:w="80" w:type="dxa"/>
              <w:end w:w="120" w:type="dxa"/>
            </w:tcMar>
          </w:tcPr>
          <w:p>
            <w:pPr>
              <w:spacing w:after="0"/>
              <w:jc w:val="center"/>
            </w:pPr>
            <w:r>
              <w:rPr>
                <w:rFonts w:ascii="Calibri" w:hAnsi="Calibri"/>
                <w:color w:val="000000"/>
                <w:sz w:val="18"/>
              </w:rPr>
              <w:t>0.319328</w:t>
            </w:r>
          </w:p>
        </w:tc>
        <w:tc>
          <w:tcPr>
            <w:tcW w:type="dxa" w:w="1530"/>
            <w:vAlign w:val="center"/>
            <w:tcMar>
              <w:top w:w="80" w:type="dxa"/>
              <w:start w:w="120" w:type="dxa"/>
              <w:bottom w:w="80" w:type="dxa"/>
              <w:end w:w="120" w:type="dxa"/>
            </w:tcMar>
          </w:tcPr>
          <w:p>
            <w:pPr>
              <w:spacing w:after="0"/>
              <w:jc w:val="center"/>
            </w:pPr>
            <w:r>
              <w:rPr>
                <w:rFonts w:ascii="Calibri" w:hAnsi="Calibri"/>
                <w:color w:val="000000"/>
                <w:sz w:val="18"/>
              </w:rPr>
              <w:t>0.210712</w:t>
            </w:r>
          </w:p>
        </w:tc>
      </w:tr>
      <w:tr>
        <w:tc>
          <w:tcPr>
            <w:tcW w:type="dxa" w:w="3240"/>
            <w:vAlign w:val="center"/>
            <w:tcMar>
              <w:top w:w="80" w:type="dxa"/>
              <w:start w:w="120" w:type="dxa"/>
              <w:bottom w:w="80" w:type="dxa"/>
              <w:end w:w="120" w:type="dxa"/>
            </w:tcMar>
          </w:tcPr>
          <w:p>
            <w:pPr>
              <w:spacing w:after="0"/>
              <w:jc w:val="left"/>
            </w:pPr>
            <w:r>
              <w:rPr>
                <w:rFonts w:ascii="Calibri" w:hAnsi="Calibri"/>
                <w:color w:val="000000"/>
                <w:sz w:val="18"/>
              </w:rPr>
              <w:t>Pair-visual GATv2 v2 (active)</w:t>
            </w:r>
          </w:p>
        </w:tc>
        <w:tc>
          <w:tcPr>
            <w:tcW w:type="dxa" w:w="1530"/>
            <w:vAlign w:val="center"/>
            <w:tcMar>
              <w:top w:w="80" w:type="dxa"/>
              <w:start w:w="120" w:type="dxa"/>
              <w:bottom w:w="80" w:type="dxa"/>
              <w:end w:w="120" w:type="dxa"/>
            </w:tcMar>
          </w:tcPr>
          <w:p>
            <w:pPr>
              <w:spacing w:after="0"/>
              <w:jc w:val="center"/>
            </w:pPr>
            <w:r>
              <w:rPr>
                <w:rFonts w:ascii="Calibri" w:hAnsi="Calibri"/>
                <w:color w:val="000000"/>
                <w:sz w:val="18"/>
              </w:rPr>
              <w:t>0.308495</w:t>
            </w:r>
          </w:p>
        </w:tc>
        <w:tc>
          <w:tcPr>
            <w:tcW w:type="dxa" w:w="1530"/>
            <w:vAlign w:val="center"/>
            <w:tcMar>
              <w:top w:w="80" w:type="dxa"/>
              <w:start w:w="120" w:type="dxa"/>
              <w:bottom w:w="80" w:type="dxa"/>
              <w:end w:w="120" w:type="dxa"/>
            </w:tcMar>
          </w:tcPr>
          <w:p>
            <w:pPr>
              <w:spacing w:after="0"/>
              <w:jc w:val="center"/>
            </w:pPr>
            <w:r>
              <w:rPr>
                <w:rFonts w:ascii="Calibri" w:hAnsi="Calibri"/>
                <w:color w:val="000000"/>
                <w:sz w:val="18"/>
              </w:rPr>
              <w:t>0.178194</w:t>
            </w:r>
          </w:p>
        </w:tc>
        <w:tc>
          <w:tcPr>
            <w:tcW w:type="dxa" w:w="1530"/>
            <w:vAlign w:val="center"/>
            <w:tcMar>
              <w:top w:w="80" w:type="dxa"/>
              <w:start w:w="120" w:type="dxa"/>
              <w:bottom w:w="80" w:type="dxa"/>
              <w:end w:w="120" w:type="dxa"/>
            </w:tcMar>
          </w:tcPr>
          <w:p>
            <w:pPr>
              <w:spacing w:after="0"/>
              <w:jc w:val="center"/>
            </w:pPr>
            <w:r>
              <w:rPr>
                <w:rFonts w:ascii="Calibri" w:hAnsi="Calibri"/>
                <w:color w:val="000000"/>
                <w:sz w:val="18"/>
              </w:rPr>
              <w:t>0.371113</w:t>
            </w:r>
          </w:p>
        </w:tc>
        <w:tc>
          <w:tcPr>
            <w:tcW w:type="dxa" w:w="1530"/>
            <w:vAlign w:val="center"/>
            <w:tcMar>
              <w:top w:w="80" w:type="dxa"/>
              <w:start w:w="120" w:type="dxa"/>
              <w:bottom w:w="80" w:type="dxa"/>
              <w:end w:w="120" w:type="dxa"/>
            </w:tcMar>
          </w:tcPr>
          <w:p>
            <w:pPr>
              <w:spacing w:after="0"/>
              <w:jc w:val="center"/>
            </w:pPr>
            <w:r>
              <w:rPr>
                <w:rFonts w:ascii="Calibri" w:hAnsi="Calibri"/>
                <w:color w:val="000000"/>
                <w:sz w:val="18"/>
              </w:rPr>
              <w:t>0.191364</w:t>
            </w:r>
          </w:p>
        </w:tc>
      </w:tr>
    </w:tbl>
    <w:p>
      <w:pPr>
        <w:spacing w:after="0"/>
      </w:pPr>
    </w:p>
    <w:p>
      <w:pPr>
        <w:pStyle w:val="Callout"/>
      </w:pPr>
      <w:r>
        <w:rPr>
          <w:rFonts w:ascii="Calibri" w:hAnsi="Calibri"/>
          <w:b/>
          <w:color w:val="1F4D78"/>
          <w:sz w:val="20"/>
        </w:rPr>
        <w:t xml:space="preserve">SELECTION RULE  </w:t>
      </w:r>
      <w:r>
        <w:rPr>
          <w:rFonts w:ascii="Calibri" w:hAnsi="Calibri"/>
          <w:color w:val="0B2545"/>
          <w:sz w:val="21"/>
        </w:rPr>
        <w:t>The GATv2 model was selected because it won the declared validation metrics before test evaluation. The test set contains only four videos, so the results are descriptive rather than proof of broad generalization.</w:t>
      </w:r>
    </w:p>
    <w:p>
      <w:pPr>
        <w:pStyle w:val="Heading1"/>
        <w:keepNext/>
      </w:pPr>
      <w:r>
        <w:t>7. Canonical segments and SQLite persistence</w:t>
      </w:r>
    </w:p>
    <w:p>
      <w:r>
        <w:rPr>
          <w:rFonts w:ascii="Calibri" w:hAnsi="Calibri"/>
          <w:color w:val="000000"/>
          <w:sz w:val="22"/>
        </w:rPr>
        <w:t>All model outputs are aligned into a common five-second CanonicalSegment. This solves the temporal mismatch between frame-based detection, timestamp-level graph inference, variable-length speech and speaker intervals, and OCR observations.</w:t>
      </w:r>
    </w:p>
    <w:p>
      <w:pPr>
        <w:pStyle w:val="ListBullet"/>
      </w:pPr>
      <w:r>
        <w:rPr>
          <w:rFonts w:ascii="Calibri" w:hAnsi="Calibri"/>
          <w:color w:val="000000"/>
          <w:sz w:val="22"/>
        </w:rPr>
        <w:t>segments stores the interval, transcript and complete canonical JSON.</w:t>
      </w:r>
    </w:p>
    <w:p>
      <w:pPr>
        <w:pStyle w:val="ListBullet"/>
      </w:pPr>
      <w:r>
        <w:rPr>
          <w:rFonts w:ascii="Calibri" w:hAnsi="Calibri"/>
          <w:color w:val="000000"/>
          <w:sz w:val="22"/>
        </w:rPr>
        <w:t>videos stores metadata, hashes, paths, processing state, failures and warnings.</w:t>
      </w:r>
    </w:p>
    <w:p>
      <w:pPr>
        <w:pStyle w:val="ListBullet"/>
      </w:pPr>
      <w:r>
        <w:rPr>
          <w:rFonts w:ascii="Calibri" w:hAnsi="Calibri"/>
          <w:color w:val="000000"/>
          <w:sz w:val="22"/>
        </w:rPr>
        <w:t>entity_appearances stores one OpenCLIP vector per tracked entity instead of duplicating it across segments.</w:t>
      </w:r>
    </w:p>
    <w:p>
      <w:pPr>
        <w:pStyle w:val="ListBullet"/>
      </w:pPr>
      <w:r>
        <w:rPr>
          <w:rFonts w:ascii="Calibri" w:hAnsi="Calibri"/>
          <w:color w:val="000000"/>
          <w:sz w:val="22"/>
        </w:rPr>
        <w:t>MiniLM embeddings are normalized 384-dimensional arrays inside the segment payload; OpenCLIP embeddings are normalized 512-dimensional arrays in entity_appearances.</w:t>
      </w:r>
    </w:p>
    <w:p>
      <w:pPr>
        <w:pStyle w:val="ListBullet"/>
      </w:pPr>
      <w:r>
        <w:rPr>
          <w:rFonts w:ascii="Calibri" w:hAnsi="Calibri"/>
          <w:color w:val="000000"/>
          <w:sz w:val="22"/>
        </w:rPr>
        <w:t>SQLite is the reliable metadata, job, evidence and default retrieval store.</w:t>
      </w:r>
    </w:p>
    <w:p>
      <w:pPr>
        <w:keepNext/>
        <w:jc w:val="center"/>
      </w:pPr>
      <w:r>
        <w:drawing>
          <wp:inline xmlns:a="http://schemas.openxmlformats.org/drawingml/2006/main" xmlns:pic="http://schemas.openxmlformats.org/drawingml/2006/picture">
            <wp:extent cx="5897880" cy="3604260"/>
            <wp:docPr id="1" name="Picture 1"/>
            <wp:cNvGraphicFramePr>
              <a:graphicFrameLocks noChangeAspect="1"/>
            </wp:cNvGraphicFramePr>
            <a:graphic>
              <a:graphicData uri="http://schemas.openxmlformats.org/drawingml/2006/picture">
                <pic:pic>
                  <pic:nvPicPr>
                    <pic:cNvPr id="0" name="27-ava-sqlite-five-second-segment.png"/>
                    <pic:cNvPicPr/>
                  </pic:nvPicPr>
                  <pic:blipFill>
                    <a:blip r:embed="rId11"/>
                    <a:stretch>
                      <a:fillRect/>
                    </a:stretch>
                  </pic:blipFill>
                  <pic:spPr>
                    <a:xfrm>
                      <a:off x="0" y="0"/>
                      <a:ext cx="5897880" cy="3604260"/>
                    </a:xfrm>
                    <a:prstGeom prst="rect"/>
                  </pic:spPr>
                </pic:pic>
              </a:graphicData>
            </a:graphic>
          </wp:inline>
        </w:drawing>
      </w:r>
    </w:p>
    <w:p>
      <w:pPr>
        <w:spacing w:after="200"/>
        <w:jc w:val="center"/>
      </w:pPr>
      <w:r>
        <w:rPr>
          <w:rFonts w:ascii="Calibri" w:hAnsi="Calibri"/>
          <w:i/>
          <w:color w:val="667085"/>
          <w:sz w:val="18"/>
        </w:rPr>
        <w:t>Figure 1. Live SQLite evidence for the AVA video 0f39OWEqJ24.mp4, segment 1010-1015 seconds.</w:t>
      </w:r>
    </w:p>
    <w:p>
      <w:pPr>
        <w:pStyle w:val="Callout"/>
      </w:pPr>
      <w:r>
        <w:rPr>
          <w:rFonts w:ascii="Calibri" w:hAnsi="Calibri"/>
          <w:b/>
          <w:color w:val="1F4D78"/>
          <w:sz w:val="20"/>
        </w:rPr>
        <w:t xml:space="preserve">FIGURE PROVENANCE  </w:t>
      </w:r>
      <w:r>
        <w:rPr>
          <w:rFonts w:ascii="Calibri" w:hAnsi="Calibri"/>
          <w:color w:val="0B2545"/>
          <w:sz w:val="21"/>
        </w:rPr>
        <w:t>Figure 1 is an actual automated browser capture of sqlite-web executing a read-only query against data/app/vidquery.sqlite3. It is not an AI-generated or manually composited image.</w:t>
      </w:r>
    </w:p>
    <w:p>
      <w:pPr>
        <w:pStyle w:val="Heading1"/>
        <w:keepNext/>
      </w:pPr>
      <w:r>
        <w:t>8. Neo4j temporal knowledge graph</w:t>
      </w:r>
    </w:p>
    <w:p>
      <w:r>
        <w:rPr>
          <w:rFonts w:ascii="Calibri" w:hAnsi="Calibri"/>
          <w:color w:val="000000"/>
          <w:sz w:val="22"/>
        </w:rPr>
        <w:t>Neo4j is an optional mirror for explicit graph traversal. Its node types include Video, Segment, EntityOccurrence, Action, Speaker, TranscriptSegment and RelationshipEvidence. SQLite remains authoritative and hydrates the final public API response.</w:t>
      </w:r>
    </w:p>
    <w:p>
      <w:pPr>
        <w:pStyle w:val="CodeBlock"/>
        <w:keepLines/>
      </w:pPr>
      <w:r>
        <w:rPr>
          <w:rFonts w:ascii="Consolas" w:hAnsi="Consolas"/>
          <w:color w:val="0B2545"/>
          <w:sz w:val="18"/>
        </w:rPr>
        <w:t>(Video)-[:HAS_SEGMENT]-&gt;(Segment)</w:t>
      </w:r>
      <w:r>
        <w:br/>
      </w:r>
      <w:r>
        <w:rPr>
          <w:rFonts w:ascii="Consolas" w:hAnsi="Consolas"/>
          <w:color w:val="0B2545"/>
          <w:sz w:val="18"/>
        </w:rPr>
        <w:t>(Segment)-[:HAS_RELATIONSHIP]-&gt;(RelationshipEvidence)</w:t>
      </w:r>
      <w:r>
        <w:br/>
      </w:r>
      <w:r>
        <w:rPr>
          <w:rFonts w:ascii="Consolas" w:hAnsi="Consolas"/>
          <w:color w:val="0B2545"/>
          <w:sz w:val="18"/>
        </w:rPr>
        <w:t>(RelationshipEvidence)-[:FROM_ENTITY]-&gt;(EntityOccurrence)</w:t>
      </w:r>
      <w:r>
        <w:br/>
      </w:r>
      <w:r>
        <w:rPr>
          <w:rFonts w:ascii="Consolas" w:hAnsi="Consolas"/>
          <w:color w:val="0B2545"/>
          <w:sz w:val="18"/>
        </w:rPr>
        <w:t>(RelationshipEvidence)-[:TO_ENTITY]-&gt;(EntityOccurrence)</w:t>
      </w:r>
    </w:p>
    <w:p>
      <w:pPr>
        <w:pStyle w:val="ListBullet"/>
      </w:pPr>
      <w:r>
        <w:rPr>
          <w:rFonts w:ascii="Calibri" w:hAnsi="Calibri"/>
          <w:color w:val="000000"/>
          <w:sz w:val="22"/>
        </w:rPr>
        <w:t>Real Neo4j 5.26 Community service verified through Docker Compose</w:t>
      </w:r>
    </w:p>
    <w:p>
      <w:pPr>
        <w:pStyle w:val="ListBullet"/>
      </w:pPr>
      <w:r>
        <w:rPr>
          <w:rFonts w:ascii="Calibri" w:hAnsi="Calibri"/>
          <w:color w:val="000000"/>
          <w:sz w:val="22"/>
        </w:rPr>
        <w:t>Repeatable schema initialization with 13 constraints and 22 indexes</w:t>
      </w:r>
    </w:p>
    <w:p>
      <w:pPr>
        <w:pStyle w:val="ListBullet"/>
      </w:pPr>
      <w:r>
        <w:rPr>
          <w:rFonts w:ascii="Calibri" w:hAnsi="Calibri"/>
          <w:color w:val="000000"/>
          <w:sz w:val="22"/>
        </w:rPr>
        <w:t>Idempotent canonical-segment re-ingestion and duplicate prevention</w:t>
      </w:r>
    </w:p>
    <w:p>
      <w:pPr>
        <w:pStyle w:val="ListBullet"/>
      </w:pPr>
      <w:r>
        <w:rPr>
          <w:rFonts w:ascii="Calibri" w:hAnsi="Calibri"/>
          <w:color w:val="000000"/>
          <w:sz w:val="22"/>
        </w:rPr>
        <w:t>Timestamped action and exact relationship retrieval</w:t>
      </w:r>
    </w:p>
    <w:p>
      <w:pPr>
        <w:pStyle w:val="ListBullet"/>
      </w:pPr>
      <w:r>
        <w:rPr>
          <w:rFonts w:ascii="Calibri" w:hAnsi="Calibri"/>
          <w:color w:val="000000"/>
          <w:sz w:val="22"/>
        </w:rPr>
        <w:t>Static parameterized Cypher only; unrestricted generated Cypher is never executed</w:t>
      </w:r>
    </w:p>
    <w:p>
      <w:pPr>
        <w:pStyle w:val="ListBullet"/>
      </w:pPr>
      <w:r>
        <w:rPr>
          <w:rFonts w:ascii="Calibri" w:hAnsi="Calibri"/>
          <w:color w:val="000000"/>
          <w:sz w:val="22"/>
        </w:rPr>
        <w:t>Health reporting and SQLite fallback when Neo4j is unavailable</w:t>
      </w:r>
    </w:p>
    <w:p>
      <w:pPr>
        <w:pStyle w:val="Heading1"/>
        <w:keepNext/>
      </w:pPr>
      <w:r>
        <w:t>9. Query planning and multimodal retrieval</w:t>
      </w:r>
    </w:p>
    <w:p>
      <w:r>
        <w:rPr>
          <w:rFonts w:ascii="Calibri" w:hAnsi="Calibri"/>
          <w:color w:val="000000"/>
          <w:sz w:val="22"/>
        </w:rPr>
        <w:t>The planner converts natural-language queries into an allowlisted structure containing spoken terms, visual entities, actions, speakers, OCR terms and exact relationship tuples. Clear queries are handled locally. Groq may assist only with genuinely ambiguous language, and its output must validate against the supported vocabularies.</w:t>
      </w:r>
    </w:p>
    <w:p>
      <w:pPr>
        <w:pStyle w:val="CodeBlock"/>
        <w:keepLines/>
      </w:pPr>
      <w:r>
        <w:rPr>
          <w:rFonts w:ascii="Consolas" w:hAnsi="Consolas"/>
          <w:color w:val="0B2545"/>
          <w:sz w:val="18"/>
        </w:rPr>
        <w:t>{</w:t>
      </w:r>
      <w:r>
        <w:br/>
      </w:r>
      <w:r>
        <w:rPr>
          <w:rFonts w:ascii="Consolas" w:hAnsi="Consolas"/>
          <w:color w:val="0B2545"/>
          <w:sz w:val="18"/>
        </w:rPr>
        <w:t xml:space="preserve">  "intent": "multimodal_search",</w:t>
      </w:r>
      <w:r>
        <w:br/>
      </w:r>
      <w:r>
        <w:rPr>
          <w:rFonts w:ascii="Consolas" w:hAnsi="Consolas"/>
          <w:color w:val="0B2545"/>
          <w:sz w:val="18"/>
        </w:rPr>
        <w:t xml:space="preserve">  "visual_entities": ["laptop"],</w:t>
      </w:r>
      <w:r>
        <w:br/>
      </w:r>
      <w:r>
        <w:rPr>
          <w:rFonts w:ascii="Consolas" w:hAnsi="Consolas"/>
          <w:color w:val="0B2545"/>
          <w:sz w:val="18"/>
        </w:rPr>
        <w:t xml:space="preserve">  "spoken_terms": ["deployment"],</w:t>
      </w:r>
      <w:r>
        <w:br/>
      </w:r>
      <w:r>
        <w:rPr>
          <w:rFonts w:ascii="Consolas" w:hAnsi="Consolas"/>
          <w:color w:val="0B2545"/>
          <w:sz w:val="18"/>
        </w:rPr>
        <w:t xml:space="preserve">  "speaker": "SPEAKER_01",</w:t>
      </w:r>
      <w:r>
        <w:br/>
      </w:r>
      <w:r>
        <w:rPr>
          <w:rFonts w:ascii="Consolas" w:hAnsi="Consolas"/>
          <w:color w:val="0B2545"/>
          <w:sz w:val="18"/>
        </w:rPr>
        <w:t xml:space="preserve">  "actions": [],</w:t>
      </w:r>
      <w:r>
        <w:br/>
      </w:r>
      <w:r>
        <w:rPr>
          <w:rFonts w:ascii="Consolas" w:hAnsi="Consolas"/>
          <w:color w:val="0B2545"/>
          <w:sz w:val="18"/>
        </w:rPr>
        <w:t xml:space="preserve">  "relationship_tuples": []</w:t>
      </w:r>
      <w:r>
        <w:br/>
      </w:r>
      <w:r>
        <w:rPr>
          <w:rFonts w:ascii="Consolas" w:hAnsi="Consolas"/>
          <w:color w:val="0B2545"/>
          <w:sz w:val="18"/>
        </w:rPr>
        <w:t>}</w:t>
      </w:r>
    </w:p>
    <w:p>
      <w:pPr>
        <w:pStyle w:val="Heading2"/>
        <w:keepNext/>
      </w:pPr>
      <w:r>
        <w:t>Retrieval modes</w:t>
      </w:r>
    </w:p>
    <w:p>
      <w:pPr>
        <w:pStyle w:val="ListBullet"/>
      </w:pPr>
      <w:r>
        <w:rPr>
          <w:rFonts w:ascii="Calibri" w:hAnsi="Calibri"/>
          <w:color w:val="000000"/>
          <w:sz w:val="22"/>
        </w:rPr>
        <w:t>Transcript lexical retrieval for exact token overlap</w:t>
      </w:r>
    </w:p>
    <w:p>
      <w:pPr>
        <w:pStyle w:val="ListBullet"/>
      </w:pPr>
      <w:r>
        <w:rPr>
          <w:rFonts w:ascii="Calibri" w:hAnsi="Calibri"/>
          <w:color w:val="000000"/>
          <w:sz w:val="22"/>
        </w:rPr>
        <w:t>MiniLM semantic retrieval for paraphrase-level transcript similarity</w:t>
      </w:r>
    </w:p>
    <w:p>
      <w:pPr>
        <w:pStyle w:val="ListBullet"/>
      </w:pPr>
      <w:r>
        <w:rPr>
          <w:rFonts w:ascii="Calibri" w:hAnsi="Calibri"/>
          <w:color w:val="000000"/>
          <w:sz w:val="22"/>
        </w:rPr>
        <w:t>Visual entity, speaker, OCR and action retrieval</w:t>
      </w:r>
    </w:p>
    <w:p>
      <w:pPr>
        <w:pStyle w:val="ListBullet"/>
      </w:pPr>
      <w:r>
        <w:rPr>
          <w:rFonts w:ascii="Calibri" w:hAnsi="Calibri"/>
          <w:color w:val="000000"/>
          <w:sz w:val="22"/>
        </w:rPr>
        <w:t>OpenCLIP text-to-appearance retrieval</w:t>
      </w:r>
    </w:p>
    <w:p>
      <w:pPr>
        <w:pStyle w:val="ListBullet"/>
      </w:pPr>
      <w:r>
        <w:rPr>
          <w:rFonts w:ascii="Calibri" w:hAnsi="Calibri"/>
          <w:color w:val="000000"/>
          <w:sz w:val="22"/>
        </w:rPr>
        <w:t>Exact local relationship-aware hybrid retrieval</w:t>
      </w:r>
    </w:p>
    <w:p>
      <w:pPr>
        <w:pStyle w:val="ListBullet"/>
      </w:pPr>
      <w:r>
        <w:rPr>
          <w:rFonts w:ascii="Calibri" w:hAnsi="Calibri"/>
          <w:color w:val="000000"/>
          <w:sz w:val="22"/>
        </w:rPr>
        <w:t>Explicit Neo4j graph candidate retrieval with SQLite result hydration</w:t>
      </w:r>
    </w:p>
    <w:p>
      <w:r>
        <w:rPr>
          <w:rFonts w:ascii="Calibri" w:hAnsi="Calibri"/>
          <w:color w:val="000000"/>
          <w:sz w:val="22"/>
        </w:rPr>
        <w:t>MiniLM converts a query into a normalized 384-dimensional vector and compares it with cached segment vectors using cosine similarity. SQLite currently stores the arrays as JSON and performs comparison in Python; a larger production deployment would introduce a native vector index.</w:t>
      </w:r>
    </w:p>
    <w:p>
      <w:pPr>
        <w:pStyle w:val="Heading1"/>
        <w:keepNext/>
      </w:pPr>
      <w:r>
        <w:t>10. Grounded Groq answer generation</w:t>
      </w:r>
    </w:p>
    <w:p>
      <w:r>
        <w:rPr>
          <w:rFonts w:ascii="Calibri" w:hAnsi="Calibri"/>
          <w:color w:val="000000"/>
          <w:sz w:val="22"/>
        </w:rPr>
        <w:t>The optional answer layer runs after retrieval. It receives only the top-ranked evidence: transcript, speakers, OCR, entities, actions, relationships and exact timestamps. It cannot query SQLite or Neo4j and cannot generate executable Cypher.</w:t>
      </w:r>
    </w:p>
    <w:p>
      <w:pPr>
        <w:pStyle w:val="CodeBlock"/>
        <w:keepLines/>
      </w:pPr>
      <w:r>
        <w:rPr>
          <w:rFonts w:ascii="Consolas" w:hAnsi="Consolas"/>
          <w:color w:val="0B2545"/>
          <w:sz w:val="18"/>
        </w:rPr>
        <w:t>{</w:t>
      </w:r>
      <w:r>
        <w:br/>
      </w:r>
      <w:r>
        <w:rPr>
          <w:rFonts w:ascii="Consolas" w:hAnsi="Consolas"/>
          <w:color w:val="0B2545"/>
          <w:sz w:val="18"/>
        </w:rPr>
        <w:t xml:space="preserve">  "answer": "In the first five seconds, software architecture is discussed while a laptop is visible.",</w:t>
      </w:r>
      <w:r>
        <w:br/>
      </w:r>
      <w:r>
        <w:rPr>
          <w:rFonts w:ascii="Consolas" w:hAnsi="Consolas"/>
          <w:color w:val="0B2545"/>
          <w:sz w:val="18"/>
        </w:rPr>
        <w:t xml:space="preserve">  "supported": true,</w:t>
      </w:r>
      <w:r>
        <w:br/>
      </w:r>
      <w:r>
        <w:rPr>
          <w:rFonts w:ascii="Consolas" w:hAnsi="Consolas"/>
          <w:color w:val="0B2545"/>
          <w:sz w:val="18"/>
        </w:rPr>
        <w:t xml:space="preserve">  "evidence_ids": ["E1"]</w:t>
      </w:r>
      <w:r>
        <w:br/>
      </w:r>
      <w:r>
        <w:rPr>
          <w:rFonts w:ascii="Consolas" w:hAnsi="Consolas"/>
          <w:color w:val="0B2545"/>
          <w:sz w:val="18"/>
        </w:rPr>
        <w:t>}</w:t>
      </w:r>
    </w:p>
    <w:p>
      <w:pPr>
        <w:pStyle w:val="ListBullet"/>
      </w:pPr>
      <w:r>
        <w:rPr>
          <w:rFonts w:ascii="Calibri" w:hAnsi="Calibri"/>
          <w:color w:val="000000"/>
          <w:sz w:val="22"/>
        </w:rPr>
        <w:t>Every returned evidence ID is checked against the retrieved evidence.</w:t>
      </w:r>
    </w:p>
    <w:p>
      <w:pPr>
        <w:pStyle w:val="ListBullet"/>
      </w:pPr>
      <w:r>
        <w:rPr>
          <w:rFonts w:ascii="Calibri" w:hAnsi="Calibri"/>
          <w:color w:val="000000"/>
          <w:sz w:val="22"/>
        </w:rPr>
        <w:t>Valid IDs are converted to exact video start/end timestamp citations.</w:t>
      </w:r>
    </w:p>
    <w:p>
      <w:pPr>
        <w:pStyle w:val="ListBullet"/>
      </w:pPr>
      <w:r>
        <w:rPr>
          <w:rFonts w:ascii="Calibri" w:hAnsi="Calibri"/>
          <w:color w:val="000000"/>
          <w:sz w:val="22"/>
        </w:rPr>
        <w:t>Insufficient evidence produces supported=false instead of a guess.</w:t>
      </w:r>
    </w:p>
    <w:p>
      <w:pPr>
        <w:pStyle w:val="ListBullet"/>
      </w:pPr>
      <w:r>
        <w:rPr>
          <w:rFonts w:ascii="Calibri" w:hAnsi="Calibri"/>
          <w:color w:val="000000"/>
          <w:sz w:val="22"/>
        </w:rPr>
        <w:t>Quota, API or network failure does not break ordinary VidQuery search.</w:t>
      </w:r>
    </w:p>
    <w:p>
      <w:pPr>
        <w:pStyle w:val="ListBullet"/>
      </w:pPr>
      <w:r>
        <w:rPr>
          <w:rFonts w:ascii="Calibri" w:hAnsi="Calibri"/>
          <w:color w:val="000000"/>
          <w:sz w:val="22"/>
        </w:rPr>
        <w:t>Raw ranked results remain visible below the generated answer.</w:t>
      </w:r>
    </w:p>
    <w:p>
      <w:pPr>
        <w:pStyle w:val="Heading1"/>
        <w:keepNext/>
      </w:pPr>
      <w:r>
        <w:t>11. FastAPI and browser interface</w:t>
      </w:r>
    </w:p>
    <w:p>
      <w:r>
        <w:rPr>
          <w:rFonts w:ascii="Calibri" w:hAnsi="Calibri"/>
          <w:color w:val="000000"/>
          <w:sz w:val="22"/>
        </w:rPr>
        <w:t>FastAPI exposes upload, video listing, processing state, search, thumbnails, health and byte-range video streaming. The packaged frontend provides Search, Library and Upload views, video filtering, suggested queries, result thumbnails, evidence chips, tuple explanations and timestamp seeking.</w:t>
      </w:r>
    </w:p>
    <w:p>
      <w:pPr>
        <w:pStyle w:val="ListBullet"/>
      </w:pPr>
      <w:r>
        <w:rPr>
          <w:rFonts w:ascii="Calibri" w:hAnsi="Calibri"/>
          <w:color w:val="000000"/>
          <w:sz w:val="22"/>
        </w:rPr>
        <w:t>Range-supported playback allows seeking without downloading the complete video.</w:t>
      </w:r>
    </w:p>
    <w:p>
      <w:pPr>
        <w:pStyle w:val="ListBullet"/>
      </w:pPr>
      <w:r>
        <w:rPr>
          <w:rFonts w:ascii="Calibri" w:hAnsi="Calibri"/>
          <w:color w:val="000000"/>
          <w:sz w:val="22"/>
        </w:rPr>
        <w:t>Result cards expose score, transcript, actions, speakers, relationships and provenance.</w:t>
      </w:r>
    </w:p>
    <w:p>
      <w:pPr>
        <w:pStyle w:val="ListBullet"/>
      </w:pPr>
      <w:r>
        <w:rPr>
          <w:rFonts w:ascii="Calibri" w:hAnsi="Calibri"/>
          <w:color w:val="000000"/>
          <w:sz w:val="22"/>
        </w:rPr>
        <w:t>Groq citations seek the same player to the validated interval.</w:t>
      </w:r>
    </w:p>
    <w:p>
      <w:pPr>
        <w:pStyle w:val="ListBullet"/>
      </w:pPr>
      <w:r>
        <w:rPr>
          <w:rFonts w:ascii="Calibri" w:hAnsi="Calibri"/>
          <w:color w:val="000000"/>
          <w:sz w:val="22"/>
        </w:rPr>
        <w:t>No-result, validation-error and backend-failure states are handled explicitly.</w:t>
      </w:r>
    </w:p>
    <w:p>
      <w:pPr>
        <w:pStyle w:val="Heading1"/>
        <w:keepNext/>
      </w:pPr>
      <w:r>
        <w:t>12. Evaluation and measured results</w:t>
      </w:r>
    </w:p>
    <w:p>
      <w:r>
        <w:rPr>
          <w:rFonts w:ascii="Calibri" w:hAnsi="Calibri"/>
          <w:color w:val="000000"/>
          <w:sz w:val="22"/>
        </w:rPr>
        <w:t>The independent retrieval corpus contains 62 queries over five videos: 52 positive and 10 negative queries covering transcripts, visual entities, spatial tuples, AVA actions, speakers, OCR and multimodal combinations. The only AVA video in the retrieval corpus is held out from action-model training and validation.</w:t>
      </w:r>
    </w:p>
    <w:tbl>
      <w:tblPr>
        <w:tblStyle w:val="TableGrid"/>
        <w:tblW w:type="dxa" w:w="9360"/>
        <w:jc w:val="left"/>
        <w:tblLayout w:type="fixed"/>
        <w:tblLook w:firstColumn="1" w:firstRow="1" w:lastColumn="0" w:lastRow="0" w:noHBand="0" w:noVBand="1" w:val="04A0"/>
        <w:tblInd w:w="120" w:type="dxa"/>
      </w:tblPr>
      <w:tblGrid>
        <w:gridCol w:w="2880"/>
        <w:gridCol w:w="1296"/>
        <w:gridCol w:w="1296"/>
        <w:gridCol w:w="1296"/>
        <w:gridCol w:w="1296"/>
        <w:gridCol w:w="1296"/>
      </w:tblGrid>
      <w:tr>
        <w:trPr>
          <w:tblHeader w:val="true"/>
        </w:trPr>
        <w:tc>
          <w:tcPr>
            <w:tcW w:type="dxa" w:w="2880"/>
            <w:shd w:fill="E8EEF5"/>
            <w:vAlign w:val="center"/>
            <w:tcMar>
              <w:top w:w="80" w:type="dxa"/>
              <w:start w:w="120" w:type="dxa"/>
              <w:bottom w:w="80" w:type="dxa"/>
              <w:end w:w="120" w:type="dxa"/>
            </w:tcMar>
          </w:tcPr>
          <w:p>
            <w:pPr>
              <w:spacing w:after="0"/>
              <w:jc w:val="left"/>
            </w:pPr>
            <w:r>
              <w:rPr>
                <w:rFonts w:ascii="Calibri" w:hAnsi="Calibri"/>
                <w:b/>
                <w:color w:val="0B2545"/>
                <w:sz w:val="18"/>
              </w:rPr>
              <w:t>Retrieval method</w:t>
            </w:r>
          </w:p>
        </w:tc>
        <w:tc>
          <w:tcPr>
            <w:tcW w:type="dxa" w:w="1296"/>
            <w:shd w:fill="E8EEF5"/>
            <w:vAlign w:val="center"/>
            <w:tcMar>
              <w:top w:w="80" w:type="dxa"/>
              <w:start w:w="120" w:type="dxa"/>
              <w:bottom w:w="80" w:type="dxa"/>
              <w:end w:w="120" w:type="dxa"/>
            </w:tcMar>
          </w:tcPr>
          <w:p>
            <w:pPr>
              <w:spacing w:after="0"/>
              <w:jc w:val="center"/>
            </w:pPr>
            <w:r>
              <w:rPr>
                <w:rFonts w:ascii="Calibri" w:hAnsi="Calibri"/>
                <w:b/>
                <w:color w:val="0B2545"/>
                <w:sz w:val="18"/>
              </w:rPr>
              <w:t>P@1</w:t>
            </w:r>
          </w:p>
        </w:tc>
        <w:tc>
          <w:tcPr>
            <w:tcW w:type="dxa" w:w="1296"/>
            <w:shd w:fill="E8EEF5"/>
            <w:vAlign w:val="center"/>
            <w:tcMar>
              <w:top w:w="80" w:type="dxa"/>
              <w:start w:w="120" w:type="dxa"/>
              <w:bottom w:w="80" w:type="dxa"/>
              <w:end w:w="120" w:type="dxa"/>
            </w:tcMar>
          </w:tcPr>
          <w:p>
            <w:pPr>
              <w:spacing w:after="0"/>
              <w:jc w:val="center"/>
            </w:pPr>
            <w:r>
              <w:rPr>
                <w:rFonts w:ascii="Calibri" w:hAnsi="Calibri"/>
                <w:b/>
                <w:color w:val="0B2545"/>
                <w:sz w:val="18"/>
              </w:rPr>
              <w:t>P@5</w:t>
            </w:r>
          </w:p>
        </w:tc>
        <w:tc>
          <w:tcPr>
            <w:tcW w:type="dxa" w:w="1296"/>
            <w:shd w:fill="E8EEF5"/>
            <w:vAlign w:val="center"/>
            <w:tcMar>
              <w:top w:w="80" w:type="dxa"/>
              <w:start w:w="120" w:type="dxa"/>
              <w:bottom w:w="80" w:type="dxa"/>
              <w:end w:w="120" w:type="dxa"/>
            </w:tcMar>
          </w:tcPr>
          <w:p>
            <w:pPr>
              <w:spacing w:after="0"/>
              <w:jc w:val="center"/>
            </w:pPr>
            <w:r>
              <w:rPr>
                <w:rFonts w:ascii="Calibri" w:hAnsi="Calibri"/>
                <w:b/>
                <w:color w:val="0B2545"/>
                <w:sz w:val="18"/>
              </w:rPr>
              <w:t>R@5</w:t>
            </w:r>
          </w:p>
        </w:tc>
        <w:tc>
          <w:tcPr>
            <w:tcW w:type="dxa" w:w="1296"/>
            <w:shd w:fill="E8EEF5"/>
            <w:vAlign w:val="center"/>
            <w:tcMar>
              <w:top w:w="80" w:type="dxa"/>
              <w:start w:w="120" w:type="dxa"/>
              <w:bottom w:w="80" w:type="dxa"/>
              <w:end w:w="120" w:type="dxa"/>
            </w:tcMar>
          </w:tcPr>
          <w:p>
            <w:pPr>
              <w:spacing w:after="0"/>
              <w:jc w:val="center"/>
            </w:pPr>
            <w:r>
              <w:rPr>
                <w:rFonts w:ascii="Calibri" w:hAnsi="Calibri"/>
                <w:b/>
                <w:color w:val="0B2545"/>
                <w:sz w:val="18"/>
              </w:rPr>
              <w:t>MRR</w:t>
            </w:r>
          </w:p>
        </w:tc>
        <w:tc>
          <w:tcPr>
            <w:tcW w:type="dxa" w:w="1296"/>
            <w:shd w:fill="E8EEF5"/>
            <w:vAlign w:val="center"/>
            <w:tcMar>
              <w:top w:w="80" w:type="dxa"/>
              <w:start w:w="120" w:type="dxa"/>
              <w:bottom w:w="80" w:type="dxa"/>
              <w:end w:w="120" w:type="dxa"/>
            </w:tcMar>
          </w:tcPr>
          <w:p>
            <w:pPr>
              <w:spacing w:after="0"/>
              <w:jc w:val="center"/>
            </w:pPr>
            <w:r>
              <w:rPr>
                <w:rFonts w:ascii="Calibri" w:hAnsi="Calibri"/>
                <w:b/>
                <w:color w:val="0B2545"/>
                <w:sz w:val="18"/>
              </w:rPr>
              <w:t>Timestamp acc.</w:t>
            </w:r>
          </w:p>
        </w:tc>
      </w:tr>
      <w:tr>
        <w:tc>
          <w:tcPr>
            <w:tcW w:type="dxa" w:w="2880"/>
            <w:vAlign w:val="center"/>
            <w:tcMar>
              <w:top w:w="80" w:type="dxa"/>
              <w:start w:w="120" w:type="dxa"/>
              <w:bottom w:w="80" w:type="dxa"/>
              <w:end w:w="120" w:type="dxa"/>
            </w:tcMar>
          </w:tcPr>
          <w:p>
            <w:pPr>
              <w:spacing w:after="0"/>
              <w:jc w:val="left"/>
            </w:pPr>
            <w:r>
              <w:rPr>
                <w:rFonts w:ascii="Calibri" w:hAnsi="Calibri"/>
                <w:color w:val="000000"/>
                <w:sz w:val="18"/>
              </w:rPr>
              <w:t>Transcript lexical</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0.4231</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0.0885</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0.3462</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0.4231</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0.4231</w:t>
            </w:r>
          </w:p>
        </w:tc>
      </w:tr>
      <w:tr>
        <w:tc>
          <w:tcPr>
            <w:tcW w:type="dxa" w:w="2880"/>
            <w:vAlign w:val="center"/>
            <w:tcMar>
              <w:top w:w="80" w:type="dxa"/>
              <w:start w:w="120" w:type="dxa"/>
              <w:bottom w:w="80" w:type="dxa"/>
              <w:end w:w="120" w:type="dxa"/>
            </w:tcMar>
          </w:tcPr>
          <w:p>
            <w:pPr>
              <w:spacing w:after="0"/>
              <w:jc w:val="left"/>
            </w:pPr>
            <w:r>
              <w:rPr>
                <w:rFonts w:ascii="Calibri" w:hAnsi="Calibri"/>
                <w:color w:val="000000"/>
                <w:sz w:val="18"/>
              </w:rPr>
              <w:t>Transcript semantic</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0.5000</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0.1885</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0.4692</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0.5000</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0.5000</w:t>
            </w:r>
          </w:p>
        </w:tc>
      </w:tr>
      <w:tr>
        <w:tc>
          <w:tcPr>
            <w:tcW w:type="dxa" w:w="2880"/>
            <w:vAlign w:val="center"/>
            <w:tcMar>
              <w:top w:w="80" w:type="dxa"/>
              <w:start w:w="120" w:type="dxa"/>
              <w:bottom w:w="80" w:type="dxa"/>
              <w:end w:w="120" w:type="dxa"/>
            </w:tcMar>
          </w:tcPr>
          <w:p>
            <w:pPr>
              <w:spacing w:after="0"/>
              <w:jc w:val="left"/>
            </w:pPr>
            <w:r>
              <w:rPr>
                <w:rFonts w:ascii="Calibri" w:hAnsi="Calibri"/>
                <w:color w:val="000000"/>
                <w:sz w:val="18"/>
              </w:rPr>
              <w:t>Visual entity</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0.3462</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0.3500</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0.3617</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0.4109</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0.5192</w:t>
            </w:r>
          </w:p>
        </w:tc>
      </w:tr>
      <w:tr>
        <w:tc>
          <w:tcPr>
            <w:tcW w:type="dxa" w:w="2880"/>
            <w:vAlign w:val="center"/>
            <w:tcMar>
              <w:top w:w="80" w:type="dxa"/>
              <w:start w:w="120" w:type="dxa"/>
              <w:bottom w:w="80" w:type="dxa"/>
              <w:end w:w="120" w:type="dxa"/>
            </w:tcMar>
          </w:tcPr>
          <w:p>
            <w:pPr>
              <w:spacing w:after="0"/>
              <w:jc w:val="left"/>
            </w:pPr>
            <w:r>
              <w:rPr>
                <w:rFonts w:ascii="Calibri" w:hAnsi="Calibri"/>
                <w:color w:val="000000"/>
                <w:sz w:val="18"/>
              </w:rPr>
              <w:t>Hybrid, tuples ablated</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0.9615</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0.5692</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0.7706</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0.9615</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0.9615</w:t>
            </w:r>
          </w:p>
        </w:tc>
      </w:tr>
      <w:tr>
        <w:tc>
          <w:tcPr>
            <w:tcW w:type="dxa" w:w="2880"/>
            <w:vAlign w:val="center"/>
            <w:tcMar>
              <w:top w:w="80" w:type="dxa"/>
              <w:start w:w="120" w:type="dxa"/>
              <w:bottom w:w="80" w:type="dxa"/>
              <w:end w:w="120" w:type="dxa"/>
            </w:tcMar>
          </w:tcPr>
          <w:p>
            <w:pPr>
              <w:spacing w:after="0"/>
              <w:jc w:val="left"/>
            </w:pPr>
            <w:r>
              <w:rPr>
                <w:rFonts w:ascii="Calibri" w:hAnsi="Calibri"/>
                <w:color w:val="000000"/>
                <w:sz w:val="18"/>
              </w:rPr>
              <w:t>Exact local hybrid</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0.9615</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0.5769</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0.7738</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0.9615</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0.9615</w:t>
            </w:r>
          </w:p>
        </w:tc>
      </w:tr>
      <w:tr>
        <w:tc>
          <w:tcPr>
            <w:tcW w:type="dxa" w:w="2880"/>
            <w:vAlign w:val="center"/>
            <w:tcMar>
              <w:top w:w="80" w:type="dxa"/>
              <w:start w:w="120" w:type="dxa"/>
              <w:bottom w:w="80" w:type="dxa"/>
              <w:end w:w="120" w:type="dxa"/>
            </w:tcMar>
          </w:tcPr>
          <w:p>
            <w:pPr>
              <w:spacing w:after="0"/>
              <w:jc w:val="left"/>
            </w:pPr>
            <w:r>
              <w:rPr>
                <w:rFonts w:ascii="Calibri" w:hAnsi="Calibri"/>
                <w:color w:val="000000"/>
                <w:sz w:val="18"/>
              </w:rPr>
              <w:t>Exact Neo4j graph</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0.8654</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0.5462</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0.6776</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0.8654</w:t>
            </w:r>
          </w:p>
        </w:tc>
        <w:tc>
          <w:tcPr>
            <w:tcW w:type="dxa" w:w="1296"/>
            <w:vAlign w:val="center"/>
            <w:tcMar>
              <w:top w:w="80" w:type="dxa"/>
              <w:start w:w="120" w:type="dxa"/>
              <w:bottom w:w="80" w:type="dxa"/>
              <w:end w:w="120" w:type="dxa"/>
            </w:tcMar>
          </w:tcPr>
          <w:p>
            <w:pPr>
              <w:spacing w:after="0"/>
              <w:jc w:val="center"/>
            </w:pPr>
            <w:r>
              <w:rPr>
                <w:rFonts w:ascii="Calibri" w:hAnsi="Calibri"/>
                <w:color w:val="000000"/>
                <w:sz w:val="18"/>
              </w:rPr>
              <w:t>0.8654</w:t>
            </w:r>
          </w:p>
        </w:tc>
      </w:tr>
    </w:tbl>
    <w:p>
      <w:pPr>
        <w:spacing w:after="0"/>
      </w:pPr>
    </w:p>
    <w:p>
      <w:pPr>
        <w:pStyle w:val="Callout"/>
      </w:pPr>
      <w:r>
        <w:rPr>
          <w:rFonts w:ascii="Calibri" w:hAnsi="Calibri"/>
          <w:b/>
          <w:color w:val="1F4D78"/>
          <w:sz w:val="20"/>
        </w:rPr>
        <w:t xml:space="preserve">EVALUATION CLAIM  </w:t>
      </w:r>
      <w:r>
        <w:rPr>
          <w:rFonts w:ascii="Calibri" w:hAnsi="Calibri"/>
          <w:color w:val="0B2545"/>
          <w:sz w:val="21"/>
        </w:rPr>
        <w:t>On this five-video corpus, multimodal retrieval outperformed transcript-only baselines. This is a corpus-specific result and must not be presented as universal superiority. Exact tuple matching primarily improves semantic correctness and false-positive rejection.</w:t>
      </w:r>
    </w:p>
    <w:p>
      <w:pPr>
        <w:pStyle w:val="Heading1"/>
        <w:keepNext/>
      </w:pPr>
      <w:r>
        <w:t>13. Testing, reproducibility and deployment</w:t>
      </w:r>
    </w:p>
    <w:p>
      <w:pPr>
        <w:pStyle w:val="ListBullet"/>
      </w:pPr>
      <w:r>
        <w:rPr>
          <w:rFonts w:ascii="Calibri" w:hAnsi="Calibri"/>
          <w:color w:val="000000"/>
          <w:sz w:val="22"/>
        </w:rPr>
        <w:t>153 passing automated Python tests</w:t>
      </w:r>
    </w:p>
    <w:p>
      <w:pPr>
        <w:pStyle w:val="ListBullet"/>
      </w:pPr>
      <w:r>
        <w:rPr>
          <w:rFonts w:ascii="Calibri" w:hAnsi="Calibri"/>
          <w:color w:val="000000"/>
          <w:sz w:val="22"/>
        </w:rPr>
        <w:t>Ruff static checks passing</w:t>
      </w:r>
    </w:p>
    <w:p>
      <w:pPr>
        <w:pStyle w:val="ListBullet"/>
      </w:pPr>
      <w:r>
        <w:rPr>
          <w:rFonts w:ascii="Calibri" w:hAnsi="Calibri"/>
          <w:color w:val="000000"/>
          <w:sz w:val="22"/>
        </w:rPr>
        <w:t>Mypy type checks passing</w:t>
      </w:r>
    </w:p>
    <w:p>
      <w:pPr>
        <w:pStyle w:val="ListBullet"/>
      </w:pPr>
      <w:r>
        <w:rPr>
          <w:rFonts w:ascii="Calibri" w:hAnsi="Calibri"/>
          <w:color w:val="000000"/>
          <w:sz w:val="22"/>
        </w:rPr>
        <w:t>Conditional live Neo4j integration tests</w:t>
      </w:r>
    </w:p>
    <w:p>
      <w:pPr>
        <w:pStyle w:val="ListBullet"/>
      </w:pPr>
      <w:r>
        <w:rPr>
          <w:rFonts w:ascii="Calibri" w:hAnsi="Calibri"/>
          <w:color w:val="000000"/>
          <w:sz w:val="22"/>
        </w:rPr>
        <w:t>Deterministic mocked Groq tests that consume no API quota</w:t>
      </w:r>
    </w:p>
    <w:p>
      <w:pPr>
        <w:pStyle w:val="ListBullet"/>
      </w:pPr>
      <w:r>
        <w:rPr>
          <w:rFonts w:ascii="Calibri" w:hAnsi="Calibri"/>
          <w:color w:val="000000"/>
          <w:sz w:val="22"/>
        </w:rPr>
        <w:t>Video-split leakage, graph batching, loss masking and deterministic inference tests</w:t>
      </w:r>
    </w:p>
    <w:p>
      <w:pPr>
        <w:pStyle w:val="ListBullet"/>
      </w:pPr>
      <w:r>
        <w:rPr>
          <w:rFonts w:ascii="Calibri" w:hAnsi="Calibri"/>
          <w:color w:val="000000"/>
          <w:sz w:val="22"/>
        </w:rPr>
        <w:t>Checkpoint checksum, schema and model-version compatibility validation</w:t>
      </w:r>
    </w:p>
    <w:p>
      <w:pPr>
        <w:pStyle w:val="ListBullet"/>
      </w:pPr>
      <w:r>
        <w:rPr>
          <w:rFonts w:ascii="Calibri" w:hAnsi="Calibri"/>
          <w:color w:val="000000"/>
          <w:sz w:val="22"/>
        </w:rPr>
        <w:t>Canonical-segment, SQLite, Neo4j, API and exact-tuple integration tests</w:t>
      </w:r>
    </w:p>
    <w:p>
      <w:pPr>
        <w:pStyle w:val="ListBullet"/>
      </w:pPr>
      <w:r>
        <w:rPr>
          <w:rFonts w:ascii="Calibri" w:hAnsi="Calibri"/>
          <w:color w:val="000000"/>
          <w:sz w:val="22"/>
        </w:rPr>
        <w:t>Docker execution with backend, static frontend, Neo4j, volumes and health checks</w:t>
      </w:r>
    </w:p>
    <w:p>
      <w:r>
        <w:rPr>
          <w:rFonts w:ascii="Calibri" w:hAnsi="Calibri"/>
          <w:color w:val="000000"/>
          <w:sz w:val="22"/>
        </w:rPr>
        <w:t>Model weights and external credentials are configuration-controlled. The repository does not hardcode Hugging Face or Groq API keys. Missing, random, checksum-mismatched or schema-incompatible GNN checkpoints are rejected rather than silently loaded.</w:t>
      </w:r>
    </w:p>
    <w:p>
      <w:pPr>
        <w:pStyle w:val="Heading1"/>
        <w:keepNext/>
      </w:pPr>
      <w:r>
        <w:t>14. Evidence classification</w:t>
      </w:r>
    </w:p>
    <w:tbl>
      <w:tblPr>
        <w:tblStyle w:val="TableGrid"/>
        <w:tblW w:type="dxa" w:w="9360"/>
        <w:jc w:val="left"/>
        <w:tblLayout w:type="fixed"/>
        <w:tblLook w:firstColumn="1" w:firstRow="1" w:lastColumn="0" w:lastRow="0" w:noHBand="0" w:noVBand="1" w:val="04A0"/>
        <w:tblInd w:w="120" w:type="dxa"/>
      </w:tblPr>
      <w:tblGrid>
        <w:gridCol w:w="1800"/>
        <w:gridCol w:w="3960"/>
        <w:gridCol w:w="3600"/>
      </w:tblGrid>
      <w:tr>
        <w:trPr>
          <w:tblHeader w:val="true"/>
        </w:trPr>
        <w:tc>
          <w:tcPr>
            <w:tcW w:type="dxa" w:w="1800"/>
            <w:shd w:fill="E8EEF5"/>
            <w:vAlign w:val="center"/>
            <w:tcMar>
              <w:top w:w="80" w:type="dxa"/>
              <w:start w:w="120" w:type="dxa"/>
              <w:bottom w:w="80" w:type="dxa"/>
              <w:end w:w="120" w:type="dxa"/>
            </w:tcMar>
          </w:tcPr>
          <w:p>
            <w:pPr>
              <w:spacing w:after="0"/>
              <w:jc w:val="left"/>
            </w:pPr>
            <w:r>
              <w:rPr>
                <w:rFonts w:ascii="Calibri" w:hAnsi="Calibri"/>
                <w:b/>
                <w:color w:val="0B2545"/>
                <w:sz w:val="18"/>
              </w:rPr>
              <w:t>Category</w:t>
            </w:r>
          </w:p>
        </w:tc>
        <w:tc>
          <w:tcPr>
            <w:tcW w:type="dxa" w:w="3960"/>
            <w:shd w:fill="E8EEF5"/>
            <w:vAlign w:val="center"/>
            <w:tcMar>
              <w:top w:w="80" w:type="dxa"/>
              <w:start w:w="120" w:type="dxa"/>
              <w:bottom w:w="80" w:type="dxa"/>
              <w:end w:w="120" w:type="dxa"/>
            </w:tcMar>
          </w:tcPr>
          <w:p>
            <w:pPr>
              <w:spacing w:after="0"/>
              <w:jc w:val="left"/>
            </w:pPr>
            <w:r>
              <w:rPr>
                <w:rFonts w:ascii="Calibri" w:hAnsi="Calibri"/>
                <w:b/>
                <w:color w:val="0B2545"/>
                <w:sz w:val="18"/>
              </w:rPr>
              <w:t>Examples</w:t>
            </w:r>
          </w:p>
        </w:tc>
        <w:tc>
          <w:tcPr>
            <w:tcW w:type="dxa" w:w="3600"/>
            <w:shd w:fill="E8EEF5"/>
            <w:vAlign w:val="center"/>
            <w:tcMar>
              <w:top w:w="80" w:type="dxa"/>
              <w:start w:w="120" w:type="dxa"/>
              <w:bottom w:w="80" w:type="dxa"/>
              <w:end w:w="120" w:type="dxa"/>
            </w:tcMar>
          </w:tcPr>
          <w:p>
            <w:pPr>
              <w:spacing w:after="0"/>
              <w:jc w:val="left"/>
            </w:pPr>
            <w:r>
              <w:rPr>
                <w:rFonts w:ascii="Calibri" w:hAnsi="Calibri"/>
                <w:b/>
                <w:color w:val="0B2545"/>
                <w:sz w:val="18"/>
              </w:rPr>
              <w:t>How it is represented</w:t>
            </w:r>
          </w:p>
        </w:tc>
      </w:tr>
      <w:tr>
        <w:tc>
          <w:tcPr>
            <w:tcW w:type="dxa" w:w="1800"/>
            <w:vAlign w:val="center"/>
            <w:tcMar>
              <w:top w:w="80" w:type="dxa"/>
              <w:start w:w="120" w:type="dxa"/>
              <w:bottom w:w="80" w:type="dxa"/>
              <w:end w:w="120" w:type="dxa"/>
            </w:tcMar>
          </w:tcPr>
          <w:p>
            <w:pPr>
              <w:spacing w:after="0"/>
              <w:jc w:val="left"/>
            </w:pPr>
            <w:r>
              <w:rPr>
                <w:rFonts w:ascii="Calibri" w:hAnsi="Calibri"/>
                <w:color w:val="000000"/>
                <w:sz w:val="18"/>
              </w:rPr>
              <w:t>Learned</w:t>
            </w:r>
          </w:p>
        </w:tc>
        <w:tc>
          <w:tcPr>
            <w:tcW w:type="dxa" w:w="3960"/>
            <w:vAlign w:val="center"/>
            <w:tcMar>
              <w:top w:w="80" w:type="dxa"/>
              <w:start w:w="120" w:type="dxa"/>
              <w:bottom w:w="80" w:type="dxa"/>
              <w:end w:w="120" w:type="dxa"/>
            </w:tcMar>
          </w:tcPr>
          <w:p>
            <w:pPr>
              <w:spacing w:after="0"/>
              <w:jc w:val="left"/>
            </w:pPr>
            <w:r>
              <w:rPr>
                <w:rFonts w:ascii="Calibri" w:hAnsi="Calibri"/>
                <w:color w:val="000000"/>
                <w:sz w:val="18"/>
              </w:rPr>
              <w:t>YOLO, Whisper, Pyannote, OCR, MiniLM, OpenCLIP, AVA GNN, VidOR GNN</w:t>
            </w:r>
          </w:p>
        </w:tc>
        <w:tc>
          <w:tcPr>
            <w:tcW w:type="dxa" w:w="3600"/>
            <w:vAlign w:val="center"/>
            <w:tcMar>
              <w:top w:w="80" w:type="dxa"/>
              <w:start w:w="120" w:type="dxa"/>
              <w:bottom w:w="80" w:type="dxa"/>
              <w:end w:w="120" w:type="dxa"/>
            </w:tcMar>
          </w:tcPr>
          <w:p>
            <w:pPr>
              <w:spacing w:after="0"/>
              <w:jc w:val="left"/>
            </w:pPr>
            <w:r>
              <w:rPr>
                <w:rFonts w:ascii="Calibri" w:hAnsi="Calibri"/>
                <w:color w:val="000000"/>
                <w:sz w:val="18"/>
              </w:rPr>
              <w:t>Model output with model/version metadata</w:t>
            </w:r>
          </w:p>
        </w:tc>
      </w:tr>
      <w:tr>
        <w:tc>
          <w:tcPr>
            <w:tcW w:type="dxa" w:w="1800"/>
            <w:vAlign w:val="center"/>
            <w:tcMar>
              <w:top w:w="80" w:type="dxa"/>
              <w:start w:w="120" w:type="dxa"/>
              <w:bottom w:w="80" w:type="dxa"/>
              <w:end w:w="120" w:type="dxa"/>
            </w:tcMar>
          </w:tcPr>
          <w:p>
            <w:pPr>
              <w:spacing w:after="0"/>
              <w:jc w:val="left"/>
            </w:pPr>
            <w:r>
              <w:rPr>
                <w:rFonts w:ascii="Calibri" w:hAnsi="Calibri"/>
                <w:color w:val="000000"/>
                <w:sz w:val="18"/>
              </w:rPr>
              <w:t>Heuristic</w:t>
            </w:r>
          </w:p>
        </w:tc>
        <w:tc>
          <w:tcPr>
            <w:tcW w:type="dxa" w:w="3960"/>
            <w:vAlign w:val="center"/>
            <w:tcMar>
              <w:top w:w="80" w:type="dxa"/>
              <w:start w:w="120" w:type="dxa"/>
              <w:bottom w:w="80" w:type="dxa"/>
              <w:end w:w="120" w:type="dxa"/>
            </w:tcMar>
          </w:tcPr>
          <w:p>
            <w:pPr>
              <w:spacing w:after="0"/>
              <w:jc w:val="left"/>
            </w:pPr>
            <w:r>
              <w:rPr>
                <w:rFonts w:ascii="Calibri" w:hAnsi="Calibri"/>
                <w:color w:val="000000"/>
                <w:sz w:val="18"/>
              </w:rPr>
              <w:t>Geometry edges, short-range tracking, temporal smoothing, AVA target resolver</w:t>
            </w:r>
          </w:p>
        </w:tc>
        <w:tc>
          <w:tcPr>
            <w:tcW w:type="dxa" w:w="3600"/>
            <w:vAlign w:val="center"/>
            <w:tcMar>
              <w:top w:w="80" w:type="dxa"/>
              <w:start w:w="120" w:type="dxa"/>
              <w:bottom w:w="80" w:type="dxa"/>
              <w:end w:w="120" w:type="dxa"/>
            </w:tcMar>
          </w:tcPr>
          <w:p>
            <w:pPr>
              <w:spacing w:after="0"/>
              <w:jc w:val="left"/>
            </w:pPr>
            <w:r>
              <w:rPr>
                <w:rFonts w:ascii="Calibri" w:hAnsi="Calibri"/>
                <w:color w:val="000000"/>
                <w:sz w:val="18"/>
              </w:rPr>
              <w:t>Separate source_method/provenance values</w:t>
            </w:r>
          </w:p>
        </w:tc>
      </w:tr>
      <w:tr>
        <w:tc>
          <w:tcPr>
            <w:tcW w:type="dxa" w:w="1800"/>
            <w:vAlign w:val="center"/>
            <w:tcMar>
              <w:top w:w="80" w:type="dxa"/>
              <w:start w:w="120" w:type="dxa"/>
              <w:bottom w:w="80" w:type="dxa"/>
              <w:end w:w="120" w:type="dxa"/>
            </w:tcMar>
          </w:tcPr>
          <w:p>
            <w:pPr>
              <w:spacing w:after="0"/>
              <w:jc w:val="left"/>
            </w:pPr>
            <w:r>
              <w:rPr>
                <w:rFonts w:ascii="Calibri" w:hAnsi="Calibri"/>
                <w:color w:val="000000"/>
                <w:sz w:val="18"/>
              </w:rPr>
              <w:t>Annotation-derived</w:t>
            </w:r>
          </w:p>
        </w:tc>
        <w:tc>
          <w:tcPr>
            <w:tcW w:type="dxa" w:w="3960"/>
            <w:vAlign w:val="center"/>
            <w:tcMar>
              <w:top w:w="80" w:type="dxa"/>
              <w:start w:w="120" w:type="dxa"/>
              <w:bottom w:w="80" w:type="dxa"/>
              <w:end w:w="120" w:type="dxa"/>
            </w:tcMar>
          </w:tcPr>
          <w:p>
            <w:pPr>
              <w:spacing w:after="0"/>
              <w:jc w:val="left"/>
            </w:pPr>
            <w:r>
              <w:rPr>
                <w:rFonts w:ascii="Calibri" w:hAnsi="Calibri"/>
                <w:color w:val="000000"/>
                <w:sz w:val="18"/>
              </w:rPr>
              <w:t>AVA labels, VidOR labels, controlled-demo manifest, evaluation timestamps</w:t>
            </w:r>
          </w:p>
        </w:tc>
        <w:tc>
          <w:tcPr>
            <w:tcW w:type="dxa" w:w="3600"/>
            <w:vAlign w:val="center"/>
            <w:tcMar>
              <w:top w:w="80" w:type="dxa"/>
              <w:start w:w="120" w:type="dxa"/>
              <w:bottom w:w="80" w:type="dxa"/>
              <w:end w:w="120" w:type="dxa"/>
            </w:tcMar>
          </w:tcPr>
          <w:p>
            <w:pPr>
              <w:spacing w:after="0"/>
              <w:jc w:val="left"/>
            </w:pPr>
            <w:r>
              <w:rPr>
                <w:rFonts w:ascii="Calibri" w:hAnsi="Calibri"/>
                <w:color w:val="000000"/>
                <w:sz w:val="18"/>
              </w:rPr>
              <w:t>Explicit ground-truth or manual_annotation provenance</w:t>
            </w:r>
          </w:p>
        </w:tc>
      </w:tr>
    </w:tbl>
    <w:p>
      <w:pPr>
        <w:spacing w:after="0"/>
      </w:pPr>
    </w:p>
    <w:p>
      <w:pPr>
        <w:pStyle w:val="Callout"/>
      </w:pPr>
      <w:r>
        <w:rPr>
          <w:rFonts w:ascii="Calibri" w:hAnsi="Calibri"/>
          <w:b/>
          <w:color w:val="1F4D78"/>
          <w:sz w:val="20"/>
        </w:rPr>
        <w:t xml:space="preserve">CRITICAL DISTINCTION  </w:t>
      </w:r>
      <w:r>
        <w:rPr>
          <w:rFonts w:ascii="Calibri" w:hAnsi="Calibri"/>
          <w:color w:val="0B2545"/>
          <w:sz w:val="21"/>
        </w:rPr>
        <w:t>AVA ground-truth labels, bounding-box geometry and controlled-demo annotations must never be called GNN predictions. The AVA target resolver must not be conflated with direct VidOR relationship-GNN output.</w:t>
      </w:r>
    </w:p>
    <w:p>
      <w:pPr>
        <w:pStyle w:val="Heading1"/>
        <w:keepNext/>
      </w:pPr>
      <w:r>
        <w:t>15. Main project contributions</w:t>
      </w:r>
    </w:p>
    <w:p>
      <w:pPr>
        <w:pStyle w:val="ListNumber"/>
      </w:pPr>
      <w:r>
        <w:rPr>
          <w:rFonts w:ascii="Calibri" w:hAnsi="Calibri"/>
          <w:color w:val="000000"/>
          <w:sz w:val="22"/>
        </w:rPr>
        <w:t>An operational end-to-end multimodal search application rather than isolated model notebooks.</w:t>
      </w:r>
    </w:p>
    <w:p>
      <w:pPr>
        <w:pStyle w:val="ListNumber"/>
      </w:pPr>
      <w:r>
        <w:rPr>
          <w:rFonts w:ascii="Calibri" w:hAnsi="Calibri"/>
          <w:color w:val="000000"/>
          <w:sz w:val="22"/>
        </w:rPr>
        <w:t>A common canonical-segment representation aligning frame, audio, text and graph evidence.</w:t>
      </w:r>
    </w:p>
    <w:p>
      <w:pPr>
        <w:pStyle w:val="ListNumber"/>
      </w:pPr>
      <w:r>
        <w:rPr>
          <w:rFonts w:ascii="Calibri" w:hAnsi="Calibri"/>
          <w:color w:val="000000"/>
          <w:sz w:val="22"/>
        </w:rPr>
        <w:t>Exact relationship-tuple retrieval with correct symmetric and directional semantics.</w:t>
      </w:r>
    </w:p>
    <w:p>
      <w:pPr>
        <w:pStyle w:val="ListNumber"/>
      </w:pPr>
      <w:r>
        <w:rPr>
          <w:rFonts w:ascii="Calibri" w:hAnsi="Calibri"/>
          <w:color w:val="000000"/>
          <w:sz w:val="22"/>
        </w:rPr>
        <w:t>A trained, checkpointed and API-integrated AVA 80-label action GNN.</w:t>
      </w:r>
    </w:p>
    <w:p>
      <w:pPr>
        <w:pStyle w:val="ListNumber"/>
      </w:pPr>
      <w:r>
        <w:rPr>
          <w:rFonts w:ascii="Calibri" w:hAnsi="Calibri"/>
          <w:color w:val="000000"/>
          <w:sz w:val="22"/>
        </w:rPr>
        <w:t>A separately trained VidOR 50-predicate explicit relationship GNN.</w:t>
      </w:r>
    </w:p>
    <w:p>
      <w:pPr>
        <w:pStyle w:val="ListNumber"/>
      </w:pPr>
      <w:r>
        <w:rPr>
          <w:rFonts w:ascii="Calibri" w:hAnsi="Calibri"/>
          <w:color w:val="000000"/>
          <w:sz w:val="22"/>
        </w:rPr>
        <w:t>Reliable SQLite persistence with a verified optional Neo4j graph mirror.</w:t>
      </w:r>
    </w:p>
    <w:p>
      <w:pPr>
        <w:pStyle w:val="ListNumber"/>
      </w:pPr>
      <w:r>
        <w:rPr>
          <w:rFonts w:ascii="Calibri" w:hAnsi="Calibri"/>
          <w:color w:val="000000"/>
          <w:sz w:val="22"/>
        </w:rPr>
        <w:t>MiniLM semantic search and OpenCLIP appearance retrieval.</w:t>
      </w:r>
    </w:p>
    <w:p>
      <w:pPr>
        <w:pStyle w:val="ListNumber"/>
      </w:pPr>
      <w:r>
        <w:rPr>
          <w:rFonts w:ascii="Calibri" w:hAnsi="Calibri"/>
          <w:color w:val="000000"/>
          <w:sz w:val="22"/>
        </w:rPr>
        <w:t>Explainable results containing timestamps, confidence, model version and provenance.</w:t>
      </w:r>
    </w:p>
    <w:p>
      <w:pPr>
        <w:pStyle w:val="ListNumber"/>
      </w:pPr>
      <w:r>
        <w:rPr>
          <w:rFonts w:ascii="Calibri" w:hAnsi="Calibri"/>
          <w:color w:val="000000"/>
          <w:sz w:val="22"/>
        </w:rPr>
        <w:t>A safe grounded Groq layer that cannot bypass retrieval or execute Cypher.</w:t>
      </w:r>
    </w:p>
    <w:p>
      <w:pPr>
        <w:pStyle w:val="ListNumber"/>
      </w:pPr>
      <w:r>
        <w:rPr>
          <w:rFonts w:ascii="Calibri" w:hAnsi="Calibri"/>
          <w:color w:val="000000"/>
          <w:sz w:val="22"/>
        </w:rPr>
        <w:t>Reproducible evaluation, automated tests, machine-readable proof and Docker deployment.</w:t>
      </w:r>
    </w:p>
    <w:p>
      <w:pPr>
        <w:pStyle w:val="Heading1"/>
        <w:keepNext/>
      </w:pPr>
      <w:r>
        <w:t>16. Known limitations and future work</w:t>
      </w:r>
    </w:p>
    <w:p>
      <w:pPr>
        <w:pStyle w:val="ListBullet"/>
      </w:pPr>
      <w:r>
        <w:rPr>
          <w:rFonts w:ascii="Calibri" w:hAnsi="Calibri"/>
          <w:color w:val="000000"/>
          <w:sz w:val="22"/>
        </w:rPr>
        <w:t>Thirty AVA videos remain small for an 80-class long-tailed task; rare-action performance is limited.</w:t>
      </w:r>
    </w:p>
    <w:p>
      <w:pPr>
        <w:pStyle w:val="ListBullet"/>
      </w:pPr>
      <w:r>
        <w:rPr>
          <w:rFonts w:ascii="Calibri" w:hAnsi="Calibri"/>
          <w:color w:val="000000"/>
          <w:sz w:val="22"/>
        </w:rPr>
        <w:t>The VidOR held-out test contains only four videos and 17 supported predicates.</w:t>
      </w:r>
    </w:p>
    <w:p>
      <w:pPr>
        <w:pStyle w:val="ListBullet"/>
      </w:pPr>
      <w:r>
        <w:rPr>
          <w:rFonts w:ascii="Calibri" w:hAnsi="Calibri"/>
          <w:color w:val="000000"/>
          <w:sz w:val="22"/>
        </w:rPr>
        <w:t>YOLO cannot identify arbitrary concepts outside its trained class vocabulary.</w:t>
      </w:r>
    </w:p>
    <w:p>
      <w:pPr>
        <w:pStyle w:val="ListBullet"/>
      </w:pPr>
      <w:r>
        <w:rPr>
          <w:rFonts w:ascii="Calibri" w:hAnsi="Calibri"/>
          <w:color w:val="000000"/>
          <w:sz w:val="22"/>
        </w:rPr>
        <w:t>Geometry relations depend on viewpoint and are not full 3-D spatial reasoning.</w:t>
      </w:r>
    </w:p>
    <w:p>
      <w:pPr>
        <w:pStyle w:val="ListBullet"/>
      </w:pPr>
      <w:r>
        <w:rPr>
          <w:rFonts w:ascii="Calibri" w:hAnsi="Calibri"/>
          <w:color w:val="000000"/>
          <w:sz w:val="22"/>
        </w:rPr>
        <w:t>OpenCLIP similarity is not a calibrated probability.</w:t>
      </w:r>
    </w:p>
    <w:p>
      <w:pPr>
        <w:pStyle w:val="ListBullet"/>
      </w:pPr>
      <w:r>
        <w:rPr>
          <w:rFonts w:ascii="Calibri" w:hAnsi="Calibri"/>
          <w:color w:val="000000"/>
          <w:sz w:val="22"/>
        </w:rPr>
        <w:t>Speaker labels are anonymous clusters; no face or real-identity recognition is implemented.</w:t>
      </w:r>
    </w:p>
    <w:p>
      <w:pPr>
        <w:pStyle w:val="ListBullet"/>
      </w:pPr>
      <w:r>
        <w:rPr>
          <w:rFonts w:ascii="Calibri" w:hAnsi="Calibri"/>
          <w:color w:val="000000"/>
          <w:sz w:val="22"/>
        </w:rPr>
        <w:t>Tracking is short-range and does not provide cross-shot identity re-identification.</w:t>
      </w:r>
    </w:p>
    <w:p>
      <w:pPr>
        <w:pStyle w:val="ListBullet"/>
      </w:pPr>
      <w:r>
        <w:rPr>
          <w:rFonts w:ascii="Calibri" w:hAnsi="Calibri"/>
          <w:color w:val="000000"/>
          <w:sz w:val="22"/>
        </w:rPr>
        <w:t>Fixed five-second windows can split events near boundaries.</w:t>
      </w:r>
    </w:p>
    <w:p>
      <w:pPr>
        <w:pStyle w:val="ListBullet"/>
      </w:pPr>
      <w:r>
        <w:rPr>
          <w:rFonts w:ascii="Calibri" w:hAnsi="Calibri"/>
          <w:color w:val="000000"/>
          <w:sz w:val="22"/>
        </w:rPr>
        <w:t>SQLite performs Python-side vector comparison instead of using a production vector index.</w:t>
      </w:r>
    </w:p>
    <w:p>
      <w:pPr>
        <w:pStyle w:val="ListBullet"/>
      </w:pPr>
      <w:r>
        <w:rPr>
          <w:rFonts w:ascii="Calibri" w:hAnsi="Calibri"/>
          <w:color w:val="000000"/>
          <w:sz w:val="22"/>
        </w:rPr>
        <w:t>Authentication, authorization, distributed queues, object storage and production security remain outside the capstone scope.</w:t>
      </w:r>
    </w:p>
    <w:p>
      <w:pPr>
        <w:pStyle w:val="Heading2"/>
        <w:keepNext/>
      </w:pPr>
      <w:r>
        <w:t>Recommended next steps</w:t>
      </w:r>
    </w:p>
    <w:p>
      <w:pPr>
        <w:pStyle w:val="ListNumber"/>
      </w:pPr>
      <w:r>
        <w:rPr>
          <w:rFonts w:ascii="Calibri" w:hAnsi="Calibri"/>
          <w:color w:val="000000"/>
          <w:sz w:val="22"/>
        </w:rPr>
        <w:t>Expand AVA and VidOR training coverage while preserving strict video-level splits.</w:t>
      </w:r>
    </w:p>
    <w:p>
      <w:pPr>
        <w:pStyle w:val="ListNumber"/>
      </w:pPr>
      <w:r>
        <w:rPr>
          <w:rFonts w:ascii="Calibri" w:hAnsi="Calibri"/>
          <w:color w:val="000000"/>
          <w:sz w:val="22"/>
        </w:rPr>
        <w:t>Add native indexed vector search for larger libraries.</w:t>
      </w:r>
    </w:p>
    <w:p>
      <w:pPr>
        <w:pStyle w:val="ListNumber"/>
      </w:pPr>
      <w:r>
        <w:rPr>
          <w:rFonts w:ascii="Calibri" w:hAnsi="Calibri"/>
          <w:color w:val="000000"/>
          <w:sz w:val="22"/>
        </w:rPr>
        <w:t>Evaluate adaptive temporal windows and longer-range tracking.</w:t>
      </w:r>
    </w:p>
    <w:p>
      <w:pPr>
        <w:pStyle w:val="ListNumber"/>
      </w:pPr>
      <w:r>
        <w:rPr>
          <w:rFonts w:ascii="Calibri" w:hAnsi="Calibri"/>
          <w:color w:val="000000"/>
          <w:sz w:val="22"/>
        </w:rPr>
        <w:t>Run a larger independent multi-annotator benchmark with confidence intervals.</w:t>
      </w:r>
    </w:p>
    <w:p>
      <w:pPr>
        <w:pStyle w:val="ListNumber"/>
      </w:pPr>
      <w:r>
        <w:rPr>
          <w:rFonts w:ascii="Calibri" w:hAnsi="Calibri"/>
          <w:color w:val="000000"/>
          <w:sz w:val="22"/>
        </w:rPr>
        <w:t>Add production authentication, authorization, retention policies and asynchronous workers.</w:t>
      </w:r>
    </w:p>
    <w:p>
      <w:pPr>
        <w:pStyle w:val="Heading1"/>
        <w:keepNext/>
      </w:pPr>
      <w:r>
        <w:t>17. Mentor-ready project explanation</w:t>
      </w:r>
    </w:p>
    <w:p>
      <w:pPr>
        <w:pStyle w:val="Callout"/>
      </w:pPr>
      <w:r>
        <w:rPr>
          <w:rFonts w:ascii="Calibri" w:hAnsi="Calibri"/>
          <w:b/>
          <w:color w:val="1F4D78"/>
          <w:sz w:val="20"/>
        </w:rPr>
        <w:t xml:space="preserve">PRESENTATION SCRIPT  </w:t>
      </w:r>
      <w:r>
        <w:rPr>
          <w:rFonts w:ascii="Calibri" w:hAnsi="Calibri"/>
          <w:color w:val="0B2545"/>
          <w:sz w:val="21"/>
        </w:rPr>
        <w:t>VidQuery is an end-to-end multimodal video-search system. When a user uploads an MP4, we validate and deduplicate it, extract frames and audio, and run YOLO, Whisper, Pyannote, EasyOCR and OpenCLIP. We align their outputs into searchable five-second segments. We also trained an 80-label AVA GNN for person actions and a 50-predicate VidOR GNN for explicit entity relationships. SQLite stores the complete evidence reliably, while Neo4j optionally supports graph traversal. At query time, a structured planner identifies speech, objects, speakers, OCR, actions and exact relationship constraints. MiniLM and the hybrid ranker return relevant timestamps with explanations. Groq can summarize only the retrieved evidence and must provide validated timestamp citations. Our main contribution is combining multimodal processing, learned graph models, exact relationship matching, persistence and explainable playback into one reproducible vertical slice.</w:t>
      </w:r>
    </w:p>
    <w:p>
      <w:pPr>
        <w:pStyle w:val="Heading2"/>
        <w:keepNext/>
      </w:pPr>
      <w:r>
        <w:t>Safe claims for the review</w:t>
      </w:r>
    </w:p>
    <w:p>
      <w:pPr>
        <w:pStyle w:val="ListBullet"/>
      </w:pPr>
      <w:r>
        <w:rPr>
          <w:rFonts w:ascii="Calibri" w:hAnsi="Calibri"/>
          <w:color w:val="000000"/>
          <w:sz w:val="22"/>
        </w:rPr>
        <w:t>VidQuery retrieves timestamped evidence from speech, entities, speakers, OCR, actions, appearance and exact relationships.</w:t>
      </w:r>
    </w:p>
    <w:p>
      <w:pPr>
        <w:pStyle w:val="ListBullet"/>
      </w:pPr>
      <w:r>
        <w:rPr>
          <w:rFonts w:ascii="Calibri" w:hAnsi="Calibri"/>
          <w:color w:val="000000"/>
          <w:sz w:val="22"/>
        </w:rPr>
        <w:t>Both an AVA person-action GNN and a VidOR explicit relationship GNN were genuinely trained, validated, checkpointed and integrated.</w:t>
      </w:r>
    </w:p>
    <w:p>
      <w:pPr>
        <w:pStyle w:val="ListBullet"/>
      </w:pPr>
      <w:r>
        <w:rPr>
          <w:rFonts w:ascii="Calibri" w:hAnsi="Calibri"/>
          <w:color w:val="000000"/>
          <w:sz w:val="22"/>
        </w:rPr>
        <w:t>SQLite is the reliable system of record and Neo4j is a verified optional graph retrieval mirror.</w:t>
      </w:r>
    </w:p>
    <w:p>
      <w:pPr>
        <w:pStyle w:val="ListBullet"/>
      </w:pPr>
      <w:r>
        <w:rPr>
          <w:rFonts w:ascii="Calibri" w:hAnsi="Calibri"/>
          <w:color w:val="000000"/>
          <w:sz w:val="22"/>
        </w:rPr>
        <w:t>Exact tuple matching removes relationship co-occurrence false positives.</w:t>
      </w:r>
    </w:p>
    <w:p>
      <w:pPr>
        <w:pStyle w:val="ListBullet"/>
      </w:pPr>
      <w:r>
        <w:rPr>
          <w:rFonts w:ascii="Calibri" w:hAnsi="Calibri"/>
          <w:color w:val="000000"/>
          <w:sz w:val="22"/>
        </w:rPr>
        <w:t>The reported metrics are reproducible artifacts for the stated video splits and evaluation corpus.</w:t>
      </w:r>
    </w:p>
    <w:p>
      <w:pPr>
        <w:pStyle w:val="Heading2"/>
        <w:keepNext/>
      </w:pPr>
      <w:r>
        <w:t>Claims to avoid</w:t>
      </w:r>
    </w:p>
    <w:p>
      <w:pPr>
        <w:pStyle w:val="ListBullet"/>
      </w:pPr>
      <w:r>
        <w:rPr>
          <w:rFonts w:ascii="Calibri" w:hAnsi="Calibri"/>
          <w:color w:val="000000"/>
          <w:sz w:val="22"/>
        </w:rPr>
        <w:t>Do not claim universal GNN or graph-retrieval superiority.</w:t>
      </w:r>
    </w:p>
    <w:p>
      <w:pPr>
        <w:pStyle w:val="ListBullet"/>
      </w:pPr>
      <w:r>
        <w:rPr>
          <w:rFonts w:ascii="Calibri" w:hAnsi="Calibri"/>
          <w:color w:val="000000"/>
          <w:sz w:val="22"/>
        </w:rPr>
        <w:t>Do not call AVA labels, geometry edges or manual annotations learned predictions.</w:t>
      </w:r>
    </w:p>
    <w:p>
      <w:pPr>
        <w:pStyle w:val="ListBullet"/>
      </w:pPr>
      <w:r>
        <w:rPr>
          <w:rFonts w:ascii="Calibri" w:hAnsi="Calibri"/>
          <w:color w:val="000000"/>
          <w:sz w:val="22"/>
        </w:rPr>
        <w:t>Do not claim that the AVA GNN directly predicts object targets.</w:t>
      </w:r>
    </w:p>
    <w:p>
      <w:pPr>
        <w:pStyle w:val="ListBullet"/>
      </w:pPr>
      <w:r>
        <w:rPr>
          <w:rFonts w:ascii="Calibri" w:hAnsi="Calibri"/>
          <w:color w:val="000000"/>
          <w:sz w:val="22"/>
        </w:rPr>
        <w:t>Do not claim arbitrary-object recognition, identity recognition or long-term tracking.</w:t>
      </w:r>
    </w:p>
    <w:p>
      <w:pPr>
        <w:pStyle w:val="ListBullet"/>
      </w:pPr>
      <w:r>
        <w:rPr>
          <w:rFonts w:ascii="Calibri" w:hAnsi="Calibri"/>
          <w:color w:val="000000"/>
          <w:sz w:val="22"/>
        </w:rPr>
        <w:t>Do not claim production security or broad-domain generalization.</w:t>
      </w:r>
    </w:p>
    <w:p>
      <w:pPr>
        <w:pStyle w:val="Heading1"/>
        <w:keepNext/>
      </w:pPr>
      <w:r>
        <w:t>Evidence references</w:t>
      </w:r>
    </w:p>
    <w:p>
      <w:pPr>
        <w:pStyle w:val="ListBullet"/>
      </w:pPr>
      <w:r>
        <w:rPr>
          <w:rFonts w:ascii="Calibri" w:hAnsi="Calibri"/>
          <w:color w:val="000000"/>
          <w:sz w:val="22"/>
        </w:rPr>
        <w:t>docs/FINAL_CAPSTONE_EVIDENCE.md</w:t>
      </w:r>
    </w:p>
    <w:p>
      <w:pPr>
        <w:pStyle w:val="ListBullet"/>
      </w:pPr>
      <w:r>
        <w:rPr>
          <w:rFonts w:ascii="Calibri" w:hAnsi="Calibri"/>
          <w:color w:val="000000"/>
          <w:sz w:val="22"/>
        </w:rPr>
        <w:t>docs/GNN_STATUS.md</w:t>
      </w:r>
    </w:p>
    <w:p>
      <w:pPr>
        <w:pStyle w:val="ListBullet"/>
      </w:pPr>
      <w:r>
        <w:rPr>
          <w:rFonts w:ascii="Calibri" w:hAnsi="Calibri"/>
          <w:color w:val="000000"/>
          <w:sz w:val="22"/>
        </w:rPr>
        <w:t>docs/AVA80_GNN.md</w:t>
      </w:r>
    </w:p>
    <w:p>
      <w:pPr>
        <w:pStyle w:val="ListBullet"/>
      </w:pPr>
      <w:r>
        <w:rPr>
          <w:rFonts w:ascii="Calibri" w:hAnsi="Calibri"/>
          <w:color w:val="000000"/>
          <w:sz w:val="22"/>
        </w:rPr>
        <w:t>docs/VIDOR_RELATION_FINAL_PASS.md</w:t>
      </w:r>
    </w:p>
    <w:p>
      <w:pPr>
        <w:pStyle w:val="ListBullet"/>
      </w:pPr>
      <w:r>
        <w:rPr>
          <w:rFonts w:ascii="Calibri" w:hAnsi="Calibri"/>
          <w:color w:val="000000"/>
          <w:sz w:val="22"/>
        </w:rPr>
        <w:t>docs/NEO4J_VERIFICATION.md</w:t>
      </w:r>
    </w:p>
    <w:p>
      <w:pPr>
        <w:pStyle w:val="ListBullet"/>
      </w:pPr>
      <w:r>
        <w:rPr>
          <w:rFonts w:ascii="Calibri" w:hAnsi="Calibri"/>
          <w:color w:val="000000"/>
          <w:sz w:val="22"/>
        </w:rPr>
        <w:t>docs/EVALUATION_FINAL.md</w:t>
      </w:r>
    </w:p>
    <w:p>
      <w:pPr>
        <w:pStyle w:val="ListBullet"/>
      </w:pPr>
      <w:r>
        <w:rPr>
          <w:rFonts w:ascii="Calibri" w:hAnsi="Calibri"/>
          <w:color w:val="000000"/>
          <w:sz w:val="22"/>
        </w:rPr>
        <w:t>docs/GROQ_RAG.md</w:t>
      </w:r>
    </w:p>
    <w:p>
      <w:pPr>
        <w:pStyle w:val="ListBullet"/>
      </w:pPr>
      <w:r>
        <w:rPr>
          <w:rFonts w:ascii="Calibri" w:hAnsi="Calibri"/>
          <w:color w:val="000000"/>
          <w:sz w:val="22"/>
        </w:rPr>
        <w:t>evaluation/results/independent-final.json</w:t>
      </w:r>
    </w:p>
    <w:p>
      <w:pPr>
        <w:pStyle w:val="ListBullet"/>
      </w:pPr>
      <w:r>
        <w:rPr>
          <w:rFonts w:ascii="Calibri" w:hAnsi="Calibri"/>
          <w:color w:val="000000"/>
          <w:sz w:val="22"/>
        </w:rPr>
        <w:t>evaluation/results/full-fresh-video-e2e-proof.json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VIDQUERY  |  MENTOR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line="240" w:lineRule="auto"/>
      <w:ind w:left="259" w:right="259"/>
      <w:shd w:fill="F2F4F7"/>
    </w:pPr>
    <w:rPr>
      <w:rFonts w:ascii="Consolas" w:hAnsi="Consolas"/>
      <w:sz w:val="18"/>
    </w:rPr>
  </w:style>
  <w:style w:type="paragraph" w:customStyle="1" w:styleId="Callout">
    <w:name w:val="Callout"/>
    <w:pPr>
      <w:spacing w:before="140" w:after="180" w:line="264" w:lineRule="auto"/>
      <w:ind w:left="259" w:right="259"/>
      <w:shd w:fill="F4F6F9"/>
      <w:pBdr>
        <w:left w:val="single" w:sz="18" w:space="8" w:color="2E74B5"/>
      </w:pBdr>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VidQuery - Detailed Project Description</dc:title>
  <dc:subject>Mentor review technical report</dc:subject>
  <dc:creator>VidQuery Capstone Team</dc:creator>
  <cp:keywords>VidQuery, semantic video search, GNN, AVA, VidOR, Neo4j</cp:keywords>
  <dc:description>generated by python-docx</dc:description>
  <cp:lastModifiedBy/>
  <cp:revision>1</cp:revision>
  <dcterms:created xsi:type="dcterms:W3CDTF">2013-12-23T23:15:00Z</dcterms:created>
  <dcterms:modified xsi:type="dcterms:W3CDTF">2013-12-23T23:15:00Z</dcterms:modified>
  <cp:category/>
</cp:coreProperties>
</file>