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Controls and 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Checklist based on </w:t>
      </w:r>
      <w:hyperlink xmlns:r="http://schemas.openxmlformats.org/officeDocument/2006/relationships" r:id="docRId0">
        <w:r>
          <w:rPr>
            <w:rFonts w:ascii="Google Sans" w:hAnsi="Google Sans" w:cs="Google Sans" w:eastAsia="Google San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scope, goals, and risk assessment report</w:t>
        </w:r>
      </w:hyperlink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from the </w:t>
      </w:r>
      <w:r>
        <w:rPr>
          <w:rFonts w:ascii="Google Sans" w:hAnsi="Google Sans" w:cs="Google Sans" w:eastAsia="Google Sans"/>
          <w:i/>
          <w:color w:val="auto"/>
          <w:spacing w:val="0"/>
          <w:position w:val="0"/>
          <w:sz w:val="24"/>
          <w:shd w:fill="auto" w:val="clear"/>
        </w:rPr>
        <w:t xml:space="preserve">Botium Toys: Scope, goals, and risk assessment report.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6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Controls assessment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>
        <w:tblInd w:w="165" w:type="dxa"/>
      </w:tblPr>
      <w:tblGrid>
        <w:gridCol w:w="1095"/>
        <w:gridCol w:w="1275"/>
        <w:gridCol w:w="6825"/>
      </w:tblGrid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</w:p>
        </w:tc>
      </w:tr>
      <w:tr>
        <w:trPr>
          <w:trHeight w:val="315" w:hRule="auto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Least Privilege</w:t>
            </w:r>
          </w:p>
        </w:tc>
      </w:tr>
      <w:tr>
        <w:trPr>
          <w:trHeight w:val="390" w:hRule="auto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Disaster recovery plans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policies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Separation of duties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Firewall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Intrusion detection system (IDS)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Backups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Antivirus software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 monitoring, maintenance, and intervention for legacy systems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Encryption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management system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Locks (offices, storefront, warehouse)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Closed-circuit television (CCTV) surveillance</w:t>
            </w:r>
          </w:p>
        </w:tc>
      </w:tr>
      <w:tr>
        <w:trPr>
          <w:trHeight w:val="1" w:hRule="atLeast"/>
          <w:jc w:val="left"/>
        </w:trPr>
        <w:tc>
          <w:tcPr>
            <w:tcW w:w="10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7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Fire detection/prevention (fire alarm, sprinkler system, etc.)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Compliance checklist</w:t>
      </w: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Payment Card Industry Data Security Standard (PCI DSS)</w:t>
      </w:r>
    </w:p>
    <w:tbl>
      <w:tblPr/>
      <w:tblGrid>
        <w:gridCol w:w="1035"/>
        <w:gridCol w:w="1080"/>
        <w:gridCol w:w="7245"/>
      </w:tblGrid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Only authorized users have access to customers’ credit card information. 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data encryption procedures to better secure credit card transaction touchpoints and data.</w:t>
            </w:r>
          </w:p>
        </w:tc>
      </w:tr>
      <w:tr>
        <w:trPr>
          <w:trHeight w:val="1" w:hRule="atLeast"/>
          <w:jc w:val="left"/>
        </w:trPr>
        <w:tc>
          <w:tcPr>
            <w:tcW w:w="10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Adopt secure password management policies.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General Data Protection Regulation (GDPR)</w:t>
      </w:r>
    </w:p>
    <w:tbl>
      <w:tblPr/>
      <w:tblGrid>
        <w:gridCol w:w="1140"/>
        <w:gridCol w:w="1005"/>
        <w:gridCol w:w="7215"/>
      </w:tblGrid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E.U. customers’ data is kept private/secured.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Ensure data is properly classified and inventoried.</w:t>
            </w: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1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Enforce privacy policies, procedures, and processes to properly document and maintain data.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u w:val="single"/>
          <w:shd w:fill="auto" w:val="clear"/>
        </w:rPr>
        <w:t xml:space="preserve">System and Organizations Controls (SOC type 1, SOC type 2)</w:t>
      </w: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065"/>
        <w:gridCol w:w="1155"/>
        <w:gridCol w:w="7140"/>
      </w:tblGrid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No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Best practice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User access policies are established.</w:t>
            </w:r>
          </w:p>
        </w:tc>
      </w:tr>
      <w:tr>
        <w:trPr>
          <w:trHeight w:val="240" w:hRule="auto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Sensitive data (PII/SPII) is confidential/private.</w:t>
            </w:r>
          </w:p>
        </w:tc>
      </w:tr>
      <w:tr>
        <w:trPr>
          <w:trHeight w:val="555" w:hRule="auto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integrity ensures the data is consistent, complete, accurate, and has been validated.</w:t>
            </w:r>
          </w:p>
        </w:tc>
      </w:tr>
      <w:tr>
        <w:trPr>
          <w:trHeight w:val="1" w:hRule="atLeast"/>
          <w:jc w:val="left"/>
        </w:trPr>
        <w:tc>
          <w:tcPr>
            <w:tcW w:w="106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4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Data is available to individuals authorized to access it.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auto"/>
          <w:spacing w:val="0"/>
          <w:position w:val="0"/>
          <w:sz w:val="24"/>
          <w:shd w:fill="auto" w:val="clear"/>
        </w:rPr>
        <w:t xml:space="preserve">Recommendations : 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To adress some security issues in Botium Toys Security posture, we recomend the following:</w:t>
        <w:br/>
        <w:t xml:space="preserve"> Implement User access policies and controls for Acess Management: Role Based Acess Management, Mandatory Acess Management or Discritory Acess Management. to ensure the only people authorize can acess sensitive data.</w:t>
        <w:br/>
        <w:t xml:space="preserve">Encryption of Dana in all states: At rest, in Use or in Motion.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Aplying Separation of duties and least privilage principals.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Estableshy Bussiness Countinuity Plan(BCP) and Disastrer recovery plan(DRP).with backups as part of DRP.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Reinforce Password polices with more complex requiriments And implement a centralized Password Management system to help productivity when employees/vendors submit a ticket to the IT department to recover or reset a password.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Implement Next Genaration Firewall with have IDS built-in.</w:t>
        <w:br/>
        <w:t xml:space="preserve">Use one secure envirioment to ensure credit card information is store, accepted, processed, and transmitted internally on a secure way.</w:t>
      </w:r>
    </w:p>
    <w:p>
      <w:pPr>
        <w:numPr>
          <w:ilvl w:val="0"/>
          <w:numId w:val="125"/>
        </w:numPr>
        <w:spacing w:before="0" w:after="20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Make periodically Assets Invetory as well categorize and labeling assets in the process.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1">
    <w:abstractNumId w:val="30"/>
  </w:num>
  <w:num w:numId="41">
    <w:abstractNumId w:val="24"/>
  </w:num>
  <w:num w:numId="65">
    <w:abstractNumId w:val="18"/>
  </w:num>
  <w:num w:numId="86">
    <w:abstractNumId w:val="12"/>
  </w:num>
  <w:num w:numId="107">
    <w:abstractNumId w:val="6"/>
  </w:num>
  <w:num w:numId="1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s2u_RuhRAI40JSh-eZHvaFsV1ZMxcNSWXifHDTOsgFc/template/preview#heading=h.evidx83t54s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