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Botium Toys: Scope, goals, and risk assessment report</w:t>
      </w:r>
    </w:p>
    <w:p>
      <w:pPr>
        <w:spacing w:before="0" w:after="0" w:line="276"/>
        <w:ind w:right="0" w:left="0" w:firstLine="0"/>
        <w:jc w:val="left"/>
        <w:rPr>
          <w:rFonts w:ascii="Google Sans" w:hAnsi="Google Sans" w:cs="Google Sans" w:eastAsia="Google Sans"/>
          <w:color w:val="CC0000"/>
          <w:spacing w:val="0"/>
          <w:position w:val="0"/>
          <w:sz w:val="24"/>
          <w:shd w:fill="auto" w:val="clear"/>
        </w:rPr>
      </w:pPr>
    </w:p>
    <w:p>
      <w:pPr>
        <w:keepNext w:val="true"/>
        <w:keepLines w:val="true"/>
        <w:spacing w:before="360" w:after="120" w:line="240"/>
        <w:ind w:right="0" w:left="0" w:firstLine="0"/>
        <w:jc w:val="left"/>
        <w:rPr>
          <w:rFonts w:ascii="Google Sans" w:hAnsi="Google Sans" w:cs="Google Sans" w:eastAsia="Google Sans"/>
          <w:b/>
          <w:color w:val="000000"/>
          <w:spacing w:val="0"/>
          <w:position w:val="0"/>
          <w:sz w:val="24"/>
          <w:shd w:fill="auto" w:val="clear"/>
        </w:rPr>
      </w:pPr>
      <w:r>
        <w:rPr>
          <w:rFonts w:ascii="Google Sans" w:hAnsi="Google Sans" w:cs="Google Sans" w:eastAsia="Google Sans"/>
          <w:color w:val="auto"/>
          <w:spacing w:val="0"/>
          <w:position w:val="0"/>
          <w:sz w:val="32"/>
          <w:shd w:fill="auto" w:val="clear"/>
        </w:rPr>
        <w:t xml:space="preserve">Scope and goals of the audit</w:t>
      </w:r>
    </w:p>
    <w:p>
      <w:pPr>
        <w:keepNext w:val="true"/>
        <w:keepLines w:val="true"/>
        <w:spacing w:before="0" w:after="320" w:line="240"/>
        <w:ind w:right="0" w:left="0" w:firstLine="0"/>
        <w:jc w:val="left"/>
        <w:rPr>
          <w:rFonts w:ascii="Google Sans" w:hAnsi="Google Sans" w:cs="Google Sans" w:eastAsia="Google Sans"/>
          <w:color w:val="000000"/>
          <w:spacing w:val="0"/>
          <w:position w:val="0"/>
          <w:sz w:val="24"/>
          <w:shd w:fill="auto" w:val="clear"/>
        </w:rPr>
      </w:pPr>
      <w:r>
        <w:rPr>
          <w:rFonts w:ascii="Google Sans" w:hAnsi="Google Sans" w:cs="Google Sans" w:eastAsia="Google Sans"/>
          <w:b/>
          <w:color w:val="000000"/>
          <w:spacing w:val="0"/>
          <w:position w:val="0"/>
          <w:sz w:val="24"/>
          <w:shd w:fill="auto" w:val="clear"/>
        </w:rPr>
        <w:t xml:space="preserve">Scope: </w:t>
      </w:r>
      <w:r>
        <w:rPr>
          <w:rFonts w:ascii="Google Sans" w:hAnsi="Google Sans" w:cs="Google Sans" w:eastAsia="Google Sans"/>
          <w:color w:val="000000"/>
          <w:spacing w:val="0"/>
          <w:position w:val="0"/>
          <w:sz w:val="24"/>
          <w:shd w:fill="auto" w:val="clear"/>
        </w:rPr>
        <w:t xml:space="preserve">The scope is defined as the entire security program at Botium Toys. This means all assets need to be assessed alongside internal processes and procedures related to the implementation of controls and compliance best practices.</w:t>
      </w:r>
    </w:p>
    <w:p>
      <w:pPr>
        <w:keepNext w:val="true"/>
        <w:keepLines w:val="true"/>
        <w:spacing w:before="0" w:after="320" w:line="240"/>
        <w:ind w:right="0" w:left="0" w:firstLine="0"/>
        <w:jc w:val="left"/>
        <w:rPr>
          <w:rFonts w:ascii="Google Sans" w:hAnsi="Google Sans" w:cs="Google Sans" w:eastAsia="Google Sans"/>
          <w:color w:val="000000"/>
          <w:spacing w:val="0"/>
          <w:position w:val="0"/>
          <w:sz w:val="30"/>
          <w:shd w:fill="auto" w:val="clear"/>
        </w:rPr>
      </w:pPr>
      <w:r>
        <w:rPr>
          <w:rFonts w:ascii="Google Sans" w:hAnsi="Google Sans" w:cs="Google Sans" w:eastAsia="Google Sans"/>
          <w:b/>
          <w:color w:val="000000"/>
          <w:spacing w:val="0"/>
          <w:position w:val="0"/>
          <w:sz w:val="24"/>
          <w:shd w:fill="auto" w:val="clear"/>
        </w:rPr>
        <w:t xml:space="preserve">Goals:</w:t>
      </w:r>
      <w:r>
        <w:rPr>
          <w:rFonts w:ascii="Google Sans" w:hAnsi="Google Sans" w:cs="Google Sans" w:eastAsia="Google Sans"/>
          <w:color w:val="000000"/>
          <w:spacing w:val="0"/>
          <w:position w:val="0"/>
          <w:sz w:val="24"/>
          <w:shd w:fill="auto" w:val="clear"/>
        </w:rPr>
        <w:t xml:space="preserve"> Assess existing assets and complete the controls and compliance checklist to determine which controls and compliance best practices need to be implemented to  improve Botium Toys’ security posture.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Current assets</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Assets managed by the IT Department include: </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On-premises equipment for in-office business needs  </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Employee equipment: end-user devices (desktops/laptops, smartphones), remote workstations, headsets, cables, keyboards, mice, docking stations, surveillance cameras, etc.</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Storefront products available for retail sale on site and online; stored in the company’s adjoining warehouse</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Management of systems, software, and services: accounting, telecommunication, database, security, ecommerce, and inventory management</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Internet access</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Internal network</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Data retention and storage</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Legacy system maintenance: end-of-life systems that require human monitoring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Risk assessment</w:t>
      </w:r>
    </w:p>
    <w:p>
      <w:pPr>
        <w:keepNext w:val="true"/>
        <w:keepLines w:val="true"/>
        <w:spacing w:before="320" w:after="80" w:line="240"/>
        <w:ind w:right="0" w:left="0" w:firstLine="0"/>
        <w:jc w:val="left"/>
        <w:rPr>
          <w:rFonts w:ascii="Google Sans" w:hAnsi="Google Sans" w:cs="Google Sans" w:eastAsia="Google Sans"/>
          <w:color w:val="434343"/>
          <w:spacing w:val="0"/>
          <w:position w:val="0"/>
          <w:sz w:val="28"/>
          <w:shd w:fill="auto" w:val="clear"/>
        </w:rPr>
      </w:pPr>
      <w:r>
        <w:rPr>
          <w:rFonts w:ascii="Google Sans" w:hAnsi="Google Sans" w:cs="Google Sans" w:eastAsia="Google Sans"/>
          <w:color w:val="434343"/>
          <w:spacing w:val="0"/>
          <w:position w:val="0"/>
          <w:sz w:val="28"/>
          <w:shd w:fill="auto" w:val="clear"/>
        </w:rPr>
        <w:t xml:space="preserve">Risk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4"/>
          <w:shd w:fill="auto" w:val="clear"/>
        </w:rPr>
        <w:t xml:space="preserve">Currently, there is inadequate management of assets. Additionally, Botium Toys does not have all of the proper controls in place and may not be fully compliant with U.S. and international regulations and standards.</w:t>
      </w:r>
      <w:r>
        <w:rPr>
          <w:rFonts w:ascii="Google Sans" w:hAnsi="Google Sans" w:cs="Google Sans" w:eastAsia="Google Sans"/>
          <w:color w:val="auto"/>
          <w:spacing w:val="0"/>
          <w:position w:val="0"/>
          <w:sz w:val="22"/>
          <w:shd w:fill="auto" w:val="clear"/>
        </w:rPr>
        <w:t xml:space="preserve"> </w:t>
      </w:r>
    </w:p>
    <w:p>
      <w:pPr>
        <w:keepNext w:val="true"/>
        <w:keepLines w:val="true"/>
        <w:spacing w:before="320" w:after="80" w:line="240"/>
        <w:ind w:right="0" w:left="0" w:firstLine="0"/>
        <w:jc w:val="left"/>
        <w:rPr>
          <w:rFonts w:ascii="Google Sans" w:hAnsi="Google Sans" w:cs="Google Sans" w:eastAsia="Google Sans"/>
          <w:color w:val="434343"/>
          <w:spacing w:val="0"/>
          <w:position w:val="0"/>
          <w:sz w:val="28"/>
          <w:shd w:fill="auto" w:val="clear"/>
        </w:rPr>
      </w:pPr>
      <w:r>
        <w:rPr>
          <w:rFonts w:ascii="Google Sans" w:hAnsi="Google Sans" w:cs="Google Sans" w:eastAsia="Google Sans"/>
          <w:color w:val="434343"/>
          <w:spacing w:val="0"/>
          <w:position w:val="0"/>
          <w:sz w:val="28"/>
          <w:shd w:fill="auto" w:val="clear"/>
        </w:rPr>
        <w:t xml:space="preserve">Control best practices</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keepNext w:val="true"/>
        <w:keepLines w:val="true"/>
        <w:spacing w:before="320" w:after="80" w:line="240"/>
        <w:ind w:right="0" w:left="0" w:firstLine="0"/>
        <w:jc w:val="left"/>
        <w:rPr>
          <w:rFonts w:ascii="Google Sans" w:hAnsi="Google Sans" w:cs="Google Sans" w:eastAsia="Google Sans"/>
          <w:color w:val="434343"/>
          <w:spacing w:val="0"/>
          <w:position w:val="0"/>
          <w:sz w:val="28"/>
          <w:shd w:fill="auto" w:val="clear"/>
        </w:rPr>
      </w:pPr>
      <w:r>
        <w:rPr>
          <w:rFonts w:ascii="Google Sans" w:hAnsi="Google Sans" w:cs="Google Sans" w:eastAsia="Google Sans"/>
          <w:color w:val="434343"/>
          <w:spacing w:val="0"/>
          <w:position w:val="0"/>
          <w:sz w:val="28"/>
          <w:shd w:fill="auto" w:val="clear"/>
        </w:rPr>
        <w:t xml:space="preserve">Risk score</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On a scale of 1 to 10, the risk score is 8, which is fairly high. This is due to a lack of controls and adherence to compliance best practices.</w:t>
      </w:r>
    </w:p>
    <w:p>
      <w:pPr>
        <w:keepNext w:val="true"/>
        <w:keepLines w:val="true"/>
        <w:spacing w:before="320" w:after="80" w:line="240"/>
        <w:ind w:right="0" w:left="0" w:firstLine="0"/>
        <w:jc w:val="left"/>
        <w:rPr>
          <w:rFonts w:ascii="Google Sans" w:hAnsi="Google Sans" w:cs="Google Sans" w:eastAsia="Google Sans"/>
          <w:color w:val="434343"/>
          <w:spacing w:val="0"/>
          <w:position w:val="0"/>
          <w:sz w:val="28"/>
          <w:shd w:fill="auto" w:val="clear"/>
        </w:rPr>
      </w:pPr>
      <w:r>
        <w:rPr>
          <w:rFonts w:ascii="Google Sans" w:hAnsi="Google Sans" w:cs="Google Sans" w:eastAsia="Google Sans"/>
          <w:color w:val="434343"/>
          <w:spacing w:val="0"/>
          <w:position w:val="0"/>
          <w:sz w:val="28"/>
          <w:shd w:fill="auto" w:val="clear"/>
        </w:rPr>
        <w:t xml:space="preserve">Additional comments</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spacing w:before="0" w:after="0" w:line="276"/>
        <w:ind w:right="0" w:left="0" w:firstLine="0"/>
        <w:jc w:val="left"/>
        <w:rPr>
          <w:rFonts w:ascii="Google Sans" w:hAnsi="Google Sans" w:cs="Google Sans" w:eastAsia="Google Sans"/>
          <w:color w:val="auto"/>
          <w:spacing w:val="0"/>
          <w:position w:val="0"/>
          <w:sz w:val="24"/>
          <w:shd w:fill="FFFF00" w:val="clear"/>
        </w:rPr>
      </w:pP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Currently, all Botium Toys employees have access to internally stored data and may be able to access cardholder data and customers’ PII/SPII.</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Encryption is not currently used to ensure confidentiality of customers’ credit card information that is accepted, processed, transmitted, and stored locally in the company’s internal database. </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Access controls pertaining to least privilege and separation of duties have not been implemented.</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The IT department has ensured availability and integrated controls to ensure data integrity.</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IT department has a firewall that blocks traffic based on an appropriately defined set of security rules.</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Antivirus software is installed and monitored regularly by the IT department. </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IT department has not installed an intrusion detection system (IDS).</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There are no disaster recovery plans currently in place, and the company does not have backups of critical data. </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Although a password policy exists, its requirements are nominal and not in line with current minimum password complexity requirements (e.g., at least eight characters, a combination of letters and at least one number; special characters). </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There is no centralized password management system that enforces the password policy’s minimum requirements, which sometimes affects productivity when employees/vendors submit a ticket to the IT department to recover or reset a password.</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While legacy systems are monitored and maintained, there is no regular schedule in place for these tasks and intervention methods are unclear.</w:t>
      </w:r>
    </w:p>
    <w:p>
      <w:pPr>
        <w:numPr>
          <w:ilvl w:val="0"/>
          <w:numId w:val="17"/>
        </w:numPr>
        <w:spacing w:before="0" w:after="0" w:line="240"/>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store’s physical location, which includes Botium Toys’ main offices, store front, and warehouse of products, has sufficient locks, up-to-date closed-circuit television (CCTV) surveillance, as well as functioning fire detection and prevention systems.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