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4EC8"/>
          <w:sz w:val="22"/>
          <w:szCs w:val="22"/>
        </w:rPr>
        <w:t xml:space="preserve">ColombiaInvest</w:t>
      </w:r>
    </w:p>
    <w:p>
      <w:pPr>
        <w:pStyle w:val="Title"/>
      </w:pPr>
      <w:r>
        <w:t xml:space="preserve">Instrumento del panel de expertos</w:t>
      </w:r>
    </w:p>
    <w:p>
      <w:pPr>
        <w:spacing w:after="240"/>
      </w:pPr>
      <w:r>
        <w:rPr>
          <w:color w:val="5A5A5A"/>
          <w:sz w:val="24"/>
          <w:szCs w:val="24"/>
        </w:rPr>
        <w:t xml:space="preserve">Ponderación de las dimensiones del índice por proceso analítico jerárquico y validez de contenido de sus variables</w:t>
      </w:r>
    </w:p>
    <w:p>
      <w:pPr>
        <w:pStyle w:val="Heading1"/>
      </w:pPr>
      <w:r>
        <w:t xml:space="preserve">Protocolo para el equipo</w:t>
      </w:r>
    </w:p>
    <w:p>
      <w:pPr>
        <w:spacing w:after="120" w:line="276"/>
      </w:pPr>
      <w:r>
        <w:t xml:space="preserve">Esta primera parte es para quien conduce la entrevista y no se entrega al experto. El formato para el experto empieza en la página siguiente.</w:t>
      </w:r>
    </w:p>
    <w:p>
      <w:pPr>
        <w:pStyle w:val="Heading2"/>
      </w:pPr>
      <w:r>
        <w:t xml:space="preserve">Qué se obtiene</w:t>
      </w:r>
    </w:p>
    <w:p>
      <w:pPr>
        <w:pStyle w:val="ListParagraph"/>
        <w:numPr>
          <w:ilvl w:val="0"/>
          <w:numId w:val="2"/>
        </w:numPr>
        <w:spacing w:after="80" w:line="276"/>
      </w:pPr>
      <w:r>
        <w:rPr>
          <w:b/>
          <w:bCs/>
        </w:rPr>
        <w:t xml:space="preserve">Los pesos de las cinco dimensiones, </w:t>
      </w:r>
      <w:r>
        <w:t xml:space="preserve">por comparaciones por pares en la escala de Saaty (Parte A). Es el procedimiento que exige la evaluación de dirección para el objetivo específico 2.</w:t>
      </w:r>
    </w:p>
    <w:p>
      <w:pPr>
        <w:pStyle w:val="ListParagraph"/>
        <w:numPr>
          <w:ilvl w:val="0"/>
          <w:numId w:val="2"/>
        </w:numPr>
        <w:spacing w:after="80" w:line="276"/>
      </w:pPr>
      <w:r>
        <w:rPr>
          <w:b/>
          <w:bCs/>
        </w:rPr>
        <w:t xml:space="preserve">La relevancia de cada variable, </w:t>
      </w:r>
      <w:r>
        <w:t xml:space="preserve">para calcular el índice de validez de contenido (Parte B).</w:t>
      </w:r>
    </w:p>
    <w:p>
      <w:pPr>
        <w:pStyle w:val="ListParagraph"/>
        <w:numPr>
          <w:ilvl w:val="0"/>
          <w:numId w:val="2"/>
        </w:numPr>
        <w:spacing w:after="80" w:line="276"/>
      </w:pPr>
      <w:r>
        <w:rPr>
          <w:b/>
          <w:bCs/>
        </w:rPr>
        <w:t xml:space="preserve">El criterio del experto </w:t>
      </w:r>
      <w:r>
        <w:t xml:space="preserve">sobre compensación entre dimensiones, perfiles de inversionista y variables faltantes (Parte C).</w:t>
      </w:r>
    </w:p>
    <w:p>
      <w:pPr>
        <w:pStyle w:val="Heading2"/>
      </w:pPr>
      <w:r>
        <w:t xml:space="preserve">A quién entrevistar</w:t>
      </w:r>
    </w:p>
    <w:p>
      <w:pPr>
        <w:spacing w:after="120" w:line="276"/>
      </w:pPr>
      <w:r>
        <w:t xml:space="preserve">Panel de perfil mixto: sector financiero o de inversión, economía, ciencia de datos o estadística, gerencia de proyectos y sector público (planeación municipal). Se recomiendan al menos seis expertos cuya razón de consistencia sea aceptable, por dos motivos:</w:t>
      </w:r>
    </w:p>
    <w:p>
      <w:pPr>
        <w:pStyle w:val="ListParagraph"/>
        <w:numPr>
          <w:ilvl w:val="0"/>
          <w:numId w:val="2"/>
        </w:numPr>
        <w:spacing w:after="80" w:line="276"/>
      </w:pPr>
      <w:r>
        <w:t xml:space="preserve">La W de Kendall, que mide el acuerdo entre expertos, no es interpretable con menos de tres.</w:t>
      </w:r>
    </w:p>
    <w:p>
      <w:pPr>
        <w:pStyle w:val="ListParagraph"/>
        <w:numPr>
          <w:ilvl w:val="0"/>
          <w:numId w:val="2"/>
        </w:numPr>
        <w:spacing w:after="80" w:line="276"/>
      </w:pPr>
      <w:r>
        <w:t xml:space="preserve">Con cinco expertos o menos, el criterio de Lynn (1986) para la validez de contenido exige que todos califiquen la variable como relevante. Con seis o más, el umbral baja a 0,78.</w:t>
      </w:r>
    </w:p>
    <w:p>
      <w:pPr>
        <w:pStyle w:val="Heading2"/>
      </w:pPr>
      <w:r>
        <w:t xml:space="preserve">Antes de la entrevista</w:t>
      </w:r>
    </w:p>
    <w:p>
      <w:pPr>
        <w:pStyle w:val="ListParagraph"/>
        <w:numPr>
          <w:ilvl w:val="0"/>
          <w:numId w:val="2"/>
        </w:numPr>
        <w:spacing w:after="80" w:line="276"/>
      </w:pPr>
      <w:r>
        <w:t xml:space="preserve">Asigne un código al experto (E01, E02, ...). El nombre no se escribe en este formato ni en los archivos de respuestas; la correspondencia entre código y nombre se guarda aparte y fuera del repositorio.</w:t>
      </w:r>
    </w:p>
    <w:p>
      <w:pPr>
        <w:pStyle w:val="ListParagraph"/>
        <w:numPr>
          <w:ilvl w:val="0"/>
          <w:numId w:val="2"/>
        </w:numPr>
        <w:spacing w:after="80" w:line="276"/>
      </w:pPr>
      <w:r>
        <w:rPr>
          <w:b/>
          <w:bCs/>
        </w:rPr>
        <w:t xml:space="preserve">No muestre los pesos preliminares, el ranking ni el tablero antes de terminar la Parte A. </w:t>
      </w:r>
      <w:r>
        <w:t xml:space="preserve">Verlos ancla el juicio del experto y contamina la ponderación. El prototipo puede mostrarse al final.</w:t>
      </w:r>
    </w:p>
    <w:p>
      <w:pPr>
        <w:pStyle w:val="ListParagraph"/>
        <w:numPr>
          <w:ilvl w:val="0"/>
          <w:numId w:val="2"/>
        </w:numPr>
        <w:spacing w:after="80" w:line="276"/>
      </w:pPr>
      <w:r>
        <w:t xml:space="preserve">Duración esperada: 25 a 30 minutos.</w:t>
      </w:r>
    </w:p>
    <w:p>
      <w:pPr>
        <w:pStyle w:val="Heading2"/>
      </w:pPr>
      <w:r>
        <w:t xml:space="preserve">Durante la entrevista</w:t>
      </w:r>
    </w:p>
    <w:p>
      <w:pPr>
        <w:pStyle w:val="ListParagraph"/>
        <w:numPr>
          <w:ilvl w:val="0"/>
          <w:numId w:val="3"/>
        </w:numPr>
        <w:spacing w:after="80" w:line="276"/>
      </w:pPr>
      <w:r>
        <w:t xml:space="preserve">Lea la presentación de la página siguiente y registre el consentimiento.</w:t>
      </w:r>
    </w:p>
    <w:p>
      <w:pPr>
        <w:pStyle w:val="ListParagraph"/>
        <w:numPr>
          <w:ilvl w:val="0"/>
          <w:numId w:val="3"/>
        </w:numPr>
        <w:spacing w:after="80" w:line="276"/>
      </w:pPr>
      <w:r>
        <w:t xml:space="preserve">Recorra con el experto la tabla de dimensiones y variables.</w:t>
      </w:r>
    </w:p>
    <w:p>
      <w:pPr>
        <w:pStyle w:val="ListParagraph"/>
        <w:numPr>
          <w:ilvl w:val="0"/>
          <w:numId w:val="3"/>
        </w:numPr>
        <w:spacing w:after="80" w:line="276"/>
      </w:pPr>
      <w:r>
        <w:t xml:space="preserve">Parte A: las diez comparaciones, en el orden impreso. Si el experto duda, recuérdele la escala. Registre la respuesta tal como la da.</w:t>
      </w:r>
    </w:p>
    <w:p>
      <w:pPr>
        <w:pStyle w:val="ListParagraph"/>
        <w:numPr>
          <w:ilvl w:val="0"/>
          <w:numId w:val="3"/>
        </w:numPr>
        <w:spacing w:after="80" w:line="276"/>
      </w:pPr>
      <w:r>
        <w:t xml:space="preserve">Revise la consistencia antes de seguir (ver abajo).</w:t>
      </w:r>
    </w:p>
    <w:p>
      <w:pPr>
        <w:pStyle w:val="ListParagraph"/>
        <w:numPr>
          <w:ilvl w:val="0"/>
          <w:numId w:val="3"/>
        </w:numPr>
        <w:spacing w:after="80" w:line="276"/>
      </w:pPr>
      <w:r>
        <w:t xml:space="preserve">Partes B y C.</w:t>
      </w:r>
    </w:p>
    <w:p>
      <w:pPr>
        <w:pStyle w:val="Heading2"/>
      </w:pPr>
      <w:r>
        <w:t xml:space="preserve">Revisión de consistencia de la Parte A</w:t>
      </w:r>
    </w:p>
    <w:p>
      <w:pPr>
        <w:spacing w:after="120" w:line="276"/>
      </w:pPr>
      <w:r>
        <w:t xml:space="preserve">Transcriba las diez respuestas en datos/entrevistas/respuestas_ahp.csv y ejecute:</w:t>
      </w:r>
    </w:p>
    <w:p>
      <w:pPr>
        <w:shd w:fill="F4F4F4" w:val="clear"/>
        <w:spacing w:after="120" w:before="60"/>
        <w:ind w:left="360"/>
      </w:pPr>
      <w:r>
        <w:rPr>
          <w:rFonts w:ascii="Consolas" w:cs="Consolas" w:eastAsia="Consolas" w:hAnsi="Consolas"/>
          <w:sz w:val="19"/>
          <w:szCs w:val="19"/>
        </w:rPr>
        <w:t xml:space="preserve">python scripts/05_panel_expertos.py --experto E01</w:t>
      </w:r>
    </w:p>
    <w:p>
      <w:pPr>
        <w:spacing w:after="120" w:line="276"/>
      </w:pPr>
      <w:r>
        <w:t xml:space="preserve">Si la razón de consistencia es 0,10 o más, el programa indica qué comparación se aparta de las demás y qué valor sería coherente con el resto de respuestas. Muéstreselo al experto y pregúntele si desea ajustarla. Nunca cambie una respuesta sin su aprobación. Si el experto mantiene su juicio, se respeta y sus pesos quedan fuera de la agregación del panel, como exige la evaluación de dirección.</w:t>
      </w:r>
    </w:p>
    <w:p>
      <w:pPr>
        <w:pStyle w:val="Heading2"/>
      </w:pPr>
      <w:r>
        <w:t xml:space="preserve">Después de la entrevista</w:t>
      </w:r>
    </w:p>
    <w:p>
      <w:pPr>
        <w:pStyle w:val="ListParagraph"/>
        <w:numPr>
          <w:ilvl w:val="0"/>
          <w:numId w:val="2"/>
        </w:numPr>
        <w:spacing w:after="80" w:line="276"/>
      </w:pPr>
      <w:r>
        <w:t xml:space="preserve">Parte A: diez filas por experto en respuestas_ahp.csv (columna preferida con A, B o =; columna intensidad de 1 a 9).</w:t>
      </w:r>
    </w:p>
    <w:p>
      <w:pPr>
        <w:pStyle w:val="ListParagraph"/>
        <w:numPr>
          <w:ilvl w:val="0"/>
          <w:numId w:val="2"/>
        </w:numPr>
        <w:spacing w:after="80" w:line="276"/>
      </w:pPr>
      <w:r>
        <w:t xml:space="preserve">Parte B: una fila por variable en relevancia_variables.csv, con la calificación de 1 a 4.</w:t>
      </w:r>
    </w:p>
    <w:p>
      <w:pPr>
        <w:pStyle w:val="ListParagraph"/>
        <w:numPr>
          <w:ilvl w:val="0"/>
          <w:numId w:val="2"/>
        </w:numPr>
        <w:spacing w:after="80" w:line="276"/>
      </w:pPr>
      <w:r>
        <w:t xml:space="preserve">Parte C, pregunta C2: una fila por tipo de intervención en vinculacion_tipos.csv, con la calificación de 1 a 4. El programa compara la mediana del panel con la escala que usa hoy el modelo.</w:t>
      </w:r>
    </w:p>
    <w:p>
      <w:pPr>
        <w:pStyle w:val="ListParagraph"/>
        <w:numPr>
          <w:ilvl w:val="0"/>
          <w:numId w:val="2"/>
        </w:numPr>
        <w:spacing w:after="80" w:line="276"/>
      </w:pPr>
      <w:r>
        <w:t xml:space="preserve">Resto de la Parte C: transcriba las respuestas abiertas en el acta de la entrevista.</w:t>
      </w:r>
    </w:p>
    <w:p>
      <w:pPr>
        <w:pStyle w:val="ListParagraph"/>
        <w:numPr>
          <w:ilvl w:val="0"/>
          <w:numId w:val="2"/>
        </w:numPr>
        <w:spacing w:after="80" w:line="276"/>
      </w:pPr>
      <w:r>
        <w:t xml:space="preserve">Las plantillas de ambos archivos se generan con:</w:t>
      </w:r>
    </w:p>
    <w:p>
      <w:pPr>
        <w:shd w:fill="F4F4F4" w:val="clear"/>
        <w:spacing w:after="120" w:before="60"/>
        <w:ind w:left="360"/>
      </w:pPr>
      <w:r>
        <w:rPr>
          <w:rFonts w:ascii="Consolas" w:cs="Consolas" w:eastAsia="Consolas" w:hAnsi="Consolas"/>
          <w:sz w:val="19"/>
          <w:szCs w:val="19"/>
        </w:rPr>
        <w:t xml:space="preserve">python scripts/05_panel_expertos.py --plantilla</w:t>
      </w:r>
    </w:p>
    <w:p>
      <w:pPr>
        <w:spacing w:after="120" w:before="120"/>
      </w:pPr>
      <w:r>
        <w:t xml:space="preserve">Con todas las entrevistas registradas, el mismo programa sin opciones calcula los pesos del panel (media geométrica de los juicios de los expertos consistentes), la W de Kendall con su significancia y el índice de validez de contenido, y escribe config/pesos_panel.yaml.</w:t>
      </w:r>
    </w:p>
    <w:p>
      <w:pPr>
        <w:sectPr>
          <w:headerReference w:type="default" r:id="rId7"/>
          <w:footerReference w:type="default" r:id="rId8"/>
          <w:pgSz w:w="12240" w:h="15840" w:orient="portrait"/>
          <w:pgMar w:top="1260" w:right="1440" w:bottom="1260" w:left="1440" w:header="708" w:footer="708" w:gutter="0"/>
          <w:pgNumType/>
          <w:docGrid w:linePitch="360"/>
        </w:sectPr>
      </w:pPr>
    </w:p>
    <w:p>
      <w:pPr>
        <w:pStyle w:val="Heading1"/>
      </w:pPr>
      <w:r>
        <w:t xml:space="preserve">Formato para el experto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Código del experto</w:t>
            </w:r>
          </w:p>
        </w:tc>
        <w:tc>
          <w:tcPr>
            <w:tcW w:type="dxa" w:w="6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 ___</w:t>
            </w:r>
          </w:p>
        </w:tc>
      </w:tr>
      <w:tr>
        <w:tc>
          <w:tcPr>
            <w:tcW w:type="dxa" w:w="30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Perfil</w:t>
            </w:r>
          </w:p>
        </w:tc>
        <w:tc>
          <w:tcPr>
            <w:tcW w:type="dxa" w:w="6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 Sector financiero o inversión   ☐ Economía   ☐ Ciencia de datos o estadística   ☐ Gerencia de proyectos   ☐ Sector público   ☐ Otro: __________</w:t>
            </w:r>
          </w:p>
        </w:tc>
      </w:tr>
      <w:tr>
        <w:tc>
          <w:tcPr>
            <w:tcW w:type="dxa" w:w="30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Años de experiencia en el área</w:t>
            </w:r>
          </w:p>
        </w:tc>
        <w:tc>
          <w:tcPr>
            <w:tcW w:type="dxa" w:w="6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
            </w:r>
          </w:p>
        </w:tc>
      </w:tr>
      <w:tr>
        <w:tc>
          <w:tcPr>
            <w:tcW w:type="dxa" w:w="30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Fecha y modalidad</w:t>
            </w:r>
          </w:p>
        </w:tc>
        <w:tc>
          <w:tcPr>
            <w:tcW w:type="dxa" w:w="6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____ / ____ / 2026        ☐ Presencial   ☐ Virtual</w:t>
            </w:r>
          </w:p>
        </w:tc>
      </w:tr>
      <w:tr>
        <w:tc>
          <w:tcPr>
            <w:tcW w:type="dxa" w:w="30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Entrevistador</w:t>
            </w:r>
          </w:p>
        </w:tc>
        <w:tc>
          <w:tcPr>
            <w:tcW w:type="dxa" w:w="6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
            </w:r>
          </w:p>
        </w:tc>
      </w:tr>
    </w:tbl>
    <w:p>
      <w:pPr>
        <w:pStyle w:val="Heading2"/>
      </w:pPr>
      <w:r>
        <w:t xml:space="preserve">Presentación</w:t>
      </w:r>
    </w:p>
    <w:p>
      <w:pPr>
        <w:spacing w:after="120" w:line="276"/>
      </w:pPr>
      <w:r>
        <w:t xml:space="preserve">ColombiaInvest es un proyecto de grado de la Maestría en Ciencia de Datos de la Universidad Ean. Construimos un índice que califica proyectos de inversión pública de los municipios de Chía y Cajicá, con datos oficiales del Departamento Nacional de Planeación, para reducir la asimetría de información entre las alcaldías y los inversionistas privados.</w:t>
      </w:r>
    </w:p>
    <w:p>
      <w:pPr>
        <w:spacing w:after="120" w:line="276"/>
      </w:pPr>
      <w:r>
        <w:t xml:space="preserve">El índice combina cinco dimensiones. No sabemos cuánto debe pesar cada una: queremos que lo decidan expertos, y no el equipo. Le pediremos comparar las dimensiones de dos en dos, calificar la relevancia de las variables y darnos su opinión sobre algunos criterios. Toma entre 25 y 30 minutos.</w:t>
      </w:r>
    </w:p>
    <w:p>
      <w:pPr>
        <w:spacing w:after="120" w:line="276"/>
      </w:pPr>
      <w:r>
        <w:t xml:space="preserve">Su participación es voluntaria. Sus respuestas se registran con un código, sin su nombre, y se usan solo con fines académicos. Puede retirarse en cualquier momento.</w:t>
      </w:r>
    </w:p>
    <w:p>
      <w:pPr>
        <w:spacing w:after="240" w:before="120"/>
      </w:pPr>
      <w:r>
        <w:rPr>
          <w:b/>
          <w:bCs/>
        </w:rPr>
        <w:t xml:space="preserve">¿Acepta participar?     ☐ Sí     ☐ No</w:t>
      </w:r>
    </w:p>
    <w:p>
      <w:pPr>
        <w:pStyle w:val="Heading2"/>
      </w:pPr>
      <w:r>
        <w:t xml:space="preserve">Las cinco dimensiones del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260"/>
      </w:tblGrid>
      <w:tr>
        <w:trPr>
          <w:tblHeader/>
        </w:trPr>
        <w:tc>
          <w:tcPr>
            <w:tcW w:type="dxa" w:w="20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Dimensión</w:t>
            </w:r>
          </w:p>
        </w:tc>
        <w:tc>
          <w:tcPr>
            <w:tcW w:type="dxa" w:w="31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Qué pregunta responde</w:t>
            </w:r>
          </w:p>
        </w:tc>
        <w:tc>
          <w:tcPr>
            <w:tcW w:type="dxa" w:w="426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Variables que la componen</w:t>
            </w:r>
          </w:p>
        </w:tc>
      </w:tr>
      <w:tr>
        <w:tc>
          <w:tcPr>
            <w:tcW w:type="dxa" w:w="20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Viabilidad financiera</w:t>
            </w:r>
          </w:p>
        </w:tc>
        <w:tc>
          <w:tcPr>
            <w:tcW w:type="dxa" w:w="31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¿El proyecto tiene respaldo presupuestal real y lo está ejecutando?</w:t>
            </w:r>
          </w:p>
        </w:tc>
        <w:tc>
          <w:tcPr>
            <w:tcW w:type="dxa" w:w="42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Obligación sobre apropiación; Pago sobre obligación; Continuidad presupuestal; Brecha entre avance físico y financiero.</w:t>
            </w:r>
          </w:p>
        </w:tc>
      </w:tr>
      <w:tr>
        <w:tc>
          <w:tcPr>
            <w:tcW w:type="dxa" w:w="20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Madurez de ejecución</w:t>
            </w:r>
          </w:p>
        </w:tc>
        <w:tc>
          <w:tcPr>
            <w:tcW w:type="dxa" w:w="31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tan avanzado y estable está el proyecto?</w:t>
            </w:r>
          </w:p>
        </w:tc>
        <w:tc>
          <w:tcPr>
            <w:tcW w:type="dxa" w:w="42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Avance físico; Estado del proyecto; Vigencias ejecutadas; Variabilidad del presupuesto.</w:t>
            </w:r>
          </w:p>
        </w:tc>
      </w:tr>
      <w:tr>
        <w:tc>
          <w:tcPr>
            <w:tcW w:type="dxa" w:w="20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Impacto social</w:t>
            </w:r>
          </w:p>
        </w:tc>
        <w:tc>
          <w:tcPr>
            <w:tcW w:type="dxa" w:w="31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¿A cuánta población llega y en qué sectores?</w:t>
            </w:r>
          </w:p>
        </w:tc>
        <w:tc>
          <w:tcPr>
            <w:tcW w:type="dxa" w:w="42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Cobertura poblacional; Prioridad social del sector.</w:t>
            </w:r>
          </w:p>
        </w:tc>
      </w:tr>
      <w:tr>
        <w:tc>
          <w:tcPr>
            <w:tcW w:type="dxa" w:w="20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Gobernanza</w:t>
            </w:r>
          </w:p>
        </w:tc>
        <w:tc>
          <w:tcPr>
            <w:tcW w:type="dxa" w:w="31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¿El proyecto reporta su seguimiento de forma regular?</w:t>
            </w:r>
          </w:p>
        </w:tc>
        <w:tc>
          <w:tcPr>
            <w:tcW w:type="dxa" w:w="42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Cobertura del reporte; Reporta seguimiento.</w:t>
            </w:r>
          </w:p>
        </w:tc>
      </w:tr>
      <w:tr>
        <w:tc>
          <w:tcPr>
            <w:tcW w:type="dxa" w:w="20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Atractivo inversor</w:t>
            </w:r>
          </w:p>
        </w:tc>
        <w:tc>
          <w:tcPr>
            <w:tcW w:type="dxa" w:w="31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¿Tiene atributos que interesan a un inversionista privado?</w:t>
            </w:r>
          </w:p>
        </w:tc>
        <w:tc>
          <w:tcPr>
            <w:tcW w:type="dxa" w:w="42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Escala del proyecto; Sector financiable; Cofinanciación externa; Vinculación de capital privado.</w:t>
            </w:r>
          </w:p>
        </w:tc>
      </w:tr>
    </w:tbl>
    <w:p>
      <w:pPr>
        <w:spacing w:before="120"/>
      </w:pPr>
      <w:r>
        <w:rPr>
          <w:i/>
          <w:iCs/>
          <w:color w:val="5A5A5A"/>
          <w:sz w:val="20"/>
          <w:szCs w:val="20"/>
        </w:rPr>
        <w:t xml:space="preserve">El atractivo inversor se construye con atributos observables del proyecto, porque el interés real de los inversionistas no puede medirse antes de que la plataforma opere.</w:t>
      </w:r>
    </w:p>
    <w:p>
      <w:pPr>
        <w:sectPr>
          <w:headerReference w:type="default" r:id="rId9"/>
          <w:footerReference w:type="default" r:id="rId10"/>
          <w:pgSz w:w="12240" w:h="15840" w:orient="portrait"/>
          <w:pgMar w:top="1260" w:right="1440" w:bottom="1260" w:left="1440" w:header="708" w:footer="708" w:gutter="0"/>
          <w:pgNumType/>
          <w:docGrid w:linePitch="360"/>
        </w:sectPr>
      </w:pPr>
    </w:p>
    <w:p>
      <w:pPr>
        <w:pStyle w:val="Heading1"/>
      </w:pPr>
      <w:r>
        <w:t xml:space="preserve">Parte A. Comparación de las dimensiones por pares</w:t>
      </w:r>
    </w:p>
    <w:p>
      <w:pPr>
        <w:spacing w:after="120" w:line="276"/>
      </w:pPr>
      <w:r>
        <w:rPr>
          <w:b/>
          <w:bCs/>
        </w:rPr>
        <w:t xml:space="preserve">Pregunta para cada fila: </w:t>
      </w:r>
      <w:r>
        <w:t xml:space="preserve">para decidir si un proyecto de inversión pública merece la atención de un inversionista privado, ¿cuál de las dos dimensiones es más importante y cuánto más?</w:t>
      </w:r>
    </w:p>
    <w:p>
      <w:pPr>
        <w:spacing w:after="120" w:line="276"/>
      </w:pPr>
      <w:r>
        <w:t xml:space="preserve">Marque un solo número por fila. Hacia la izquierda si la dimensión A es más importante; hacia la derecha si lo es la dimensión B; el 1 del centro si ambas pesan igual. No hay respuestas correctas: nos interesa su criterio.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400"/>
        <w:gridCol w:w="4200"/>
      </w:tblGrid>
      <w:tr>
        <w:trPr>
          <w:tblHeader/>
        </w:trPr>
        <w:tc>
          <w:tcPr>
            <w:tcW w:type="dxa" w:w="14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Valor</w:t>
            </w:r>
          </w:p>
        </w:tc>
        <w:tc>
          <w:tcPr>
            <w:tcW w:type="dxa" w:w="42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Significado</w:t>
            </w:r>
          </w:p>
        </w:tc>
        <w:tc>
          <w:tcPr>
            <w:tcW w:type="dxa" w:w="14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Valor</w:t>
            </w:r>
          </w:p>
        </w:tc>
        <w:tc>
          <w:tcPr>
            <w:tcW w:type="dxa" w:w="42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Significado</w:t>
            </w:r>
          </w:p>
        </w:tc>
      </w:tr>
      <w:tr>
        <w:tc>
          <w:tcPr>
            <w:tcW w:type="dxa" w:w="14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1</w:t>
            </w:r>
          </w:p>
        </w:tc>
        <w:tc>
          <w:tcPr>
            <w:tcW w:type="dxa" w:w="42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val="false"/>
                <w:bCs w:val="false"/>
                <w:sz w:val="20"/>
                <w:szCs w:val="20"/>
              </w:rPr>
              <w:t xml:space="preserve">Igual importancia</w:t>
            </w:r>
          </w:p>
        </w:tc>
        <w:tc>
          <w:tcPr>
            <w:tcW w:type="dxa" w:w="14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7</w:t>
            </w:r>
          </w:p>
        </w:tc>
        <w:tc>
          <w:tcPr>
            <w:tcW w:type="dxa" w:w="42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val="false"/>
                <w:bCs w:val="false"/>
                <w:sz w:val="20"/>
                <w:szCs w:val="20"/>
              </w:rPr>
              <w:t xml:space="preserve">Muy fuertemente más importante</w:t>
            </w:r>
          </w:p>
        </w:tc>
      </w:tr>
      <w:tr>
        <w:tc>
          <w:tcPr>
            <w:tcW w:type="dxa" w:w="14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3</w:t>
            </w:r>
          </w:p>
        </w:tc>
        <w:tc>
          <w:tcPr>
            <w:tcW w:type="dxa" w:w="42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val="false"/>
                <w:bCs w:val="false"/>
                <w:sz w:val="20"/>
                <w:szCs w:val="20"/>
              </w:rPr>
              <w:t xml:space="preserve">Moderadamente más importante</w:t>
            </w:r>
          </w:p>
        </w:tc>
        <w:tc>
          <w:tcPr>
            <w:tcW w:type="dxa" w:w="14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9</w:t>
            </w:r>
          </w:p>
        </w:tc>
        <w:tc>
          <w:tcPr>
            <w:tcW w:type="dxa" w:w="42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val="false"/>
                <w:bCs w:val="false"/>
                <w:sz w:val="20"/>
                <w:szCs w:val="20"/>
              </w:rPr>
              <w:t xml:space="preserve">Extremadamente más importante</w:t>
            </w:r>
          </w:p>
        </w:tc>
      </w:tr>
      <w:tr>
        <w:tc>
          <w:tcPr>
            <w:tcW w:type="dxa" w:w="14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5</w:t>
            </w:r>
          </w:p>
        </w:tc>
        <w:tc>
          <w:tcPr>
            <w:tcW w:type="dxa" w:w="42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val="false"/>
                <w:bCs w:val="false"/>
                <w:sz w:val="20"/>
                <w:szCs w:val="20"/>
              </w:rPr>
              <w:t xml:space="preserve">Fuertemente más importante</w:t>
            </w:r>
          </w:p>
        </w:tc>
        <w:tc>
          <w:tcPr>
            <w:tcW w:type="dxa" w:w="14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2, 4, 6, 8</w:t>
            </w:r>
          </w:p>
        </w:tc>
        <w:tc>
          <w:tcPr>
            <w:tcW w:type="dxa" w:w="42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val="false"/>
                <w:bCs w:val="false"/>
                <w:sz w:val="20"/>
                <w:szCs w:val="20"/>
              </w:rPr>
              <w:t xml:space="preserve">Valores intermedios</w:t>
            </w:r>
          </w:p>
        </w:tc>
      </w:tr>
    </w:tbl>
    <w:p>
      <w:pPr>
        <w:spacing w:after="80" w:before="200"/>
      </w:pPr>
      <w:r>
        <w:rPr>
          <w:b/>
          <w:bCs/>
        </w:rPr>
        <w:t xml:space="preserve">Ejemplo. </w:t>
      </w:r>
      <w:r>
        <w:t xml:space="preserve">Si considera que la madurez de ejecución es moderadamente más importante que el atractivo inversor, marca el 3 del lado izquierdo:</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0"/>
        <w:gridCol w:w="500"/>
        <w:gridCol w:w="500"/>
        <w:gridCol w:w="500"/>
        <w:gridCol w:w="500"/>
        <w:gridCol w:w="500"/>
        <w:gridCol w:w="500"/>
        <w:gridCol w:w="500"/>
        <w:gridCol w:w="500"/>
        <w:gridCol w:w="500"/>
        <w:gridCol w:w="500"/>
        <w:gridCol w:w="500"/>
        <w:gridCol w:w="500"/>
        <w:gridCol w:w="500"/>
        <w:gridCol w:w="500"/>
        <w:gridCol w:w="500"/>
        <w:gridCol w:w="500"/>
        <w:gridCol w:w="2300"/>
      </w:tblGrid>
      <w:tr>
        <w:trPr>
          <w:tblHeader/>
        </w:trPr>
        <w:tc>
          <w:tcPr>
            <w:tcW w:type="dxa" w:w="5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8"/>
                <w:szCs w:val="18"/>
              </w:rPr>
              <w:t xml:space="preserve">N.º</w:t>
            </w:r>
          </w:p>
        </w:tc>
        <w:tc>
          <w:tcPr>
            <w:tcW w:type="dxa" w:w="23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18"/>
                <w:szCs w:val="18"/>
              </w:rPr>
              <w:t xml:space="preserve">Dimensión A</w:t>
            </w:r>
          </w:p>
        </w:tc>
        <w:tc>
          <w:tcPr>
            <w:tcW w:type="dxa" w:w="4000"/>
            <w:gridSpan w:val="8"/>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8"/>
                <w:szCs w:val="18"/>
              </w:rPr>
              <w:t xml:space="preserve">← A es más importante</w:t>
            </w:r>
          </w:p>
        </w:tc>
        <w:tc>
          <w:tcPr>
            <w:tcW w:type="dxa" w:w="5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6"/>
                <w:szCs w:val="16"/>
              </w:rPr>
              <w:t xml:space="preserve">Igual</w:t>
            </w:r>
          </w:p>
        </w:tc>
        <w:tc>
          <w:tcPr>
            <w:tcW w:type="dxa" w:w="4000"/>
            <w:gridSpan w:val="8"/>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8"/>
                <w:szCs w:val="18"/>
              </w:rPr>
              <w:t xml:space="preserve">B es más importante →</w:t>
            </w:r>
          </w:p>
        </w:tc>
        <w:tc>
          <w:tcPr>
            <w:tcW w:type="dxa" w:w="23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right"/>
            </w:pPr>
            <w:r>
              <w:rPr>
                <w:b/>
                <w:bCs/>
                <w:sz w:val="18"/>
                <w:szCs w:val="18"/>
              </w:rPr>
              <w:t xml:space="preserve">Dimensión B</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Ej.</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Madurez de ejecución</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shd w:fill="0B4EC8" w:val="clear"/>
            <w:tcMar>
              <w:top w:type="dxa" w:w="70"/>
              <w:left w:type="dxa" w:w="100"/>
              <w:bottom w:type="dxa" w:w="70"/>
              <w:right w:type="dxa" w:w="100"/>
            </w:tcMar>
            <w:vAlign w:val="center"/>
          </w:tcPr>
          <w:p>
            <w:pPr>
              <w:spacing w:after="0"/>
              <w:jc w:val="center"/>
            </w:pPr>
            <w:r>
              <w:rPr>
                <w:b/>
                <w:bCs/>
                <w:color w:val="FFFFFF"/>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Atractivo inversor</w:t>
            </w:r>
          </w:p>
        </w:tc>
      </w:tr>
    </w:tbl>
    <w:p>
      <w:pPr>
        <w:spacing w:after="160"/>
      </w:pPr>
      <w:r>
        <w:t xml:space="preserve"/>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0"/>
        <w:gridCol w:w="500"/>
        <w:gridCol w:w="500"/>
        <w:gridCol w:w="500"/>
        <w:gridCol w:w="500"/>
        <w:gridCol w:w="500"/>
        <w:gridCol w:w="500"/>
        <w:gridCol w:w="500"/>
        <w:gridCol w:w="500"/>
        <w:gridCol w:w="500"/>
        <w:gridCol w:w="500"/>
        <w:gridCol w:w="500"/>
        <w:gridCol w:w="500"/>
        <w:gridCol w:w="500"/>
        <w:gridCol w:w="500"/>
        <w:gridCol w:w="500"/>
        <w:gridCol w:w="500"/>
        <w:gridCol w:w="2300"/>
      </w:tblGrid>
      <w:tr>
        <w:trPr>
          <w:tblHeader/>
        </w:trPr>
        <w:tc>
          <w:tcPr>
            <w:tcW w:type="dxa" w:w="5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8"/>
                <w:szCs w:val="18"/>
              </w:rPr>
              <w:t xml:space="preserve">N.º</w:t>
            </w:r>
          </w:p>
        </w:tc>
        <w:tc>
          <w:tcPr>
            <w:tcW w:type="dxa" w:w="23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18"/>
                <w:szCs w:val="18"/>
              </w:rPr>
              <w:t xml:space="preserve">Dimensión A</w:t>
            </w:r>
          </w:p>
        </w:tc>
        <w:tc>
          <w:tcPr>
            <w:tcW w:type="dxa" w:w="4000"/>
            <w:gridSpan w:val="8"/>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8"/>
                <w:szCs w:val="18"/>
              </w:rPr>
              <w:t xml:space="preserve">← A es más importante</w:t>
            </w:r>
          </w:p>
        </w:tc>
        <w:tc>
          <w:tcPr>
            <w:tcW w:type="dxa" w:w="5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6"/>
                <w:szCs w:val="16"/>
              </w:rPr>
              <w:t xml:space="preserve">Igual</w:t>
            </w:r>
          </w:p>
        </w:tc>
        <w:tc>
          <w:tcPr>
            <w:tcW w:type="dxa" w:w="4000"/>
            <w:gridSpan w:val="8"/>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18"/>
                <w:szCs w:val="18"/>
              </w:rPr>
              <w:t xml:space="preserve">B es más importante →</w:t>
            </w:r>
          </w:p>
        </w:tc>
        <w:tc>
          <w:tcPr>
            <w:tcW w:type="dxa" w:w="23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right"/>
            </w:pPr>
            <w:r>
              <w:rPr>
                <w:b/>
                <w:bCs/>
                <w:sz w:val="18"/>
                <w:szCs w:val="18"/>
              </w:rPr>
              <w:t xml:space="preserve">Dimensión B</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1</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Viabilidad financiera</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Madurez de ejecución</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2</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Viabilidad financiera</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Impacto social</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3</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Viabilidad financiera</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Gobernanza</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4</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Viabilidad financiera</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Atractivo inversor</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5</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Madurez de ejecución</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Impacto social</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6</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Madurez de ejecución</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Gobernanza</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7</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Madurez de ejecución</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Atractivo inversor</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8</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Impacto social</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Gobernanza</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Impacto social</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Atractivo inversor</w:t>
            </w:r>
          </w:p>
        </w:tc>
      </w:tr>
      <w:tr>
        <w:trPr>
          <w:cantSplit/>
        </w:trPr>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bCs/>
                <w:sz w:val="20"/>
                <w:szCs w:val="20"/>
              </w:rPr>
              <w:t xml:space="preserve">10</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Gobernanza</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center"/>
            </w:pPr>
            <w:r>
              <w:rPr>
                <w:b/>
                <w:bCs/>
                <w:color w:val="1F3A68"/>
                <w:sz w:val="18"/>
                <w:szCs w:val="18"/>
              </w:rPr>
              <w:t xml:space="preserve">1</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2</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3</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4</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5</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6</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7</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8</w:t>
            </w:r>
          </w:p>
        </w:tc>
        <w:tc>
          <w:tcPr>
            <w:tcW w:type="dxa" w:w="5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b w:val="false"/>
                <w:bCs w:val="false"/>
                <w:color w:val="5A5A5A"/>
                <w:sz w:val="18"/>
                <w:szCs w:val="18"/>
              </w:rPr>
              <w:t xml:space="preserve">9</w:t>
            </w:r>
          </w:p>
        </w:tc>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right"/>
            </w:pPr>
            <w:r>
              <w:rPr>
                <w:b/>
                <w:bCs/>
                <w:sz w:val="20"/>
                <w:szCs w:val="20"/>
              </w:rPr>
              <w:t xml:space="preserve">Atractivo inversor</w:t>
            </w:r>
          </w:p>
        </w:tc>
      </w:tr>
    </w:tbl>
    <w:p>
      <w:pPr>
        <w:sectPr>
          <w:headerReference w:type="default" r:id="rId11"/>
          <w:footerReference w:type="default" r:id="rId12"/>
          <w:pgSz w:w="15840" w:h="12240" w:orient="landscape"/>
          <w:pgMar w:top="1080" w:right="1080" w:bottom="1080" w:left="1080" w:header="708" w:footer="708" w:gutter="0"/>
          <w:pgNumType/>
          <w:docGrid w:linePitch="360"/>
        </w:sectPr>
      </w:pPr>
    </w:p>
    <w:p>
      <w:pPr>
        <w:pStyle w:val="Heading1"/>
      </w:pPr>
      <w:r>
        <w:t xml:space="preserve">Parte B. Relevancia de las variables</w:t>
      </w:r>
    </w:p>
    <w:p>
      <w:pPr>
        <w:spacing w:after="120" w:line="276"/>
      </w:pPr>
      <w:r>
        <w:t xml:space="preserve">Califique qué tan relevante es cada variable para evaluar la dimensión a la que pertenece: 1 no relevante, 2 poco relevante, 3 relevante, 4 muy 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600"/>
        <w:gridCol w:w="600"/>
        <w:gridCol w:w="600"/>
        <w:gridCol w:w="600"/>
      </w:tblGrid>
      <w:tr>
        <w:trPr>
          <w:tblHeader/>
        </w:trPr>
        <w:tc>
          <w:tcPr>
            <w:tcW w:type="dxa" w:w="23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Variable</w:t>
            </w:r>
          </w:p>
        </w:tc>
        <w:tc>
          <w:tcPr>
            <w:tcW w:type="dxa" w:w="466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Qué mide</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1</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2</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3</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4</w:t>
            </w:r>
          </w:p>
        </w:tc>
      </w:tr>
      <w:tr>
        <w:trPr>
          <w:cantSplit/>
        </w:trPr>
        <w:tc>
          <w:tcPr>
            <w:tcW w:type="dxa" w:w="9360"/>
            <w:gridSpan w:val="6"/>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left"/>
            </w:pPr>
            <w:r>
              <w:rPr>
                <w:b/>
                <w:bCs/>
                <w:color w:val="1F3A68"/>
                <w:sz w:val="20"/>
                <w:szCs w:val="20"/>
              </w:rPr>
              <w:t xml:space="preserve">Viabilidad financiera</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Obligación sobre apropiación</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parte del presupuesto asignado al proyecto ya está comprometida (obligada).</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Pago sobre obligación</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parte de lo comprometido ya se pagó.</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Continuidad presupuestal</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En cuántos años el proyecto ha recibido presupuesto.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Brecha entre avance físico y financiero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Diferencia entre el avance físico y el avance financiero reportados. Menor es mejor.</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9360"/>
            <w:gridSpan w:val="6"/>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left"/>
            </w:pPr>
            <w:r>
              <w:rPr>
                <w:b/>
                <w:bCs/>
                <w:color w:val="1F3A68"/>
                <w:sz w:val="20"/>
                <w:szCs w:val="20"/>
              </w:rPr>
              <w:t xml:space="preserve">Madurez de ejecución</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Avance físico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Porcentaje de avance físico reportado en el seguimiento del DNP.</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Estado del proyecto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Si está en ejecución, sin recursos para la vigencia o inactivo.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Vigencias ejecutadas</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En cuántos años registró ejecución (obligaciones).</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Variabilidad del presupuesto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tanto cambia el presupuesto asignado de un año a otro. Menor es mejor.</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9360"/>
            <w:gridSpan w:val="6"/>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left"/>
            </w:pPr>
            <w:r>
              <w:rPr>
                <w:b/>
                <w:bCs/>
                <w:color w:val="1F3A68"/>
                <w:sz w:val="20"/>
                <w:szCs w:val="20"/>
              </w:rPr>
              <w:t xml:space="preserve">Impacto social</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Cobertura poblacional</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Beneficiarios declarados como proporción de la población del municipio.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Prioridad social del sector</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tan prioritario es socialmente el sector del proyecto.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9360"/>
            <w:gridSpan w:val="6"/>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left"/>
            </w:pPr>
            <w:r>
              <w:rPr>
                <w:b/>
                <w:bCs/>
                <w:color w:val="1F3A68"/>
                <w:sz w:val="20"/>
                <w:szCs w:val="20"/>
              </w:rPr>
              <w:t xml:space="preserve">Gobernanza</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Cobertura del reporte</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En qué proporción de los años de su horizonte el proyecto reportó presupuesto.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Reporta seguimiento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Si el proyecto registra avance en el sistema de seguimiento del DNP.</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9360"/>
            <w:gridSpan w:val="6"/>
            <w:tcBorders>
              <w:top w:val="single" w:color="C3D4EC" w:sz="4"/>
              <w:left w:val="single" w:color="C3D4EC" w:sz="4"/>
              <w:bottom w:val="single" w:color="C3D4EC" w:sz="4"/>
              <w:right w:val="single" w:color="C3D4EC" w:sz="4"/>
            </w:tcBorders>
            <w:shd w:fill="F2F5FA" w:val="clear"/>
            <w:tcMar>
              <w:top w:type="dxa" w:w="70"/>
              <w:left w:type="dxa" w:w="100"/>
              <w:bottom w:type="dxa" w:w="70"/>
              <w:right w:type="dxa" w:w="100"/>
            </w:tcMar>
            <w:vAlign w:val="center"/>
          </w:tcPr>
          <w:p>
            <w:pPr>
              <w:spacing w:after="0"/>
              <w:jc w:val="left"/>
            </w:pPr>
            <w:r>
              <w:rPr>
                <w:b/>
                <w:bCs/>
                <w:color w:val="1F3A68"/>
                <w:sz w:val="20"/>
                <w:szCs w:val="20"/>
              </w:rPr>
              <w:t xml:space="preserve">Atractivo inversor</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Escala del proyecto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Tamaño del proyecto según su presupuesto.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Sector financiable</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tan afín es el sector a mecanismos de vinculación de capital privado (obras por impuestos, APP, convenios).</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Cofinanciación externa</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parte del presupuesto viene de fuentes distintas a los recursos propios del municipio.</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3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Vinculación de capital privado</w:t>
            </w:r>
          </w:p>
        </w:tc>
        <w:tc>
          <w:tcPr>
            <w:tcW w:type="dxa" w:w="46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Qué tan viable es que un privado cofinancie el proyecto según su tipo: una obra física admite obras por impuestos o APP; un programa de funcionamiento, casi nunca.</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bl>
    <w:p>
      <w:pPr>
        <w:pStyle w:val="Heading1"/>
      </w:pPr>
      <w:r>
        <w:t xml:space="preserve">Parte C. Criterios del experto</w:t>
      </w:r>
    </w:p>
    <w:p>
      <w:pPr>
        <w:pStyle w:val="ListParagraph"/>
        <w:numPr>
          <w:ilvl w:val="0"/>
          <w:numId w:val="4"/>
        </w:numPr>
        <w:spacing w:after="80" w:line="276"/>
      </w:pPr>
      <w:r>
        <w:rPr>
          <w:b/>
          <w:bCs/>
        </w:rPr>
        <w:t xml:space="preserve">Compensación entre dimensiones. </w:t>
      </w:r>
      <w:r>
        <w:t xml:space="preserve">Si un proyecto tiene una gobernanza muy deficiente pero un impacto social muy alto, ¿debería poder obtener una calificación alta?</w:t>
      </w:r>
    </w:p>
    <w:p>
      <w:pPr>
        <w:spacing w:after="120" w:line="276"/>
        <w:ind w:left="360"/>
      </w:pPr>
      <w:r>
        <w:t xml:space="preserve">☐ Sí, lo alto debe compensar lo bajo     ☐ No, la debilidad debe pesar aunque lo demás sea alto     ☐ Depende de: ______________________</w:t>
      </w:r>
    </w:p>
    <w:p>
      <w:pPr>
        <w:pStyle w:val="ListParagraph"/>
        <w:numPr>
          <w:ilvl w:val="0"/>
          <w:numId w:val="4"/>
        </w:numPr>
        <w:spacing w:after="80" w:line="276"/>
      </w:pPr>
      <w:r>
        <w:rPr>
          <w:b/>
          <w:bCs/>
        </w:rPr>
        <w:t xml:space="preserve">Vinculación de capital privado. </w:t>
      </w:r>
      <w:r>
        <w:t xml:space="preserve">Para cada tipo de intervención, ¿qué tan viable es que un inversionista privado lo cofinancie? 1 nula, 2 baja, 3 media, 4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600"/>
        <w:gridCol w:w="600"/>
        <w:gridCol w:w="600"/>
        <w:gridCol w:w="600"/>
      </w:tblGrid>
      <w:tr>
        <w:trPr>
          <w:tblHeader/>
        </w:trPr>
        <w:tc>
          <w:tcPr>
            <w:tcW w:type="dxa" w:w="2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Tipo de intervención</w:t>
            </w:r>
          </w:p>
        </w:tc>
        <w:tc>
          <w:tcPr>
            <w:tcW w:type="dxa" w:w="436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left"/>
            </w:pPr>
            <w:r>
              <w:rPr>
                <w:b/>
                <w:bCs/>
                <w:sz w:val="20"/>
                <w:szCs w:val="20"/>
              </w:rPr>
              <w:t xml:space="preserve">Ejemplos</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1</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2</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3</w:t>
            </w:r>
          </w:p>
        </w:tc>
        <w:tc>
          <w:tcPr>
            <w:tcW w:type="dxa" w:w="600"/>
            <w:tcBorders>
              <w:top w:val="single" w:color="C3D4EC" w:sz="4"/>
              <w:left w:val="single" w:color="C3D4EC" w:sz="4"/>
              <w:bottom w:val="single" w:color="C3D4EC" w:sz="4"/>
              <w:right w:val="single" w:color="C3D4EC" w:sz="4"/>
            </w:tcBorders>
            <w:shd w:fill="E4EDFA" w:val="clear"/>
            <w:tcMar>
              <w:top w:type="dxa" w:w="70"/>
              <w:left w:type="dxa" w:w="100"/>
              <w:bottom w:type="dxa" w:w="70"/>
              <w:right w:type="dxa" w:w="100"/>
            </w:tcMar>
            <w:vAlign w:val="center"/>
          </w:tcPr>
          <w:p>
            <w:pPr>
              <w:spacing w:after="0"/>
              <w:jc w:val="center"/>
            </w:pPr>
            <w:r>
              <w:rPr>
                <w:b/>
                <w:bCs/>
                <w:sz w:val="20"/>
                <w:szCs w:val="20"/>
              </w:rPr>
              <w:t xml:space="preserve">4</w:t>
            </w:r>
          </w:p>
        </w:tc>
      </w:tr>
      <w:tr>
        <w:trPr>
          <w:cantSplit/>
        </w:trPr>
        <w:tc>
          <w:tcPr>
            <w:tcW w:type="dxa" w:w="2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Inversión en capital</w:t>
            </w:r>
          </w:p>
        </w:tc>
        <w:tc>
          <w:tcPr>
            <w:tcW w:type="dxa" w:w="4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Construcción, ampliación, adquisición o dotación (redes de acueducto, colegios, vías)</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Mejoramiento</w:t>
            </w:r>
          </w:p>
        </w:tc>
        <w:tc>
          <w:tcPr>
            <w:tcW w:type="dxa" w:w="4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Mejoramiento, optimización o modernización de infraestructura existente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Mantenimiento</w:t>
            </w:r>
          </w:p>
        </w:tc>
        <w:tc>
          <w:tcPr>
            <w:tcW w:type="dxa" w:w="4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Mantenimiento, conservación o recuperación</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Preinversión</w:t>
            </w:r>
          </w:p>
        </w:tc>
        <w:tc>
          <w:tcPr>
            <w:tcW w:type="dxa" w:w="4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Estudios, diagnósticos y diseños</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Implementación de programa</w:t>
            </w:r>
          </w:p>
        </w:tc>
        <w:tc>
          <w:tcPr>
            <w:tcW w:type="dxa" w:w="4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Prestación de servicios, prevención, formación, subsidios</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r>
        <w:trPr>
          <w:cantSplit/>
        </w:trPr>
        <w:tc>
          <w:tcPr>
            <w:tcW w:type="dxa" w:w="2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b/>
                <w:bCs/>
                <w:sz w:val="20"/>
                <w:szCs w:val="20"/>
              </w:rPr>
              <w:t xml:space="preserve">Fortalecimiento institucional</w:t>
            </w:r>
          </w:p>
        </w:tc>
        <w:tc>
          <w:tcPr>
            <w:tcW w:type="dxa" w:w="436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left"/>
            </w:pPr>
            <w:r>
              <w:rPr>
                <w:sz w:val="20"/>
                <w:szCs w:val="20"/>
              </w:rPr>
              <w:t xml:space="preserve">Fortalecimiento, apoyo o desarrollo de la gestión pública (por ejemplo, aseguramiento en salud)</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c>
          <w:tcPr>
            <w:tcW w:type="dxa" w:w="600"/>
            <w:tcBorders>
              <w:top w:val="single" w:color="C3D4EC" w:sz="4"/>
              <w:left w:val="single" w:color="C3D4EC" w:sz="4"/>
              <w:bottom w:val="single" w:color="C3D4EC" w:sz="4"/>
              <w:right w:val="single" w:color="C3D4EC" w:sz="4"/>
            </w:tcBorders>
            <w:tcMar>
              <w:top w:type="dxa" w:w="70"/>
              <w:left w:type="dxa" w:w="100"/>
              <w:bottom w:type="dxa" w:w="70"/>
              <w:right w:type="dxa" w:w="100"/>
            </w:tcMar>
            <w:vAlign w:val="center"/>
          </w:tcPr>
          <w:p>
            <w:pPr>
              <w:spacing w:after="0"/>
              <w:jc w:val="center"/>
            </w:pPr>
            <w:r>
              <w:rPr>
                <w:color w:val="5A5A5A"/>
                <w:sz w:val="20"/>
                <w:szCs w:val="20"/>
              </w:rPr>
              <w:t xml:space="preserve">☐</w:t>
            </w:r>
          </w:p>
        </w:tc>
      </w:tr>
    </w:tbl>
    <w:p>
      <w:pPr>
        <w:spacing w:after="120"/>
      </w:pPr>
      <w:r>
        <w:t xml:space="preserve"/>
      </w:r>
    </w:p>
    <w:p>
      <w:pPr>
        <w:pStyle w:val="ListParagraph"/>
        <w:numPr>
          <w:ilvl w:val="0"/>
          <w:numId w:val="4"/>
        </w:numPr>
        <w:spacing w:after="80" w:line="276"/>
      </w:pPr>
      <w:r>
        <w:rPr>
          <w:b/>
          <w:bCs/>
        </w:rPr>
        <w:t xml:space="preserve">Perfil del inversionista. </w:t>
      </w:r>
      <w:r>
        <w:t xml:space="preserve">¿La importancia de las dimensiones debería cambiar según el tipo de inversionista (institucional, fondo de impacto, cooperación internacional)? ¿Cómo?</w:t>
      </w:r>
    </w:p>
    <w:p>
      <w:pPr>
        <w:pBdr>
          <w:bottom w:val="single" w:color="BFBFBF" w:sz="4" w:space="1"/>
        </w:pBdr>
        <w:spacing w:after="220"/>
      </w:pPr>
      <w:r>
        <w:t xml:space="preserve"/>
      </w:r>
    </w:p>
    <w:p>
      <w:pPr>
        <w:pBdr>
          <w:bottom w:val="single" w:color="BFBFBF" w:sz="4" w:space="1"/>
        </w:pBdr>
        <w:spacing w:after="220"/>
      </w:pPr>
      <w:r>
        <w:t xml:space="preserve"/>
      </w:r>
    </w:p>
    <w:p>
      <w:pPr>
        <w:pStyle w:val="ListParagraph"/>
        <w:numPr>
          <w:ilvl w:val="0"/>
          <w:numId w:val="4"/>
        </w:numPr>
        <w:spacing w:after="80" w:line="276"/>
      </w:pPr>
      <w:r>
        <w:rPr>
          <w:b/>
          <w:bCs/>
        </w:rPr>
        <w:t xml:space="preserve">Variables faltantes. </w:t>
      </w:r>
      <w:r>
        <w:t xml:space="preserve">¿Qué variable consideraría indispensable y no está? ¿Conoce una fuente pública donde se encuentre?</w:t>
      </w:r>
    </w:p>
    <w:p>
      <w:pPr>
        <w:pBdr>
          <w:bottom w:val="single" w:color="BFBFBF" w:sz="4" w:space="1"/>
        </w:pBdr>
        <w:spacing w:after="220"/>
      </w:pPr>
      <w:r>
        <w:t xml:space="preserve"/>
      </w:r>
    </w:p>
    <w:p>
      <w:pPr>
        <w:pBdr>
          <w:bottom w:val="single" w:color="BFBFBF" w:sz="4" w:space="1"/>
        </w:pBdr>
        <w:spacing w:after="220"/>
      </w:pPr>
      <w:r>
        <w:t xml:space="preserve"/>
      </w:r>
    </w:p>
    <w:p>
      <w:pPr>
        <w:pStyle w:val="ListParagraph"/>
        <w:numPr>
          <w:ilvl w:val="0"/>
          <w:numId w:val="4"/>
        </w:numPr>
        <w:spacing w:after="80" w:line="276"/>
      </w:pPr>
      <w:r>
        <w:rPr>
          <w:b/>
          <w:bCs/>
        </w:rPr>
        <w:t xml:space="preserve">Variables sobrantes. </w:t>
      </w:r>
      <w:r>
        <w:t xml:space="preserve">¿Alguna de las variables presentadas no debería estar en el índice? ¿Por qué?</w:t>
      </w:r>
    </w:p>
    <w:p>
      <w:pPr>
        <w:pBdr>
          <w:bottom w:val="single" w:color="BFBFBF" w:sz="4" w:space="1"/>
        </w:pBdr>
        <w:spacing w:after="220"/>
      </w:pPr>
      <w:r>
        <w:t xml:space="preserve"/>
      </w:r>
    </w:p>
    <w:p>
      <w:pPr>
        <w:pBdr>
          <w:bottom w:val="single" w:color="BFBFBF" w:sz="4" w:space="1"/>
        </w:pBdr>
        <w:spacing w:after="220"/>
      </w:pPr>
      <w:r>
        <w:t xml:space="preserve"/>
      </w:r>
    </w:p>
    <w:p>
      <w:pPr>
        <w:pStyle w:val="ListParagraph"/>
        <w:numPr>
          <w:ilvl w:val="0"/>
          <w:numId w:val="4"/>
        </w:numPr>
        <w:spacing w:after="80" w:line="276"/>
      </w:pPr>
      <w:r>
        <w:rPr>
          <w:b/>
          <w:bCs/>
        </w:rPr>
        <w:t xml:space="preserve">Confianza. </w:t>
      </w:r>
      <w:r>
        <w:t xml:space="preserve">¿Qué información necesitaría ver junto a la calificación para confiar en ella?</w:t>
      </w:r>
    </w:p>
    <w:p>
      <w:pPr>
        <w:pBdr>
          <w:bottom w:val="single" w:color="BFBFBF" w:sz="4" w:space="1"/>
        </w:pBdr>
        <w:spacing w:after="220"/>
      </w:pPr>
      <w:r>
        <w:t xml:space="preserve"/>
      </w:r>
    </w:p>
    <w:p>
      <w:pPr>
        <w:pBdr>
          <w:bottom w:val="single" w:color="BFBFBF" w:sz="4" w:space="1"/>
        </w:pBdr>
        <w:spacing w:after="220"/>
      </w:pPr>
      <w:r>
        <w:t xml:space="preserve"/>
      </w:r>
    </w:p>
    <w:p>
      <w:pPr>
        <w:pStyle w:val="ListParagraph"/>
        <w:numPr>
          <w:ilvl w:val="0"/>
          <w:numId w:val="4"/>
        </w:numPr>
        <w:spacing w:after="80" w:line="276"/>
      </w:pPr>
      <w:r>
        <w:rPr>
          <w:b/>
          <w:bCs/>
        </w:rPr>
        <w:t xml:space="preserve">Observaciones adicionales.</w:t>
      </w:r>
    </w:p>
    <w:p>
      <w:pPr>
        <w:pBdr>
          <w:bottom w:val="single" w:color="BFBFBF" w:sz="4" w:space="1"/>
        </w:pBdr>
        <w:spacing w:after="220"/>
      </w:pPr>
      <w:r>
        <w:t xml:space="preserve"/>
      </w:r>
    </w:p>
    <w:p>
      <w:pPr>
        <w:pBdr>
          <w:bottom w:val="single" w:color="BFBFBF" w:sz="4" w:space="1"/>
        </w:pBdr>
        <w:spacing w:after="220"/>
      </w:pPr>
      <w:r>
        <w:t xml:space="preserve"/>
      </w:r>
    </w:p>
    <w:p>
      <w:pPr>
        <w:spacing w:before="240"/>
      </w:pPr>
      <w:r>
        <w:rPr>
          <w:i/>
          <w:iCs/>
          <w:color w:val="5A5A5A"/>
        </w:rPr>
        <w:t xml:space="preserve">Gracias por su tiempo. Los resultados agregados del panel se compartirán con usted cuando estén disponibles.</w:t>
      </w:r>
    </w:p>
    <w:sectPr>
      <w:headerReference w:type="default" r:id="rId13"/>
      <w:footerReference w:type="default" r:id="rId14"/>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Universidad Ean  ·  Maestría en Ciencia de Datos  ·  Página </w:t>
    </w:r>
    <w:r>
      <w:rPr>
        <w:color w:val="5A5A5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Universidad Ean  ·  Maestría en Ciencia de Datos  ·  Página </w:t>
    </w:r>
    <w:r>
      <w:rPr>
        <w:color w:val="5A5A5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Universidad Ean  ·  Maestría en Ciencia de Datos  ·  Página </w:t>
    </w:r>
    <w:r>
      <w:rPr>
        <w:color w:val="5A5A5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Universidad Ean  ·  Maestría en Ciencia de Datos  ·  Página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ColombiaInvest  ·  Instrumento del panel de expertos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ColombiaInvest  ·  Instrumento del panel de expertos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ColombiaInvest  ·  Instrumento del panel de expertos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ColombiaInvest  ·  Instrumento del panel de expertos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C%1."/>
      <w:lvlJc w:val="left"/>
      <w:pPr>
        <w:ind w:left="540" w:hanging="4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A68"/>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3A68"/>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B4EC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del panel de expertos</dc:title>
  <dc:creator>ColombiaInvest</dc:creator>
  <cp:lastModifiedBy>Un-named</cp:lastModifiedBy>
  <cp:revision>1</cp:revision>
  <dcterms:created xsi:type="dcterms:W3CDTF">2026-09-26T03:16:48.651Z</dcterms:created>
  <dcterms:modified xsi:type="dcterms:W3CDTF">2026-09-26T03:16:48.652Z</dcterms:modified>
</cp:coreProperties>
</file>

<file path=docProps/custom.xml><?xml version="1.0" encoding="utf-8"?>
<Properties xmlns="http://schemas.openxmlformats.org/officeDocument/2006/custom-properties" xmlns:vt="http://schemas.openxmlformats.org/officeDocument/2006/docPropsVTypes"/>
</file>