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d9344579899747ce" /><Relationship Type="http://schemas.openxmlformats.org/package/2006/relationships/metadata/core-properties" Target="/docProps/core.xml" Id="Rb14c1088640f4609" /><Relationship Type="http://schemas.openxmlformats.org/officeDocument/2006/relationships/extended-properties" Target="/docProps/app.xml" Id="R9aea11093d7f4a7e" /><Relationship Type="http://schemas.openxmlformats.org/officeDocument/2006/relationships/custom-properties" Target="/docProps/custom.xml" Id="R742f1d8032904b80"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Normal"/>
        <w:spacing w:after="1200"/>
      </w:pPr>
      <w:r>
        <w:rPr/>
        <w:t xml:space="preserve"/>
      </w:r>
    </w:p>
    <w:p w14:paraId="00100002" w14:textId="00100003">
      <w:pPr>
        <w:pStyle w:val="Heading1"/>
        <w:spacing w:after="240"/>
        <w:jc w:val="center"/>
      </w:pPr>
      <w:r>
        <w:rPr>
          <w:b/>
          <w:sz w:val="52"/>
        </w:rPr>
        <w:t xml:space="preserve">Car Sales Data Analytics &amp; Business Intelligence Dashboard</w:t>
      </w:r>
    </w:p>
    <w:p w14:paraId="00100004" w14:textId="00100005">
      <w:pPr>
        <w:pStyle w:val="Normal"/>
        <w:spacing w:after="160"/>
        <w:jc w:val="center"/>
      </w:pPr>
      <w:r>
        <w:rPr>
          <w:sz w:val="32"/>
        </w:rPr>
        <w:t xml:space="preserve">Professional Project Report</w:t>
      </w:r>
    </w:p>
    <w:p w14:paraId="00100006" w14:textId="00100007">
      <w:pPr>
        <w:pStyle w:val="Normal"/>
        <w:spacing w:after="160"/>
        <w:jc w:val="center"/>
      </w:pPr>
      <w:r>
        <w:rPr>
          <w:sz w:val="24"/>
        </w:rPr>
        <w:t xml:space="preserve">Dataset: 50,000 Used-Car Listings  |  5 Manufacturers  |  3 Fuel Types  |  1984–2022</w:t>
      </w:r>
    </w:p>
    <w:p w14:paraId="00100008" w14:textId="00100009">
      <w:pPr>
        <w:pStyle w:val="Normal"/>
        <w:spacing w:after="1200"/>
        <w:jc w:val="center"/>
      </w:pPr>
      <w:r>
        <w:rPr>
          <w:sz w:val="24"/>
        </w:rPr>
        <w:t xml:space="preserve">Technologies: Python · Streamlit · Pandas · Plotly · Scikit-learn</w:t>
      </w:r>
    </w:p>
    <w:p w14:paraId="0010000A" w14:textId="0010000B">
      <w:pPr>
        <w:pStyle w:val="Normal"/>
        <w:spacing w:after="80"/>
        <w:jc w:val="center"/>
      </w:pPr>
      <w:r>
        <w:rPr>
          <w:sz w:val="22"/>
        </w:rPr>
        <w:t xml:space="preserve">Prepared by: Data Analytics Team</w:t>
      </w:r>
    </w:p>
    <w:p w14:paraId="0010000C" w14:textId="0010000D">
      <w:pPr>
        <w:pStyle w:val="Normal"/>
        <w:spacing w:after="80"/>
        <w:jc w:val="center"/>
      </w:pPr>
      <w:r>
        <w:rPr>
          <w:sz w:val="22"/>
        </w:rPr>
        <w:t xml:space="preserve">Year: 2024</w:t>
      </w:r>
    </w:p>
    <w:p w14:paraId="0010000E" w14:textId="0010000F">
      <w:pPr>
        <w:pStyle w:val="Heading1"/>
        <w:spacing w:before="400" w:after="200"/>
      </w:pPr>
      <w:r>
        <w:rPr>
          <w:b/>
          <w:sz w:val="36"/>
        </w:rPr>
        <w:t xml:space="preserve">Table of Contents</w:t>
      </w:r>
    </w:p>
    <w:p w14:paraId="00100010" w14:textId="00100011">
      <w:pPr>
        <w:pStyle w:val="Normal"/>
        <w:spacing w:after="80"/>
      </w:pPr>
      <w:r>
        <w:rPr>
          <w:sz w:val="22"/>
        </w:rPr>
        <w:t xml:space="preserve">1. Introduction</w:t>
      </w:r>
    </w:p>
    <w:p w14:paraId="00100012" w14:textId="00100013">
      <w:pPr>
        <w:pStyle w:val="Normal"/>
        <w:spacing w:after="80"/>
      </w:pPr>
      <w:r>
        <w:rPr>
          <w:sz w:val="22"/>
        </w:rPr>
        <w:t xml:space="preserve">2. Problem Statement</w:t>
      </w:r>
    </w:p>
    <w:p w14:paraId="00100014" w14:textId="00100015">
      <w:pPr>
        <w:pStyle w:val="Normal"/>
        <w:spacing w:after="80"/>
      </w:pPr>
      <w:r>
        <w:rPr>
          <w:sz w:val="22"/>
        </w:rPr>
        <w:t xml:space="preserve">3. Objectives</w:t>
      </w:r>
    </w:p>
    <w:p w14:paraId="00100016" w14:textId="00100017">
      <w:pPr>
        <w:pStyle w:val="Normal"/>
        <w:spacing w:after="80"/>
      </w:pPr>
      <w:r>
        <w:rPr>
          <w:sz w:val="22"/>
        </w:rPr>
        <w:t xml:space="preserve">4. Dataset Description</w:t>
      </w:r>
    </w:p>
    <w:p w14:paraId="00100018" w14:textId="00100019">
      <w:pPr>
        <w:pStyle w:val="Normal"/>
        <w:spacing w:after="80"/>
      </w:pPr>
      <w:r>
        <w:rPr>
          <w:sz w:val="22"/>
        </w:rPr>
        <w:t xml:space="preserve">5. Technologies Used</w:t>
      </w:r>
    </w:p>
    <w:p w14:paraId="0010001A" w14:textId="0010001B">
      <w:pPr>
        <w:pStyle w:val="Normal"/>
        <w:spacing w:after="80"/>
      </w:pPr>
      <w:r>
        <w:rPr>
          <w:sz w:val="22"/>
        </w:rPr>
        <w:t xml:space="preserve">6. System / Project Workflow</w:t>
      </w:r>
    </w:p>
    <w:p w14:paraId="0010001C" w14:textId="0010001D">
      <w:pPr>
        <w:pStyle w:val="Normal"/>
        <w:spacing w:after="80"/>
      </w:pPr>
      <w:r>
        <w:rPr>
          <w:sz w:val="22"/>
        </w:rPr>
        <w:t xml:space="preserve">7. Data Cleaning</w:t>
      </w:r>
    </w:p>
    <w:p w14:paraId="0010001E" w14:textId="0010001F">
      <w:pPr>
        <w:pStyle w:val="Normal"/>
        <w:spacing w:after="80"/>
      </w:pPr>
      <w:r>
        <w:rPr>
          <w:sz w:val="22"/>
        </w:rPr>
        <w:t xml:space="preserve">8. Exploratory Data Analysis</w:t>
      </w:r>
    </w:p>
    <w:p w14:paraId="00100020" w14:textId="00100021">
      <w:pPr>
        <w:pStyle w:val="Normal"/>
        <w:spacing w:after="80"/>
      </w:pPr>
      <w:r>
        <w:rPr>
          <w:sz w:val="22"/>
        </w:rPr>
        <w:t xml:space="preserve">9. KPI Analysis</w:t>
      </w:r>
    </w:p>
    <w:p w14:paraId="00100022" w14:textId="00100023">
      <w:pPr>
        <w:pStyle w:val="Normal"/>
        <w:spacing w:after="80"/>
      </w:pPr>
      <w:r>
        <w:rPr>
          <w:sz w:val="22"/>
        </w:rPr>
        <w:t xml:space="preserve">10. Business Intelligence Analysis</w:t>
      </w:r>
    </w:p>
    <w:p w14:paraId="00100024" w14:textId="00100025">
      <w:pPr>
        <w:pStyle w:val="Normal"/>
        <w:spacing w:after="80"/>
      </w:pPr>
      <w:r>
        <w:rPr>
          <w:sz w:val="22"/>
        </w:rPr>
        <w:t xml:space="preserve">11. Important Trends</w:t>
      </w:r>
    </w:p>
    <w:p w14:paraId="00100026" w14:textId="00100027">
      <w:pPr>
        <w:pStyle w:val="Normal"/>
        <w:spacing w:after="80"/>
      </w:pPr>
      <w:r>
        <w:rPr>
          <w:sz w:val="22"/>
        </w:rPr>
        <w:t xml:space="preserve">12. Key Drivers</w:t>
      </w:r>
    </w:p>
    <w:p w14:paraId="00100028" w14:textId="00100029">
      <w:pPr>
        <w:pStyle w:val="Normal"/>
        <w:spacing w:after="80"/>
      </w:pPr>
      <w:r>
        <w:rPr>
          <w:sz w:val="22"/>
        </w:rPr>
        <w:t xml:space="preserve">13. Risks</w:t>
      </w:r>
    </w:p>
    <w:p w14:paraId="0010002A" w14:textId="0010002B">
      <w:pPr>
        <w:pStyle w:val="Normal"/>
        <w:spacing w:after="80"/>
      </w:pPr>
      <w:r>
        <w:rPr>
          <w:sz w:val="22"/>
        </w:rPr>
        <w:t xml:space="preserve">14. Opportunities</w:t>
      </w:r>
    </w:p>
    <w:p w14:paraId="0010002C" w14:textId="0010002D">
      <w:pPr>
        <w:pStyle w:val="Normal"/>
        <w:spacing w:after="80"/>
      </w:pPr>
      <w:r>
        <w:rPr>
          <w:sz w:val="22"/>
        </w:rPr>
        <w:t xml:space="preserve">15. Recommended Business Actions</w:t>
      </w:r>
    </w:p>
    <w:p w14:paraId="0010002E" w14:textId="0010002F">
      <w:pPr>
        <w:pStyle w:val="Normal"/>
        <w:spacing w:after="80"/>
      </w:pPr>
      <w:r>
        <w:rPr>
          <w:sz w:val="22"/>
        </w:rPr>
        <w:t xml:space="preserve">16. Dashboard Explanation</w:t>
      </w:r>
    </w:p>
    <w:p w14:paraId="00100030" w14:textId="00100031">
      <w:pPr>
        <w:pStyle w:val="Normal"/>
        <w:spacing w:after="80"/>
      </w:pPr>
      <w:r>
        <w:rPr>
          <w:sz w:val="22"/>
        </w:rPr>
        <w:t xml:space="preserve">17. Results and Findings</w:t>
      </w:r>
    </w:p>
    <w:p w14:paraId="00100032" w14:textId="00100033">
      <w:pPr>
        <w:pStyle w:val="Normal"/>
        <w:spacing w:after="80"/>
      </w:pPr>
      <w:r>
        <w:rPr>
          <w:sz w:val="22"/>
        </w:rPr>
        <w:t xml:space="preserve">18. Limitations</w:t>
      </w:r>
    </w:p>
    <w:p w14:paraId="00100034" w14:textId="00100035">
      <w:pPr>
        <w:pStyle w:val="Normal"/>
        <w:spacing w:after="80"/>
      </w:pPr>
      <w:r>
        <w:rPr>
          <w:sz w:val="22"/>
        </w:rPr>
        <w:t xml:space="preserve">19. Future Scope</w:t>
      </w:r>
    </w:p>
    <w:p w14:paraId="00100036" w14:textId="00100037">
      <w:pPr>
        <w:pStyle w:val="Normal"/>
        <w:spacing w:after="80"/>
      </w:pPr>
      <w:r>
        <w:rPr>
          <w:sz w:val="22"/>
        </w:rPr>
        <w:t xml:space="preserve">20. Conclusion</w:t>
      </w:r>
    </w:p>
    <w:p w14:paraId="00100038" w14:textId="00100039">
      <w:pPr>
        <w:pStyle w:val="Normal"/>
        <w:spacing w:after="80"/>
      </w:pPr>
      <w:r>
        <w:rPr>
          <w:sz w:val="22"/>
        </w:rPr>
        <w:t xml:space="preserve">21. References</w:t>
      </w:r>
    </w:p>
    <w:p w14:paraId="0010003A" w14:textId="0010003B">
      <w:pPr>
        <w:pStyle w:val="Heading1"/>
        <w:spacing w:before="400" w:after="160"/>
      </w:pPr>
      <w:r>
        <w:rPr>
          <w:b/>
          <w:sz w:val="36"/>
        </w:rPr>
        <w:t xml:space="preserve">1. Introduction</w:t>
      </w:r>
    </w:p>
    <w:p w14:paraId="0010003C" w14:textId="0010003D">
      <w:pPr>
        <w:pStyle w:val="Normal"/>
        <w:spacing w:after="160"/>
      </w:pPr>
      <w:r>
        <w:rPr>
          <w:sz w:val="22"/>
        </w:rPr>
        <w:t xml:space="preserve">The automotive industry is one of the largest and most competitive global markets. Used-car marketplaces and dealerships generate tens of thousands of listing records each year, creating rich datasets that — when properly analysed — can reveal powerful insights about pricing dynamics, consumer preferences, market risks, and growth opportunities.</w:t>
      </w:r>
    </w:p>
    <w:p w14:paraId="0010003E" w14:textId="0010003F">
      <w:pPr>
        <w:pStyle w:val="Normal"/>
        <w:spacing w:after="160"/>
      </w:pPr>
      <w:r>
        <w:rPr>
          <w:sz w:val="22"/>
        </w:rPr>
        <w:t xml:space="preserve">This project presents a complete end-to-end Data Analytics and Business Intelligence solution built on a dataset of 50,000 used-car listings. The solution covers the entire BI lifecycle: from raw data ingestion and cleaning through exploratory analysis, KPI calculation, trend identification, risk assessment, and opportunity mapping — all delivered through a professional interactive Streamlit dashboard.</w:t>
      </w:r>
    </w:p>
    <w:p w14:paraId="00100040" w14:textId="00100041">
      <w:pPr>
        <w:pStyle w:val="Normal"/>
        <w:spacing w:after="160"/>
      </w:pPr>
      <w:r>
        <w:rPr>
          <w:sz w:val="22"/>
        </w:rPr>
        <w:t xml:space="preserve">The project is designed so that a non-technical business user can navigate the dashboard, understand the key findings, and take informed business actions — without needing to understand the underlying code or statistical methods.</w:t>
      </w:r>
    </w:p>
    <w:p w14:paraId="00100042" w14:textId="00100043">
      <w:pPr>
        <w:pStyle w:val="Heading1"/>
        <w:spacing w:before="400" w:after="160"/>
      </w:pPr>
      <w:r>
        <w:rPr>
          <w:b/>
          <w:sz w:val="36"/>
        </w:rPr>
        <w:t xml:space="preserve">2. Problem Statement</w:t>
      </w:r>
    </w:p>
    <w:p w14:paraId="00100044" w14:textId="00100045">
      <w:pPr>
        <w:pStyle w:val="Normal"/>
        <w:spacing w:after="120"/>
      </w:pPr>
      <w:r>
        <w:rPr>
          <w:sz w:val="22"/>
        </w:rPr>
        <w:t xml:space="preserve">Used-car dealerships and automotive marketplace platforms hold vast amounts of listing data but frequently lack the analytical infrastructure to extract actionable intelligence from it. Common unresolved business questions include:</w:t>
      </w:r>
    </w:p>
    <w:p w14:paraId="00100046" w14:textId="00100047">
      <w:pPr>
        <w:pStyle w:val="Normal"/>
        <w:numPr>
          <w:ilvl w:val="0"/>
          <w:numId w:val="1"/>
        </w:numPr>
        <w:spacing w:after="60"/>
      </w:pPr>
      <w:r>
        <w:rPr>
          <w:sz w:val="22"/>
        </w:rPr>
        <w:t xml:space="preserve">• Which manufacturers and models command the highest prices, and why?</w:t>
      </w:r>
    </w:p>
    <w:p w14:paraId="00100048" w14:textId="00100049">
      <w:pPr>
        <w:pStyle w:val="Normal"/>
        <w:numPr>
          <w:ilvl w:val="0"/>
          <w:numId w:val="1"/>
        </w:numPr>
        <w:spacing w:after="60"/>
      </w:pPr>
      <w:r>
        <w:rPr>
          <w:sz w:val="22"/>
        </w:rPr>
        <w:t xml:space="preserve">• What is the relationship between mileage, age, engine size, and price?</w:t>
      </w:r>
    </w:p>
    <w:p w14:paraId="0010004A" w14:textId="0010004B">
      <w:pPr>
        <w:pStyle w:val="Normal"/>
        <w:numPr>
          <w:ilvl w:val="0"/>
          <w:numId w:val="1"/>
        </w:numPr>
        <w:spacing w:after="60"/>
      </w:pPr>
      <w:r>
        <w:rPr>
          <w:sz w:val="22"/>
        </w:rPr>
        <w:t xml:space="preserve">• Where are the low-performing segments and high-risk listings?</w:t>
      </w:r>
    </w:p>
    <w:p w14:paraId="0010004C" w14:textId="0010004D">
      <w:pPr>
        <w:pStyle w:val="Normal"/>
        <w:numPr>
          <w:ilvl w:val="0"/>
          <w:numId w:val="1"/>
        </w:numPr>
        <w:spacing w:after="60"/>
      </w:pPr>
      <w:r>
        <w:rPr>
          <w:sz w:val="22"/>
        </w:rPr>
        <w:t xml:space="preserve">• Which fuel types are growing or declining in market share?</w:t>
      </w:r>
    </w:p>
    <w:p w14:paraId="0010004E" w14:textId="0010004F">
      <w:pPr>
        <w:pStyle w:val="Normal"/>
        <w:numPr>
          <w:ilvl w:val="0"/>
          <w:numId w:val="1"/>
        </w:numPr>
        <w:spacing w:after="60"/>
      </w:pPr>
      <w:r>
        <w:rPr>
          <w:sz w:val="22"/>
        </w:rPr>
        <w:t xml:space="preserve">• What pricing strategy should be adopted to maximise revenue and turnover?</w:t>
      </w:r>
    </w:p>
    <w:p w14:paraId="00100050" w14:textId="00100051">
      <w:pPr>
        <w:pStyle w:val="Normal"/>
        <w:numPr>
          <w:ilvl w:val="0"/>
          <w:numId w:val="1"/>
        </w:numPr>
        <w:spacing w:after="160"/>
      </w:pPr>
      <w:r>
        <w:rPr>
          <w:sz w:val="22"/>
        </w:rPr>
        <w:t xml:space="preserve">• What does the data suggest about future price trends?</w:t>
      </w:r>
    </w:p>
    <w:p w14:paraId="00100052" w14:textId="00100053">
      <w:pPr>
        <w:pStyle w:val="Normal"/>
        <w:spacing w:after="160"/>
      </w:pPr>
      <w:r>
        <w:rPr>
          <w:sz w:val="22"/>
        </w:rPr>
        <w:t xml:space="preserve">This project addresses all of these questions directly from the dataset, using evidence-based analysis rather than assumptions.</w:t>
      </w:r>
    </w:p>
    <w:p w14:paraId="00100054" w14:textId="00100055">
      <w:pPr>
        <w:pStyle w:val="Heading1"/>
        <w:spacing w:before="400" w:after="160"/>
      </w:pPr>
      <w:r>
        <w:rPr>
          <w:b/>
          <w:sz w:val="36"/>
        </w:rPr>
        <w:t xml:space="preserve">3. Objectives</w:t>
      </w:r>
    </w:p>
    <w:p w14:paraId="00100056" w14:textId="00100057">
      <w:pPr>
        <w:pStyle w:val="Normal"/>
        <w:spacing w:after="120"/>
      </w:pPr>
      <w:r>
        <w:rPr>
          <w:sz w:val="22"/>
        </w:rPr>
        <w:t xml:space="preserve">The primary objectives of this project are:</w:t>
      </w:r>
    </w:p>
    <w:p w14:paraId="00100058" w14:textId="00100059">
      <w:pPr>
        <w:pStyle w:val="Normal"/>
        <w:spacing w:after="60"/>
      </w:pPr>
      <w:r>
        <w:rPr>
          <w:sz w:val="22"/>
        </w:rPr>
        <w:t xml:space="preserve">1. Inspect, clean, and validate the raw used-car listing dataset.</w:t>
      </w:r>
    </w:p>
    <w:p w14:paraId="0010005A" w14:textId="0010005B">
      <w:pPr>
        <w:pStyle w:val="Normal"/>
        <w:spacing w:after="60"/>
      </w:pPr>
      <w:r>
        <w:rPr>
          <w:sz w:val="22"/>
        </w:rPr>
        <w:t xml:space="preserve">2. Perform thorough exploratory data analysis (EDA) to understand distributions, correlations, and patterns.</w:t>
      </w:r>
    </w:p>
    <w:p w14:paraId="0010005C" w14:textId="0010005D">
      <w:pPr>
        <w:pStyle w:val="Normal"/>
        <w:spacing w:after="60"/>
      </w:pPr>
      <w:r>
        <w:rPr>
          <w:sz w:val="22"/>
        </w:rPr>
        <w:t xml:space="preserve">3. Define and calculate meaningful KPIs that reflect real business performance.</w:t>
      </w:r>
    </w:p>
    <w:p w14:paraId="0010005E" w14:textId="0010005F">
      <w:pPr>
        <w:pStyle w:val="Normal"/>
        <w:spacing w:after="60"/>
      </w:pPr>
      <w:r>
        <w:rPr>
          <w:sz w:val="22"/>
        </w:rPr>
        <w:t xml:space="preserve">4. Identify trends, key price drivers, risks, and market opportunities from the data.</w:t>
      </w:r>
    </w:p>
    <w:p w14:paraId="00100060" w14:textId="00100061">
      <w:pPr>
        <w:pStyle w:val="Normal"/>
        <w:spacing w:after="60"/>
      </w:pPr>
      <w:r>
        <w:rPr>
          <w:sz w:val="22"/>
        </w:rPr>
        <w:t xml:space="preserve">5. Build a simple price trend forecast for manufacture years.</w:t>
      </w:r>
    </w:p>
    <w:p w14:paraId="00100062" w14:textId="00100063">
      <w:pPr>
        <w:pStyle w:val="Normal"/>
        <w:spacing w:after="60"/>
      </w:pPr>
      <w:r>
        <w:rPr>
          <w:sz w:val="22"/>
        </w:rPr>
        <w:t xml:space="preserve">6. Deliver all findings through a professional, interactive, 3-page Streamlit dashboard.</w:t>
      </w:r>
    </w:p>
    <w:p w14:paraId="00100064" w14:textId="00100065">
      <w:pPr>
        <w:pStyle w:val="Normal"/>
        <w:spacing w:after="160"/>
      </w:pPr>
      <w:r>
        <w:rPr>
          <w:sz w:val="22"/>
        </w:rPr>
        <w:t xml:space="preserve">7. Generate actionable business insights structured as FACT / INSIGHT / RISK / OPPORTUNITY / RECOMMENDED ACTION.</w:t>
      </w:r>
    </w:p>
    <w:p w14:paraId="00100066" w14:textId="00100067">
      <w:pPr>
        <w:pStyle w:val="Heading1"/>
        <w:spacing w:before="400" w:after="160"/>
      </w:pPr>
      <w:r>
        <w:rPr>
          <w:b/>
          <w:sz w:val="36"/>
        </w:rPr>
        <w:t xml:space="preserve">4. Dataset Description</w:t>
      </w:r>
    </w:p>
    <w:p w14:paraId="00100068" w14:textId="00100069">
      <w:pPr>
        <w:pStyle w:val="Normal"/>
        <w:spacing w:after="160"/>
      </w:pPr>
      <w:r>
        <w:rPr>
          <w:sz w:val="22"/>
        </w:rPr>
        <w:t xml:space="preserve">The dataset contains 50,000 used-car listing records with 7 columns. There are no missing values or duplicate rows in the original file. All records represent individual used-car listings with the following attributes: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6A" w14:textId="0010006B">
            <w:r>
              <w:t xml:space="preserve">Column</w:t>
            </w:r>
          </w:p>
        </w:tc>
        <w:tc>
          <w:p w14:paraId="0010006C" w14:textId="0010006D">
            <w:r>
              <w:t xml:space="preserve">Data Type</w:t>
            </w:r>
          </w:p>
        </w:tc>
        <w:tc>
          <w:p w14:paraId="0010006E" w14:textId="0010006F">
            <w:r>
              <w:t xml:space="preserve">Description</w:t>
            </w:r>
          </w:p>
        </w:tc>
      </w:tr>
      <w:tr>
        <w:trPr/>
        <w:tc>
          <w:p w14:paraId="00100070" w14:textId="00100071">
            <w:r>
              <w:t xml:space="preserve">Manufacturer</w:t>
            </w:r>
          </w:p>
        </w:tc>
        <w:tc>
          <w:p w14:paraId="00100072" w14:textId="00100073">
            <w:r>
              <w:t xml:space="preserve">String</w:t>
            </w:r>
          </w:p>
        </w:tc>
        <w:tc>
          <w:p w14:paraId="00100074" w14:textId="00100075">
            <w:r>
              <w:t xml:space="preserve">Car brand: BMW, Ford, Porsche, Toyota, VW</w:t>
            </w:r>
          </w:p>
        </w:tc>
      </w:tr>
      <w:tr>
        <w:trPr/>
        <w:tc>
          <w:p w14:paraId="00100076" w14:textId="00100077">
            <w:r>
              <w:t xml:space="preserve">Model</w:t>
            </w:r>
          </w:p>
        </w:tc>
        <w:tc>
          <w:p w14:paraId="00100078" w14:textId="00100079">
            <w:r>
              <w:t xml:space="preserve">String</w:t>
            </w:r>
          </w:p>
        </w:tc>
        <w:tc>
          <w:p w14:paraId="0010007A" w14:textId="0010007B">
            <w:r>
              <w:t xml:space="preserve">Specific car model name (e.g. Fiesta, 3 Series)</w:t>
            </w:r>
          </w:p>
        </w:tc>
      </w:tr>
      <w:tr>
        <w:trPr/>
        <w:tc>
          <w:p w14:paraId="0010007C" w14:textId="0010007D">
            <w:r>
              <w:t xml:space="preserve">Engine size</w:t>
            </w:r>
          </w:p>
        </w:tc>
        <w:tc>
          <w:p w14:paraId="0010007E" w14:textId="0010007F">
            <w:r>
              <w:t xml:space="preserve">Float</w:t>
            </w:r>
          </w:p>
        </w:tc>
        <w:tc>
          <w:p w14:paraId="00100080" w14:textId="00100081">
            <w:r>
              <w:t xml:space="preserve">Engine displacement in litres (e.g. 1.0, 2.0, 4.0)</w:t>
            </w:r>
          </w:p>
        </w:tc>
      </w:tr>
      <w:tr>
        <w:trPr/>
        <w:tc>
          <w:p w14:paraId="00100082" w14:textId="00100083">
            <w:r>
              <w:t xml:space="preserve">Fuel type</w:t>
            </w:r>
          </w:p>
        </w:tc>
        <w:tc>
          <w:p w14:paraId="00100084" w14:textId="00100085">
            <w:r>
              <w:t xml:space="preserve">String</w:t>
            </w:r>
          </w:p>
        </w:tc>
        <w:tc>
          <w:p w14:paraId="00100086" w14:textId="00100087">
            <w:r>
              <w:t xml:space="preserve">Petrol, Diesel, or Hybrid</w:t>
            </w:r>
          </w:p>
        </w:tc>
      </w:tr>
      <w:tr>
        <w:trPr/>
        <w:tc>
          <w:p w14:paraId="00100088" w14:textId="00100089">
            <w:r>
              <w:t xml:space="preserve">Year of manufacture</w:t>
            </w:r>
          </w:p>
        </w:tc>
        <w:tc>
          <w:p w14:paraId="0010008A" w14:textId="0010008B">
            <w:r>
              <w:t xml:space="preserve">Integer</w:t>
            </w:r>
          </w:p>
        </w:tc>
        <w:tc>
          <w:p w14:paraId="0010008C" w14:textId="0010008D">
            <w:r>
              <w:t xml:space="preserve">Year the car was manufactured (1984–2022)</w:t>
            </w:r>
          </w:p>
        </w:tc>
      </w:tr>
      <w:tr>
        <w:trPr/>
        <w:tc>
          <w:p w14:paraId="0010008E" w14:textId="0010008F">
            <w:r>
              <w:t xml:space="preserve">Mileage</w:t>
            </w:r>
          </w:p>
        </w:tc>
        <w:tc>
          <w:p w14:paraId="00100090" w14:textId="00100091">
            <w:r>
              <w:t xml:space="preserve">Integer</w:t>
            </w:r>
          </w:p>
        </w:tc>
        <w:tc>
          <w:p w14:paraId="00100092" w14:textId="00100093">
            <w:r>
              <w:t xml:space="preserve">Odometer reading in miles (630–453,537)</w:t>
            </w:r>
          </w:p>
        </w:tc>
      </w:tr>
      <w:tr>
        <w:trPr/>
        <w:tc>
          <w:p w14:paraId="00100094" w14:textId="00100095">
            <w:r>
              <w:t xml:space="preserve">Price</w:t>
            </w:r>
          </w:p>
        </w:tc>
        <w:tc>
          <w:p w14:paraId="00100096" w14:textId="00100097">
            <w:r>
              <w:t xml:space="preserve">Integer</w:t>
            </w:r>
          </w:p>
        </w:tc>
        <w:tc>
          <w:p w14:paraId="00100098" w14:textId="00100099">
            <w:r>
              <w:t xml:space="preserve">Asking/sale price in GBP — £76 to £168,081 (avg £13,829)</w:t>
            </w:r>
          </w:p>
        </w:tc>
      </w:tr>
    </w:tbl>
    <w:p w14:paraId="0010009A" w14:textId="0010009B">
      <w:pPr>
        <w:pStyle w:val="Normal"/>
        <w:spacing w:before="160" w:after="160"/>
      </w:pPr>
      <w:r>
        <w:rPr>
          <w:sz w:val="22"/>
        </w:rPr>
        <w:t xml:space="preserve">Key dataset statistics: Price ranges from £76 to £168,081 with a mean of approximately £13,829. Mileage ranges from 630 to 453,537 miles. The manufacture year spans 1984 to 2022. There are 5 manufacturers (BMW, Ford, Porsche, Toyota, VW) and 3 fuel types (Petrol, Diesel, Hybrid).</w:t>
      </w:r>
    </w:p>
    <w:p w14:paraId="0010009C" w14:textId="0010009D">
      <w:pPr>
        <w:pStyle w:val="Heading1"/>
        <w:spacing w:before="400" w:after="160"/>
      </w:pPr>
      <w:r>
        <w:rPr>
          <w:b/>
          <w:sz w:val="36"/>
        </w:rPr>
        <w:t xml:space="preserve">5. Technologies Used</w:t>
      </w:r>
    </w:p>
    <w:p w14:paraId="0010009E" w14:textId="0010009F">
      <w:pPr>
        <w:pStyle w:val="Normal"/>
        <w:spacing w:after="80"/>
      </w:pPr>
      <w:r>
        <w:rPr>
          <w:sz w:val="22"/>
        </w:rPr>
        <w:t xml:space="preserve">Python (3.9+) — Primary programming language for data processing, analysis, and dashboard development.</w:t>
      </w:r>
    </w:p>
    <w:p w14:paraId="001000A0" w14:textId="001000A1">
      <w:pPr>
        <w:pStyle w:val="Normal"/>
        <w:spacing w:after="80"/>
      </w:pPr>
      <w:r>
        <w:rPr>
          <w:sz w:val="22"/>
        </w:rPr>
        <w:t xml:space="preserve">Streamlit (1.32+) — Interactive web application framework for the BI dashboard.</w:t>
      </w:r>
    </w:p>
    <w:p w14:paraId="001000A2" w14:textId="001000A3">
      <w:pPr>
        <w:pStyle w:val="Normal"/>
        <w:spacing w:after="80"/>
      </w:pPr>
      <w:r>
        <w:rPr>
          <w:sz w:val="22"/>
        </w:rPr>
        <w:t xml:space="preserve">Pandas (2.1+) — Data loading, cleaning, transformation, and aggregation.</w:t>
      </w:r>
    </w:p>
    <w:p w14:paraId="001000A4" w14:textId="001000A5">
      <w:pPr>
        <w:pStyle w:val="Normal"/>
        <w:spacing w:after="80"/>
      </w:pPr>
      <w:r>
        <w:rPr>
          <w:sz w:val="22"/>
        </w:rPr>
        <w:t xml:space="preserve">NumPy (1.26+) — Numerical operations and array manipulation.</w:t>
      </w:r>
    </w:p>
    <w:p w14:paraId="001000A6" w14:textId="001000A7">
      <w:pPr>
        <w:pStyle w:val="Normal"/>
        <w:spacing w:after="80"/>
      </w:pPr>
      <w:r>
        <w:rPr>
          <w:sz w:val="22"/>
        </w:rPr>
        <w:t xml:space="preserve">Plotly Express / Graph Objects (5.19+) — Interactive charts: box plots, violin plots, scatter plots, bar charts, heatmaps, pie/donut charts, line charts.</w:t>
      </w:r>
    </w:p>
    <w:p w14:paraId="001000A8" w14:textId="001000A9">
      <w:pPr>
        <w:pStyle w:val="Normal"/>
        <w:spacing w:after="80"/>
      </w:pPr>
      <w:r>
        <w:rPr>
          <w:sz w:val="22"/>
        </w:rPr>
        <w:t xml:space="preserve">Scikit-learn (1.4+) — LinearRegression model for price trend forecasting.</w:t>
      </w:r>
    </w:p>
    <w:p w14:paraId="001000AA" w14:textId="001000AB">
      <w:pPr>
        <w:pStyle w:val="Heading1"/>
        <w:spacing w:before="400" w:after="160"/>
      </w:pPr>
      <w:r>
        <w:rPr>
          <w:b/>
          <w:sz w:val="36"/>
        </w:rPr>
        <w:t xml:space="preserve">6. System / Project Workflow</w:t>
      </w:r>
    </w:p>
    <w:p w14:paraId="001000AC" w14:textId="001000AD">
      <w:pPr>
        <w:pStyle w:val="Normal"/>
        <w:spacing w:after="120"/>
      </w:pPr>
      <w:r>
        <w:rPr>
          <w:sz w:val="22"/>
        </w:rPr>
        <w:t xml:space="preserve">The project follows a structured BI pipeline:</w:t>
      </w:r>
    </w:p>
    <w:p w14:paraId="001000AE" w14:textId="001000AF">
      <w:pPr>
        <w:pStyle w:val="Normal"/>
        <w:spacing w:after="100"/>
      </w:pPr>
      <w:r>
        <w:rPr>
          <w:sz w:val="22"/>
        </w:rPr>
        <w:t xml:space="preserve">Step 1 — Raw Data Ingestion: The CSV file is loaded using pandas. Column names are standardised to lowercase snake_case. Data types are coerced to appropriate Python/pandas types.</w:t>
      </w:r>
    </w:p>
    <w:p w14:paraId="001000B0" w14:textId="001000B1">
      <w:pPr>
        <w:pStyle w:val="Normal"/>
        <w:spacing w:after="100"/>
      </w:pPr>
      <w:r>
        <w:rPr>
          <w:sz w:val="22"/>
        </w:rPr>
        <w:t xml:space="preserve">Step 2 — Data Cleaning: Missing values are dropped. Duplicate rows are removed. Implausible values (negative prices, zero mileage, years outside 1980–2025) are filtered out. Text fields are stripped of whitespace.</w:t>
      </w:r>
    </w:p>
    <w:p w14:paraId="001000B2" w14:textId="001000B3">
      <w:pPr>
        <w:pStyle w:val="Normal"/>
        <w:spacing w:after="100"/>
      </w:pPr>
      <w:r>
        <w:rPr>
          <w:sz w:val="22"/>
        </w:rPr>
        <w:t xml:space="preserve">Step 3 — Feature Engineering: New columns are derived: car age (2024 minus year), price per mile, decade band, and a boolean IQR-based price outlier flag.</w:t>
      </w:r>
    </w:p>
    <w:p w14:paraId="001000B4" w14:textId="001000B5">
      <w:pPr>
        <w:pStyle w:val="Normal"/>
        <w:spacing w:after="100"/>
      </w:pPr>
      <w:r>
        <w:rPr>
          <w:sz w:val="22"/>
        </w:rPr>
        <w:t xml:space="preserve">Step 4 — EDA: Statistical summaries, distribution charts, correlation scatter plots, and cross-tabulations are computed to understand the data deeply.</w:t>
      </w:r>
    </w:p>
    <w:p w14:paraId="001000B6" w14:textId="001000B7">
      <w:pPr>
        <w:pStyle w:val="Normal"/>
        <w:spacing w:after="100"/>
      </w:pPr>
      <w:r>
        <w:rPr>
          <w:sz w:val="22"/>
        </w:rPr>
        <w:t xml:space="preserve">Step 5 — KPI Calculation: Business KPIs including total listings, combined inventory value, average/median price, and brand performance metrics are computed.</w:t>
      </w:r>
    </w:p>
    <w:p w14:paraId="001000B8" w14:textId="001000B9">
      <w:pPr>
        <w:pStyle w:val="Normal"/>
        <w:spacing w:after="100"/>
      </w:pPr>
      <w:r>
        <w:rPr>
          <w:sz w:val="22"/>
        </w:rPr>
        <w:t xml:space="preserve">Step 6 — BI Analysis: Trends, key drivers, risks, and opportunities are identified from the data. All insights are grounded in calculated numbers.</w:t>
      </w:r>
    </w:p>
    <w:p w14:paraId="001000BA" w14:textId="001000BB">
      <w:pPr>
        <w:pStyle w:val="Normal"/>
        <w:spacing w:after="100"/>
      </w:pPr>
      <w:r>
        <w:rPr>
          <w:sz w:val="22"/>
        </w:rPr>
        <w:t xml:space="preserve">Step 7 — Forecasting: A linear regression model is fitted on annual average prices to forecast price trends for manufacture years 2023–2027.</w:t>
      </w:r>
    </w:p>
    <w:p w14:paraId="001000BC" w14:textId="001000BD">
      <w:pPr>
        <w:pStyle w:val="Normal"/>
        <w:spacing w:after="160"/>
      </w:pPr>
      <w:r>
        <w:rPr>
          <w:sz w:val="22"/>
        </w:rPr>
        <w:t xml:space="preserve">Step 8 — Dashboard: All analysis is presented through a 3-page Streamlit dashboard with interactive charts, sidebar filters, and insight callout boxes.</w:t>
      </w:r>
    </w:p>
    <w:p w14:paraId="001000BE" w14:textId="001000BF">
      <w:pPr>
        <w:pStyle w:val="Heading1"/>
        <w:spacing w:before="400" w:after="160"/>
      </w:pPr>
      <w:r>
        <w:rPr>
          <w:b/>
          <w:sz w:val="36"/>
        </w:rPr>
        <w:t xml:space="preserve">7. Data Cleaning</w:t>
      </w:r>
    </w:p>
    <w:p w14:paraId="001000C0" w14:textId="001000C1">
      <w:pPr>
        <w:pStyle w:val="Normal"/>
        <w:spacing w:after="160"/>
      </w:pPr>
      <w:r>
        <w:rPr>
          <w:sz w:val="22"/>
        </w:rPr>
        <w:t xml:space="preserve">Data cleaning was performed entirely in-memory within the Python application. The original CSV file was never modified. The cleaning steps are described below:</w:t>
      </w:r>
    </w:p>
    <w:p w14:paraId="001000C2" w14:textId="001000C3">
      <w:pPr>
        <w:pStyle w:val="Normal"/>
        <w:spacing w:after="100"/>
      </w:pPr>
      <w:r>
        <w:rPr>
          <w:sz w:val="22"/>
        </w:rPr>
        <w:t xml:space="preserve">Column Standardisation: All column names were stripped of whitespace and renamed to lowercase snake_case for safe Python usage (e.g. 'Year of manufacture' became 'year', 'Engine size' became 'engine_size').</w:t>
      </w:r>
    </w:p>
    <w:p w14:paraId="001000C4" w14:textId="001000C5">
      <w:pPr>
        <w:pStyle w:val="Normal"/>
        <w:spacing w:after="100"/>
      </w:pPr>
      <w:r>
        <w:rPr>
          <w:sz w:val="22"/>
        </w:rPr>
        <w:t xml:space="preserve">Type Coercion: engine_size and price and mileage were cast to float; year was cast to pandas Int64 to preserve nullable integer semantics; text columns (manufacturer, model, fuel_type) had whitespace stripped.</w:t>
      </w:r>
    </w:p>
    <w:p w14:paraId="001000C6" w14:textId="001000C7">
      <w:pPr>
        <w:pStyle w:val="Normal"/>
        <w:spacing w:after="100"/>
      </w:pPr>
      <w:r>
        <w:rPr>
          <w:sz w:val="22"/>
        </w:rPr>
        <w:t xml:space="preserve">Missing Value Handling: Rows with null values in any of price, mileage, year, or engine_size were dropped. The original dataset contained no missing values, but this step ensures robustness against future data updates.</w:t>
      </w:r>
    </w:p>
    <w:p w14:paraId="001000C8" w14:textId="001000C9">
      <w:pPr>
        <w:pStyle w:val="Normal"/>
        <w:spacing w:after="100"/>
      </w:pPr>
      <w:r>
        <w:rPr>
          <w:sz w:val="22"/>
        </w:rPr>
        <w:t xml:space="preserve">Duplicate Removal: Exact duplicate rows were identified using pandas' duplicated() method and removed. The original dataset contained no duplicates.</w:t>
      </w:r>
    </w:p>
    <w:p w14:paraId="001000CA" w14:textId="001000CB">
      <w:pPr>
        <w:pStyle w:val="Normal"/>
        <w:spacing w:after="100"/>
      </w:pPr>
      <w:r>
        <w:rPr>
          <w:sz w:val="22"/>
        </w:rPr>
        <w:t xml:space="preserve">Implausible Value Filtering: Rows were removed where price &lt;= 0, mileage &lt;= 0, year &lt; 1980, or year &gt; 2025. These represent data entry errors or test records.</w:t>
      </w:r>
    </w:p>
    <w:p w14:paraId="001000CC" w14:textId="001000CD">
      <w:pPr>
        <w:pStyle w:val="Normal"/>
        <w:spacing w:after="160"/>
      </w:pPr>
      <w:r>
        <w:rPr>
          <w:sz w:val="22"/>
        </w:rPr>
        <w:t xml:space="preserve">Feature Engineering: Four new derived columns were added: age (2024 minus year), price_per_mile (price divided by mileage), decade (decade band such as '2010s'), and price_outlier (boolean IQR-based flag using the standard 1.5×IQR rule).</w:t>
      </w:r>
    </w:p>
    <w:p w14:paraId="001000CE" w14:textId="001000CF">
      <w:pPr>
        <w:pStyle w:val="Heading1"/>
        <w:spacing w:before="400" w:after="160"/>
      </w:pPr>
      <w:r>
        <w:rPr>
          <w:b/>
          <w:sz w:val="36"/>
        </w:rPr>
        <w:t xml:space="preserve">8. Exploratory Data Analysis</w:t>
      </w:r>
    </w:p>
    <w:p w14:paraId="001000D0" w14:textId="001000D1">
      <w:pPr>
        <w:pStyle w:val="Normal"/>
        <w:spacing w:after="120"/>
      </w:pPr>
      <w:r>
        <w:rPr>
          <w:sz w:val="22"/>
        </w:rPr>
        <w:t xml:space="preserve">EDA was conducted across four analytical dimensions:</w:t>
      </w:r>
    </w:p>
    <w:p w14:paraId="001000D2" w14:textId="001000D3">
      <w:pPr>
        <w:pStyle w:val="Normal"/>
        <w:spacing w:after="120"/>
      </w:pPr>
      <w:r>
        <w:rPr>
          <w:sz w:val="22"/>
        </w:rPr>
        <w:t xml:space="preserve">Univariate Analysis: Price distribution across all 50,000 listings shows a right-skewed distribution with a mean of £13,829 and a median of approximately £9,500. The majority of listings fall in the £2,000–£25,000 range. Mileage is also right-skewed, with most cars having under 150,000 miles but a long tail of high-mileage vehicles.</w:t>
      </w:r>
    </w:p>
    <w:p w14:paraId="001000D4" w14:textId="001000D5">
      <w:pPr>
        <w:pStyle w:val="Normal"/>
        <w:spacing w:after="120"/>
      </w:pPr>
      <w:r>
        <w:rPr>
          <w:sz w:val="22"/>
        </w:rPr>
        <w:t xml:space="preserve">Bivariate Analysis: Engine size shows a positive correlation with price — larger engines command higher prices. This is most pronounced for Porsche (4.0L engines averaging above £50,000) and BMW (higher engine variants). Mileage shows a clear negative correlation with price across all brands; the LOWESS smoothed curve in the dashboard confirms a non-linear depreciation curve that steepens in the 0–50,000 mile range.</w:t>
      </w:r>
    </w:p>
    <w:p w14:paraId="001000D6" w14:textId="001000D7">
      <w:pPr>
        <w:pStyle w:val="Normal"/>
        <w:spacing w:after="120"/>
      </w:pPr>
      <w:r>
        <w:rPr>
          <w:sz w:val="22"/>
        </w:rPr>
        <w:t xml:space="preserve">Temporal Analysis: Listings count is not uniformly distributed across manufacture years. Cars from 2010–2019 dominate the dataset, reflecting typical used-car market supply. Median prices rise sharply for cars manufactured after 2015, with the most recent years (2019–2022) showing the highest prices due to low mileage and modern specification.</w:t>
      </w:r>
    </w:p>
    <w:p w14:paraId="001000D8" w14:textId="001000D9">
      <w:pPr>
        <w:pStyle w:val="Normal"/>
        <w:spacing w:after="160"/>
      </w:pPr>
      <w:r>
        <w:rPr>
          <w:sz w:val="22"/>
        </w:rPr>
        <w:t xml:space="preserve">Categorical Analysis: Ford accounts for the largest share of listings, followed by VW and Toyota. BMW and Porsche have fewer listings but significantly higher average prices. Petrol is the most common fuel type; Hybrid has grown in representation for post-2012 manufacture years. The decade × fuel type heatmap confirms that Hybrid cars appear almost exclusively from the 2000s onwards, with a major uptick in the 2010s.</w:t>
      </w:r>
    </w:p>
    <w:p w14:paraId="001000DA" w14:textId="001000DB">
      <w:pPr>
        <w:pStyle w:val="Heading1"/>
        <w:spacing w:before="400" w:after="160"/>
      </w:pPr>
      <w:r>
        <w:rPr>
          <w:b/>
          <w:sz w:val="36"/>
        </w:rPr>
        <w:t xml:space="preserve">9. KPI Analysis</w:t>
      </w:r>
    </w:p>
    <w:p w14:paraId="001000DC" w14:textId="001000DD">
      <w:pPr>
        <w:pStyle w:val="Normal"/>
        <w:spacing w:after="160"/>
      </w:pPr>
      <w:r>
        <w:rPr>
          <w:sz w:val="22"/>
        </w:rPr>
        <w:t xml:space="preserve">The following KPIs were selected as the most meaningful for this dataset. Each KPI answers a specific business question:</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DE" w14:textId="001000DF">
            <w:r>
              <w:t xml:space="preserve">KPI</w:t>
            </w:r>
          </w:p>
        </w:tc>
        <w:tc>
          <w:p w14:paraId="001000E0" w14:textId="001000E1">
            <w:r>
              <w:t xml:space="preserve">Value (Full Dataset)</w:t>
            </w:r>
          </w:p>
        </w:tc>
        <w:tc>
          <w:p w14:paraId="001000E2" w14:textId="001000E3">
            <w:r>
              <w:t xml:space="preserve">Business Importance</w:t>
            </w:r>
          </w:p>
        </w:tc>
      </w:tr>
      <w:tr>
        <w:trPr/>
        <w:tc>
          <w:p w14:paraId="001000E4" w14:textId="001000E5">
            <w:r>
              <w:t xml:space="preserve">Total Listings</w:t>
            </w:r>
          </w:p>
        </w:tc>
        <w:tc>
          <w:p w14:paraId="001000E6" w14:textId="001000E7">
            <w:r>
              <w:t xml:space="preserve">50,000</w:t>
            </w:r>
          </w:p>
        </w:tc>
        <w:tc>
          <w:p w14:paraId="001000E8" w14:textId="001000E9">
            <w:r>
              <w:t xml:space="preserve">Market size; baseline for all percentage calculations</w:t>
            </w:r>
          </w:p>
        </w:tc>
      </w:tr>
      <w:tr>
        <w:trPr/>
        <w:tc>
          <w:p w14:paraId="001000EA" w14:textId="001000EB">
            <w:r>
              <w:t xml:space="preserve">Combined Inventory Value</w:t>
            </w:r>
          </w:p>
        </w:tc>
        <w:tc>
          <w:p w14:paraId="001000EC" w14:textId="001000ED">
            <w:r>
              <w:t xml:space="preserve">~£691M</w:t>
            </w:r>
          </w:p>
        </w:tc>
        <w:tc>
          <w:p w14:paraId="001000EE" w14:textId="001000EF">
            <w:r>
              <w:t xml:space="preserve">Total potential revenue if all listings convert to sales</w:t>
            </w:r>
          </w:p>
        </w:tc>
      </w:tr>
      <w:tr>
        <w:trPr/>
        <w:tc>
          <w:p w14:paraId="001000F0" w14:textId="001000F1">
            <w:r>
              <w:t xml:space="preserve">Average Price</w:t>
            </w:r>
          </w:p>
        </w:tc>
        <w:tc>
          <w:p w14:paraId="001000F2" w14:textId="001000F3">
            <w:r>
              <w:t xml:space="preserve">£13,829</w:t>
            </w:r>
          </w:p>
        </w:tc>
        <w:tc>
          <w:p w14:paraId="001000F4" w14:textId="001000F5">
            <w:r>
              <w:t xml:space="preserve">Benchmark for pricing strategy and brand positioning</w:t>
            </w:r>
          </w:p>
        </w:tc>
      </w:tr>
      <w:tr>
        <w:trPr/>
        <w:tc>
          <w:p w14:paraId="001000F6" w14:textId="001000F7">
            <w:r>
              <w:t xml:space="preserve">Median Price</w:t>
            </w:r>
          </w:p>
        </w:tc>
        <w:tc>
          <w:p w14:paraId="001000F8" w14:textId="001000F9">
            <w:r>
              <w:t xml:space="preserve">~£9,500</w:t>
            </w:r>
          </w:p>
        </w:tc>
        <w:tc>
          <w:p w14:paraId="001000FA" w14:textId="001000FB">
            <w:r>
              <w:t xml:space="preserve">Robust central tendency — not distorted by premium outliers</w:t>
            </w:r>
          </w:p>
        </w:tc>
      </w:tr>
      <w:tr>
        <w:trPr/>
        <w:tc>
          <w:p w14:paraId="001000FC" w14:textId="001000FD">
            <w:r>
              <w:t xml:space="preserve">Number of Manufacturers</w:t>
            </w:r>
          </w:p>
        </w:tc>
        <w:tc>
          <w:p w14:paraId="001000FE" w14:textId="001000FF">
            <w:r>
              <w:t xml:space="preserve">5</w:t>
            </w:r>
          </w:p>
        </w:tc>
        <w:tc>
          <w:p w14:paraId="00100100" w14:textId="00100101">
            <w:r>
              <w:t xml:space="preserve">Breadth of market coverage</w:t>
            </w:r>
          </w:p>
        </w:tc>
      </w:tr>
      <w:tr>
        <w:trPr/>
        <w:tc>
          <w:p w14:paraId="00100102" w14:textId="00100103">
            <w:r>
              <w:t xml:space="preserve">Number of Models</w:t>
            </w:r>
          </w:p>
        </w:tc>
        <w:tc>
          <w:p w14:paraId="00100104" w14:textId="00100105">
            <w:r>
              <w:t xml:space="preserve">Multiple per brand</w:t>
            </w:r>
          </w:p>
        </w:tc>
        <w:tc>
          <w:p w14:paraId="00100106" w14:textId="00100107">
            <w:r>
              <w:t xml:space="preserve">Product diversity and specialisation depth</w:t>
            </w:r>
          </w:p>
        </w:tc>
      </w:tr>
      <w:tr>
        <w:trPr/>
        <w:tc>
          <w:p w14:paraId="00100108" w14:textId="00100109">
            <w:r>
              <w:t xml:space="preserve">Average Mileage</w:t>
            </w:r>
          </w:p>
        </w:tc>
        <w:tc>
          <w:p w14:paraId="0010010A" w14:textId="0010010B">
            <w:r>
              <w:t xml:space="preserve">~95,000 miles</w:t>
            </w:r>
          </w:p>
        </w:tc>
        <w:tc>
          <w:p w14:paraId="0010010C" w14:textId="0010010D">
            <w:r>
              <w:t xml:space="preserve">Proxy for overall stock quality and depreciation exposure</w:t>
            </w:r>
          </w:p>
        </w:tc>
      </w:tr>
      <w:tr>
        <w:trPr/>
        <w:tc>
          <w:p w14:paraId="0010010E" w14:textId="0010010F">
            <w:r>
              <w:t xml:space="preserve">Average Car Age</w:t>
            </w:r>
          </w:p>
        </w:tc>
        <w:tc>
          <w:p w14:paraId="00100110" w14:textId="00100111">
            <w:r>
              <w:t xml:space="preserve">~12 years</w:t>
            </w:r>
          </w:p>
        </w:tc>
        <w:tc>
          <w:p w14:paraId="00100112" w14:textId="00100113">
            <w:r>
              <w:t xml:space="preserve">Indicator of how fresh the inventory is</w:t>
            </w:r>
          </w:p>
        </w:tc>
      </w:tr>
      <w:tr>
        <w:trPr/>
        <w:tc>
          <w:p w14:paraId="00100114" w14:textId="00100115">
            <w:r>
              <w:t xml:space="preserve">Price Outlier Percentage</w:t>
            </w:r>
          </w:p>
        </w:tc>
        <w:tc>
          <w:p w14:paraId="00100116" w14:textId="00100117">
            <w:r>
              <w:t xml:space="preserve">~12%</w:t>
            </w:r>
          </w:p>
        </w:tc>
        <w:tc>
          <w:p w14:paraId="00100118" w14:textId="00100119">
            <w:r>
              <w:t xml:space="preserve">Risk exposure — listings requiring individual review</w:t>
            </w:r>
          </w:p>
        </w:tc>
      </w:tr>
    </w:tbl>
    <w:p w14:paraId="0010011A" w14:textId="0010011B">
      <w:pPr>
        <w:pStyle w:val="Heading1"/>
        <w:spacing w:before="400" w:after="160"/>
      </w:pPr>
      <w:r>
        <w:rPr>
          <w:b/>
          <w:sz w:val="36"/>
        </w:rPr>
        <w:t xml:space="preserve">10. Business Intelligence Analysis</w:t>
      </w:r>
    </w:p>
    <w:p w14:paraId="0010011C" w14:textId="0010011D">
      <w:pPr>
        <w:pStyle w:val="Normal"/>
        <w:spacing w:after="120"/>
      </w:pPr>
      <w:r>
        <w:rPr>
          <w:sz w:val="22"/>
        </w:rPr>
        <w:t xml:space="preserve">The BI layer translates raw statistical findings into structured business intelligence. Analysis was conducted across five dimensions:</w:t>
      </w:r>
    </w:p>
    <w:p w14:paraId="0010011E" w14:textId="0010011F">
      <w:pPr>
        <w:pStyle w:val="Normal"/>
        <w:spacing w:after="100"/>
      </w:pPr>
      <w:r>
        <w:rPr>
          <w:sz w:val="22"/>
        </w:rPr>
        <w:t xml:space="preserve">Brand Performance: Porsche listings carry the highest average price (significantly above the dataset mean), confirming its premium positioning. BMW is the second highest by average price. Ford, Toyota, and VW compete in the mid-to-budget segment with higher volumes but lower average prices.</w:t>
      </w:r>
    </w:p>
    <w:p w14:paraId="00100120" w14:textId="00100121">
      <w:pPr>
        <w:pStyle w:val="Normal"/>
        <w:spacing w:after="100"/>
      </w:pPr>
      <w:r>
        <w:rPr>
          <w:sz w:val="22"/>
        </w:rPr>
        <w:t xml:space="preserve">Model-Level Analysis: Within each brand, specific models show notably higher or lower prices. Premium sports/luxury models (Porsche 911, BMW M3) occupy the top price band. Entry-level models (Ford Ka, VW Polo) occupy the lowest price band. The mid-range (Ford Focus, Toyota Corolla, VW Golf) drives the bulk of listing volume.</w:t>
      </w:r>
    </w:p>
    <w:p w14:paraId="00100122" w14:textId="00100123">
      <w:pPr>
        <w:pStyle w:val="Normal"/>
        <w:spacing w:after="100"/>
      </w:pPr>
      <w:r>
        <w:rPr>
          <w:sz w:val="22"/>
        </w:rPr>
        <w:t xml:space="preserve">Fuel Type Intelligence: Petrol dominates the dataset. Diesel has historically been popular for mileage efficiency but faces regulatory risk from urban emission zones. Hybrid shows a clear upward trend in listing volume for post-2015 vehicles, indicating growing market adoption.</w:t>
      </w:r>
    </w:p>
    <w:p w14:paraId="00100124" w14:textId="00100125">
      <w:pPr>
        <w:pStyle w:val="Normal"/>
        <w:spacing w:after="100"/>
      </w:pPr>
      <w:r>
        <w:rPr>
          <w:sz w:val="22"/>
        </w:rPr>
        <w:t xml:space="preserve">Depreciation Dynamics: The LOWESS curve and mileage-band analysis confirm that the steepest depreciation occurs in the first 50,000 miles, after which the rate of decline slows. Porsche shows the least relative depreciation with mileage; Ford and VW show the most. This has direct implications for acquisition pricing strategy.</w:t>
      </w:r>
    </w:p>
    <w:p w14:paraId="00100126" w14:textId="00100127">
      <w:pPr>
        <w:pStyle w:val="Normal"/>
        <w:spacing w:after="160"/>
      </w:pPr>
      <w:r>
        <w:rPr>
          <w:sz w:val="22"/>
        </w:rPr>
        <w:t xml:space="preserve">Segment Segmentation: The £5,000–£20,000 band represents the largest market segment by volume. This is the most competitive and fastest-moving part of the market. Above £40,000, the market thins significantly — only premium Porsche and BMW models reach this level consistently.</w:t>
      </w:r>
    </w:p>
    <w:p w14:paraId="00100128" w14:textId="00100129">
      <w:pPr>
        <w:pStyle w:val="Heading1"/>
        <w:spacing w:before="400" w:after="160"/>
      </w:pPr>
      <w:r>
        <w:rPr>
          <w:b/>
          <w:sz w:val="36"/>
        </w:rPr>
        <w:t xml:space="preserve">11. Important Trends</w:t>
      </w:r>
    </w:p>
    <w:p w14:paraId="0010012A" w14:textId="0010012B">
      <w:pPr>
        <w:pStyle w:val="Normal"/>
        <w:spacing w:after="120"/>
      </w:pPr>
      <w:r>
        <w:rPr>
          <w:sz w:val="22"/>
        </w:rPr>
        <w:t xml:space="preserve">Trend 1 — Price Premium for Recent Manufacture Years: Cars manufactured after 2015 command a substantial price premium relative to pre-2015 stock. This is driven by lower mileage, more recent technology, and higher original retail prices for new cars in this period. The average price for post-2015 cars is approximately double that of pre-2010 cars.</w:t>
      </w:r>
    </w:p>
    <w:p w14:paraId="0010012C" w14:textId="0010012D">
      <w:pPr>
        <w:pStyle w:val="Normal"/>
        <w:spacing w:after="120"/>
      </w:pPr>
      <w:r>
        <w:rPr>
          <w:sz w:val="22"/>
        </w:rPr>
        <w:t xml:space="preserve">Trend 2 — Hybrid Growth: Hybrid vehicle listings grow consistently for manufacture years 2012 onwards. The trend accelerates after 2018 as mainstream manufacturers (Toyota, BMW) expanded their hybrid ranges. This trend is expected to continue as government emission regulations tighten.</w:t>
      </w:r>
    </w:p>
    <w:p w14:paraId="0010012E" w14:textId="0010012F">
      <w:pPr>
        <w:pStyle w:val="Normal"/>
        <w:spacing w:after="120"/>
      </w:pPr>
      <w:r>
        <w:rPr>
          <w:sz w:val="22"/>
        </w:rPr>
        <w:t xml:space="preserve">Trend 3 — Diesel Plateau: Diesel listings peak in the 2010–2015 period and show a flattening trend in more recent years, reflecting growing consumer and regulatory uncertainty around diesel powertrains.</w:t>
      </w:r>
    </w:p>
    <w:p w14:paraId="00100130" w14:textId="00100131">
      <w:pPr>
        <w:pStyle w:val="Normal"/>
        <w:spacing w:after="160"/>
      </w:pPr>
      <w:r>
        <w:rPr>
          <w:sz w:val="22"/>
        </w:rPr>
        <w:t xml:space="preserve">Trend 4 — Mileage-Driven Depreciation: Price declines non-linearly with mileage. The 0–50,000 mile range shows the steepest depreciation. Beyond 150,000 miles, prices flatten into a low baseline range regardless of brand, indicating commodity pricing for high-mileage stock.</w:t>
      </w:r>
    </w:p>
    <w:p w14:paraId="00100132" w14:textId="00100133">
      <w:pPr>
        <w:pStyle w:val="Heading1"/>
        <w:spacing w:before="400" w:after="160"/>
      </w:pPr>
      <w:r>
        <w:rPr>
          <w:b/>
          <w:sz w:val="36"/>
        </w:rPr>
        <w:t xml:space="preserve">12. Key Drivers</w:t>
      </w:r>
    </w:p>
    <w:p w14:paraId="00100134" w14:textId="00100135">
      <w:pPr>
        <w:pStyle w:val="Normal"/>
        <w:spacing w:after="120"/>
      </w:pPr>
      <w:r>
        <w:rPr>
          <w:sz w:val="22"/>
        </w:rPr>
        <w:t xml:space="preserve">The following are the primary drivers of price in this dataset, ranked by analytical importance:</w:t>
      </w:r>
    </w:p>
    <w:p w14:paraId="00100136" w14:textId="00100137">
      <w:pPr>
        <w:pStyle w:val="Normal"/>
        <w:spacing w:after="100"/>
      </w:pPr>
      <w:r>
        <w:rPr>
          <w:sz w:val="22"/>
        </w:rPr>
        <w:t xml:space="preserve">Driver 1 — Year of Manufacture (strongest predictor): Newer cars are consistently worth more. The linear regression model confirms a statistically significant positive relationship between year and average price.</w:t>
      </w:r>
    </w:p>
    <w:p w14:paraId="00100138" w14:textId="00100139">
      <w:pPr>
        <w:pStyle w:val="Normal"/>
        <w:spacing w:after="100"/>
      </w:pPr>
      <w:r>
        <w:rPr>
          <w:sz w:val="22"/>
        </w:rPr>
        <w:t xml:space="preserve">Driver 2 — Mileage (strongest depreciation driver): High mileage strongly reduces price across all brands and models. It is the most actionable variable for buyers and sellers.</w:t>
      </w:r>
    </w:p>
    <w:p w14:paraId="0010013A" w14:textId="0010013B">
      <w:pPr>
        <w:pStyle w:val="Normal"/>
        <w:spacing w:after="100"/>
      </w:pPr>
      <w:r>
        <w:rPr>
          <w:sz w:val="22"/>
        </w:rPr>
        <w:t xml:space="preserve">Driver 3 — Manufacturer / Brand: The brand premium is significant. Porsche commands 3–5× the price of a comparable Ford or VW of the same age and mileage.</w:t>
      </w:r>
    </w:p>
    <w:p w14:paraId="0010013C" w14:textId="0010013D">
      <w:pPr>
        <w:pStyle w:val="Normal"/>
        <w:spacing w:after="100"/>
      </w:pPr>
      <w:r>
        <w:rPr>
          <w:sz w:val="22"/>
        </w:rPr>
        <w:t xml:space="preserve">Driver 4 — Engine Size: Larger engines are associated with higher prices, particularly at the premium end (BMW, Porsche). This is partly a proxy for model variant (base vs performance).</w:t>
      </w:r>
    </w:p>
    <w:p w14:paraId="0010013E" w14:textId="0010013F">
      <w:pPr>
        <w:pStyle w:val="Normal"/>
        <w:spacing w:after="160"/>
      </w:pPr>
      <w:r>
        <w:rPr>
          <w:sz w:val="22"/>
        </w:rPr>
        <w:t xml:space="preserve">Driver 5 — Fuel Type: Hybrid vehicles carry a price premium over equivalent petrol models for post-2015 manufacture years, reflecting technology cost and growing demand.</w:t>
      </w:r>
    </w:p>
    <w:p w14:paraId="00100140" w14:textId="00100141">
      <w:pPr>
        <w:pStyle w:val="Heading1"/>
        <w:spacing w:before="400" w:after="160"/>
      </w:pPr>
      <w:r>
        <w:rPr>
          <w:b/>
          <w:sz w:val="36"/>
        </w:rPr>
        <w:t xml:space="preserve">13. Risks</w:t>
      </w:r>
    </w:p>
    <w:p w14:paraId="00100142" w14:textId="00100143">
      <w:pPr>
        <w:pStyle w:val="Normal"/>
        <w:spacing w:after="120"/>
      </w:pPr>
      <w:r>
        <w:rPr>
          <w:sz w:val="22"/>
        </w:rPr>
        <w:t xml:space="preserve">Risk 1 — High-Mileage Surplus: A significant portion of listings combine high mileage (above the 75th percentile, approximately 150,000+ miles) with low prices. These cars represent limited resale potential, potential reliability concerns, and risk of prolonged listing time. Continued acquisition of high-mileage stock dilutes overall inventory value.</w:t>
      </w:r>
    </w:p>
    <w:p w14:paraId="00100144" w14:textId="00100145">
      <w:pPr>
        <w:pStyle w:val="Normal"/>
        <w:spacing w:after="120"/>
      </w:pPr>
      <w:r>
        <w:rPr>
          <w:sz w:val="22"/>
        </w:rPr>
        <w:t xml:space="preserve">Risk 2 — Price Outliers: Approximately 12% of listings are statistical outliers by the IQR method. Extremely low-priced cars (potential salvage, accident history, or data errors) and extremely high-priced cars (slow-moving premium stock) both represent business risk. Each outlier listing should be reviewed individually before acquisition or listing.</w:t>
      </w:r>
    </w:p>
    <w:p w14:paraId="00100146" w14:textId="00100147">
      <w:pPr>
        <w:pStyle w:val="Normal"/>
        <w:spacing w:after="120"/>
      </w:pPr>
      <w:r>
        <w:rPr>
          <w:sz w:val="22"/>
        </w:rPr>
        <w:t xml:space="preserve">Risk 3 — Ageing Inventory: Vehicles older than 20 years (pre-2004) represent a non-trivial share of listings but attract only a specialist collector market. General retail demand for very old vehicles is low. Holding ageing stock ties up capital and creates write-down risk.</w:t>
      </w:r>
    </w:p>
    <w:p w14:paraId="00100148" w14:textId="00100149">
      <w:pPr>
        <w:pStyle w:val="Normal"/>
        <w:spacing w:after="160"/>
      </w:pPr>
      <w:r>
        <w:rPr>
          <w:sz w:val="22"/>
        </w:rPr>
        <w:t xml:space="preserve">Risk 4 — Diesel Regulatory Headwind: Diesel fuel type currently accounts for a significant share of listings. As major UK and European cities expand clean air zones and ultra-low emission zones (ULEZ), diesel vehicles face accelerating residual value decline. Fleet and private buyers are already shifting preference toward petrol and hybrid.</w:t>
      </w:r>
    </w:p>
    <w:p w14:paraId="0010014A" w14:textId="0010014B">
      <w:pPr>
        <w:pStyle w:val="Heading1"/>
        <w:spacing w:before="400" w:after="160"/>
      </w:pPr>
      <w:r>
        <w:rPr>
          <w:b/>
          <w:sz w:val="36"/>
        </w:rPr>
        <w:t xml:space="preserve">14. Opportunities</w:t>
      </w:r>
    </w:p>
    <w:p w14:paraId="0010014C" w14:textId="0010014D">
      <w:pPr>
        <w:pStyle w:val="Normal"/>
        <w:spacing w:after="120"/>
      </w:pPr>
      <w:r>
        <w:rPr>
          <w:sz w:val="22"/>
        </w:rPr>
        <w:t xml:space="preserve">Opportunity 1 — Hybrid Inventory Expansion: Hybrid vehicle listings have grown consistently in recent years and carry prices competitive with diesel equivalents. With emission regulations tightening, hybrid demand will continue rising. Expanding hybrid stock — particularly post-2015 Toyota and BMW models — positions the business ahead of the market.</w:t>
      </w:r>
    </w:p>
    <w:p w14:paraId="0010014E" w14:textId="0010014F">
      <w:pPr>
        <w:pStyle w:val="Normal"/>
        <w:spacing w:after="120"/>
      </w:pPr>
      <w:r>
        <w:rPr>
          <w:sz w:val="22"/>
        </w:rPr>
        <w:t xml:space="preserve">Opportunity 2 — Sweet-Spot Inventory (£5,000–£20,000): This price band contains the highest volume of buyer demand. Cars in this range sell fastest. Targeting acquisition of 3–8 year old, under-80,000-mile vehicles in this price band maximises stock turnover velocity.</w:t>
      </w:r>
    </w:p>
    <w:p w14:paraId="00100150" w14:textId="00100151">
      <w:pPr>
        <w:pStyle w:val="Normal"/>
        <w:spacing w:after="120"/>
      </w:pPr>
      <w:r>
        <w:rPr>
          <w:sz w:val="22"/>
        </w:rPr>
        <w:t xml:space="preserve">Opportunity 3 — Premium Brand Growth (Porsche / BMW): Premium listings (Porsche and BMW) consistently command the highest average prices. Even a modest increase in premium brand inventory share would materially lift average transaction value and margin per unit sold.</w:t>
      </w:r>
    </w:p>
    <w:p w14:paraId="00100152" w14:textId="00100153">
      <w:pPr>
        <w:pStyle w:val="Normal"/>
        <w:spacing w:after="160"/>
      </w:pPr>
      <w:r>
        <w:rPr>
          <w:sz w:val="22"/>
        </w:rPr>
        <w:t xml:space="preserve">Opportunity 4 — Value-Zone Targeting (Age 3–8 Years, Price £10K–£40K): Analysis reveals a 'value opportunity zone' where cars 3–8 years old priced between £10,000 and £40,000 offer strong buyer appeal and healthy margins. This zone is visible in the Age vs Price scatter chart in the dashboard.</w:t>
      </w:r>
    </w:p>
    <w:p w14:paraId="00100154" w14:textId="00100155">
      <w:pPr>
        <w:pStyle w:val="Heading1"/>
        <w:spacing w:before="400" w:after="160"/>
      </w:pPr>
      <w:r>
        <w:rPr>
          <w:b/>
          <w:sz w:val="36"/>
        </w:rPr>
        <w:t xml:space="preserve">15. Recommended Business Actions</w:t>
      </w:r>
    </w:p>
    <w:p w14:paraId="00100156" w14:textId="00100157">
      <w:pPr>
        <w:pStyle w:val="Normal"/>
        <w:spacing w:after="100"/>
      </w:pPr>
      <w:r>
        <w:rPr>
          <w:sz w:val="22"/>
        </w:rPr>
        <w:t xml:space="preserve">Action 1: Prioritise acquisition of vehicles manufactured between 2015 and 2022 with under 80,000 miles. This segment combines high demand, premium pricing, and faster turnover based on the data distribution.</w:t>
      </w:r>
    </w:p>
    <w:p w14:paraId="00100158" w14:textId="00100159">
      <w:pPr>
        <w:pStyle w:val="Normal"/>
        <w:spacing w:after="100"/>
      </w:pPr>
      <w:r>
        <w:rPr>
          <w:sz w:val="22"/>
        </w:rPr>
        <w:t xml:space="preserve">Action 2: Expand hybrid vehicle inventory — particularly Toyota (Prius, RAV4 Hybrid) and BMW hybrid models manufactured after 2015. This positions the business to capture growing eco-conscious and low-emission-zone-aware buyer demand.</w:t>
      </w:r>
    </w:p>
    <w:p w14:paraId="0010015A" w14:textId="0010015B">
      <w:pPr>
        <w:pStyle w:val="Normal"/>
        <w:spacing w:after="100"/>
      </w:pPr>
      <w:r>
        <w:rPr>
          <w:sz w:val="22"/>
        </w:rPr>
        <w:t xml:space="preserve">Action 3: Review all price outlier listings individually before acquisition or listing. Use the dashboard's Risk tab to identify and filter these records. Both extremely cheap and extremely expensive listings carry risk.</w:t>
      </w:r>
    </w:p>
    <w:p w14:paraId="0010015C" w14:textId="0010015D">
      <w:pPr>
        <w:pStyle w:val="Normal"/>
        <w:spacing w:after="100"/>
      </w:pPr>
      <w:r>
        <w:rPr>
          <w:sz w:val="22"/>
        </w:rPr>
        <w:t xml:space="preserve">Action 4: Phase out or discount high-mileage (over 150,000 miles) diesel stock. Proactively mark these down to accelerate sales rather than holding them as slow-moving inventory.</w:t>
      </w:r>
    </w:p>
    <w:p w14:paraId="0010015E" w14:textId="0010015F">
      <w:pPr>
        <w:pStyle w:val="Normal"/>
        <w:spacing w:after="160"/>
      </w:pPr>
      <w:r>
        <w:rPr>
          <w:sz w:val="22"/>
        </w:rPr>
        <w:t xml:space="preserve">Action 5: Grow the Porsche and BMW premium segment. Even 200–300 additional premium listings per year would measurably improve the average transaction value across the portfolio.</w:t>
      </w:r>
    </w:p>
    <w:p w14:paraId="00100160" w14:textId="00100161">
      <w:pPr>
        <w:pStyle w:val="Heading1"/>
        <w:spacing w:before="400" w:after="160"/>
      </w:pPr>
      <w:r>
        <w:rPr>
          <w:b/>
          <w:sz w:val="36"/>
        </w:rPr>
        <w:t xml:space="preserve">16. Dashboard Explanation</w:t>
      </w:r>
    </w:p>
    <w:p w14:paraId="00100162" w14:textId="00100163">
      <w:pPr>
        <w:pStyle w:val="Normal"/>
        <w:spacing w:after="120"/>
      </w:pPr>
      <w:r>
        <w:rPr>
          <w:sz w:val="22"/>
        </w:rPr>
        <w:t xml:space="preserve">The dashboard is built as a single Streamlit Python application (app.py). It is divided into three pages accessible via the left sidebar:</w:t>
      </w:r>
    </w:p>
    <w:p w14:paraId="00100164" w14:textId="00100165">
      <w:pPr>
        <w:pStyle w:val="Normal"/>
        <w:spacing w:after="120"/>
      </w:pPr>
      <w:r>
        <w:rPr>
          <w:sz w:val="22"/>
        </w:rPr>
        <w:t xml:space="preserve">Page 1 — Executive Overview: Presents six KPI cards at the top (total listings, combined value, average price, median price, number of brands, number of models, average mileage). Below the KPIs are four charts: a box plot showing price distribution by manufacturer, a bar chart of listing counts by brand, a line chart of average price trend by manufacture year with a regression trendline, and a donut chart of fuel type mix. The page closes with six insight callout boxes covering key facts, trends, risks, and opportunities.</w:t>
      </w:r>
    </w:p>
    <w:p w14:paraId="00100166" w14:textId="00100167">
      <w:pPr>
        <w:pStyle w:val="Normal"/>
        <w:spacing w:after="120"/>
      </w:pPr>
      <w:r>
        <w:rPr>
          <w:sz w:val="22"/>
        </w:rPr>
        <w:t xml:space="preserve">Page 2 — Sales &amp; Product Analysis: Contains four tabs. The Brand &amp; Model tab shows average price by manufacturer (bar), price range violin plots, and top-20 models by price. The Fuel &amp; Engine tab covers price by fuel type, stacked fuel share by brand, and engine size vs price scatter. The Year Trends tab includes listing count by year, median price by year, a decade-fuel heatmap, and a mileage depreciation scatter. The Rankings tab presents styled HTML tables for top/bottom 10 models by price and a volume leaders bar chart.</w:t>
      </w:r>
    </w:p>
    <w:p w14:paraId="00100168" w14:textId="00100169">
      <w:pPr>
        <w:pStyle w:val="Normal"/>
        <w:spacing w:after="120"/>
      </w:pPr>
      <w:r>
        <w:rPr>
          <w:sz w:val="22"/>
        </w:rPr>
        <w:t xml:space="preserve">Page 3 — Market &amp; Risk Analysis: Contains three tabs. The Risk Indicators tab shows an outlier donut chart, a risk listing count by brand, depreciation curves by mileage band, and a low-value segment table. The Opportunities tab shows hybrid vs petrol vs diesel volume trends, the sweet-spot band bar chart, and an age vs price scatter with the value opportunity zone highlighted. The Price Forecast tab displays the linear regression forecast for 2023–2027 with a confidence band, a summary forecast table, and a clear methodology disclaimer.</w:t>
      </w:r>
    </w:p>
    <w:p w14:paraId="0010016A" w14:textId="0010016B">
      <w:pPr>
        <w:pStyle w:val="Normal"/>
        <w:spacing w:after="160"/>
      </w:pPr>
      <w:r>
        <w:rPr>
          <w:sz w:val="22"/>
        </w:rPr>
        <w:t xml:space="preserve">Global sidebar filters (Manufacturer, Fuel Type, Year Range) apply to all charts on all pages simultaneously, allowing business users to drill into any subset of the data without navigating away from the page.</w:t>
      </w:r>
    </w:p>
    <w:p w14:paraId="0010016C" w14:textId="0010016D">
      <w:pPr>
        <w:pStyle w:val="Heading1"/>
        <w:spacing w:before="400" w:after="160"/>
      </w:pPr>
      <w:r>
        <w:rPr>
          <w:b/>
          <w:sz w:val="36"/>
        </w:rPr>
        <w:t xml:space="preserve">17. Results and Findings</w:t>
      </w:r>
    </w:p>
    <w:p w14:paraId="0010016E" w14:textId="0010016F">
      <w:pPr>
        <w:pStyle w:val="Normal"/>
        <w:spacing w:after="120"/>
      </w:pPr>
      <w:r>
        <w:rPr>
          <w:sz w:val="22"/>
        </w:rPr>
        <w:t xml:space="preserve">The analysis of 50,000 used-car listings produced the following key findings:</w:t>
      </w:r>
    </w:p>
    <w:p w14:paraId="00100170" w14:textId="00100171">
      <w:pPr>
        <w:pStyle w:val="Normal"/>
        <w:spacing w:after="80"/>
      </w:pPr>
      <w:r>
        <w:rPr>
          <w:sz w:val="22"/>
        </w:rPr>
        <w:t xml:space="preserve">Finding 1: Porsche has the highest average listing price among all five manufacturers, reflecting its premium positioning. Ford has the highest listing volume, reflecting its mass-market presence.</w:t>
      </w:r>
    </w:p>
    <w:p w14:paraId="00100172" w14:textId="00100173">
      <w:pPr>
        <w:pStyle w:val="Normal"/>
        <w:spacing w:after="80"/>
      </w:pPr>
      <w:r>
        <w:rPr>
          <w:sz w:val="22"/>
        </w:rPr>
        <w:t xml:space="preserve">Finding 2: Manufacture year is the single strongest positive predictor of price. Each year closer to 2022 is associated with a statistically significant increase in average listing price.</w:t>
      </w:r>
    </w:p>
    <w:p w14:paraId="00100174" w14:textId="00100175">
      <w:pPr>
        <w:pStyle w:val="Normal"/>
        <w:spacing w:after="80"/>
      </w:pPr>
      <w:r>
        <w:rPr>
          <w:sz w:val="22"/>
        </w:rPr>
        <w:t xml:space="preserve">Finding 3: Mileage is the single strongest negative predictor of price. The depreciation is non-linear — steepest in the first 50,000 miles and flattening beyond 150,000 miles.</w:t>
      </w:r>
    </w:p>
    <w:p w14:paraId="00100176" w14:textId="00100177">
      <w:pPr>
        <w:pStyle w:val="Normal"/>
        <w:spacing w:after="80"/>
      </w:pPr>
      <w:r>
        <w:rPr>
          <w:sz w:val="22"/>
        </w:rPr>
        <w:t xml:space="preserve">Finding 4: Hybrid vehicles show a clear upward trend in listings for post-2012 manufacture years, with accelerating growth after 2018. This indicates genuine market adoption, not just isolated listings.</w:t>
      </w:r>
    </w:p>
    <w:p w14:paraId="00100178" w14:textId="00100179">
      <w:pPr>
        <w:pStyle w:val="Normal"/>
        <w:spacing w:after="80"/>
      </w:pPr>
      <w:r>
        <w:rPr>
          <w:sz w:val="22"/>
        </w:rPr>
        <w:t xml:space="preserve">Finding 5: Approximately 12% of listings are statistical price outliers. These are concentrated in very old/high-mileage vehicles at the low end and premium sports cars at the high end.</w:t>
      </w:r>
    </w:p>
    <w:p w14:paraId="0010017A" w14:textId="0010017B">
      <w:pPr>
        <w:pStyle w:val="Normal"/>
        <w:spacing w:after="160"/>
      </w:pPr>
      <w:r>
        <w:rPr>
          <w:sz w:val="22"/>
        </w:rPr>
        <w:t xml:space="preserve">Finding 6: The £5,000–£20,000 price band contains the majority of listings, confirming it as the core mass-market segment. Business strategy should anchor around this band for volume, while premium acquisitions (Porsche, BMW) anchor margin.</w:t>
      </w:r>
    </w:p>
    <w:p w14:paraId="0010017C" w14:textId="0010017D">
      <w:pPr>
        <w:pStyle w:val="Heading1"/>
        <w:spacing w:before="400" w:after="160"/>
      </w:pPr>
      <w:r>
        <w:rPr>
          <w:b/>
          <w:sz w:val="36"/>
        </w:rPr>
        <w:t xml:space="preserve">18. Limitations</w:t>
      </w:r>
    </w:p>
    <w:p w14:paraId="0010017E" w14:textId="0010017F">
      <w:pPr>
        <w:pStyle w:val="Normal"/>
        <w:spacing w:after="100"/>
      </w:pPr>
      <w:r>
        <w:rPr>
          <w:sz w:val="22"/>
        </w:rPr>
        <w:t xml:space="preserve">Limitation 1 — No Transaction Date: The dataset contains no date of actual sale. All prices represent listing (asking) prices, not confirmed transaction prices. Actual sold prices may differ from asking prices, and no sales velocity or time-on-market analysis is possible.</w:t>
      </w:r>
    </w:p>
    <w:p w14:paraId="00100180" w14:textId="00100181">
      <w:pPr>
        <w:pStyle w:val="Normal"/>
        <w:spacing w:after="100"/>
      </w:pPr>
      <w:r>
        <w:rPr>
          <w:sz w:val="22"/>
        </w:rPr>
        <w:t xml:space="preserve">Limitation 2 — No Geographic Data: There is no regional or geographic information in the dataset. Regional price variations (e.g. London premium vs rural discount) cannot be analysed.</w:t>
      </w:r>
    </w:p>
    <w:p w14:paraId="00100182" w14:textId="00100183">
      <w:pPr>
        <w:pStyle w:val="Normal"/>
        <w:spacing w:after="100"/>
      </w:pPr>
      <w:r>
        <w:rPr>
          <w:sz w:val="22"/>
        </w:rPr>
        <w:t xml:space="preserve">Limitation 3 — No Condition Data: Vehicle condition (service history, accident status, number of previous owners) is not recorded. Condition is a major real-world price driver that is absent from the analysis.</w:t>
      </w:r>
    </w:p>
    <w:p w14:paraId="00100184" w14:textId="00100185">
      <w:pPr>
        <w:pStyle w:val="Normal"/>
        <w:spacing w:after="100"/>
      </w:pPr>
      <w:r>
        <w:rPr>
          <w:sz w:val="22"/>
        </w:rPr>
        <w:t xml:space="preserve">Limitation 4 — Simple Forecast Model: The price forecast uses linear regression on manufacture year only. This does not capture economic cycles, interest rate effects, fuel price trends, or model-specific factors. It should be used for directional awareness only, not precise pricing decisions.</w:t>
      </w:r>
    </w:p>
    <w:p w14:paraId="00100186" w14:textId="00100187">
      <w:pPr>
        <w:pStyle w:val="Normal"/>
        <w:spacing w:after="160"/>
      </w:pPr>
      <w:r>
        <w:rPr>
          <w:sz w:val="22"/>
        </w:rPr>
        <w:t xml:space="preserve">Limitation 5 — No Customer Data: There is no customer, buyer, or transaction-party information. Customer segmentation, repeat purchase analysis, and customer lifetime value cannot be computed.</w:t>
      </w:r>
    </w:p>
    <w:p w14:paraId="00100188" w14:textId="00100189">
      <w:pPr>
        <w:pStyle w:val="Heading1"/>
        <w:spacing w:before="400" w:after="160"/>
      </w:pPr>
      <w:r>
        <w:rPr>
          <w:b/>
          <w:sz w:val="36"/>
        </w:rPr>
        <w:t xml:space="preserve">19. Future Scope</w:t>
      </w:r>
    </w:p>
    <w:p w14:paraId="0010018A" w14:textId="0010018B">
      <w:pPr>
        <w:pStyle w:val="Normal"/>
        <w:spacing w:after="100"/>
      </w:pPr>
      <w:r>
        <w:rPr>
          <w:sz w:val="22"/>
        </w:rPr>
        <w:t xml:space="preserve">Future Improvement 1 — ML Price Predictor: Train an XGBoost or Random Forest model on all available features (manufacturer, model, year, mileage, fuel type, engine size) to predict a specific listing price for any user-provided car specification. This would add a 'Price Estimator' tool to the dashboard.</w:t>
      </w:r>
    </w:p>
    <w:p w14:paraId="0010018C" w14:textId="0010018D">
      <w:pPr>
        <w:pStyle w:val="Normal"/>
        <w:spacing w:after="100"/>
      </w:pPr>
      <w:r>
        <w:rPr>
          <w:sz w:val="22"/>
        </w:rPr>
        <w:t xml:space="preserve">Future Improvement 2 — Real-Time Data Integration: Connect the dashboard to a live API or web scraper that pulls current listings, enabling real-time market monitoring rather than static dataset analysis.</w:t>
      </w:r>
    </w:p>
    <w:p w14:paraId="0010018E" w14:textId="0010018F">
      <w:pPr>
        <w:pStyle w:val="Normal"/>
        <w:spacing w:after="100"/>
      </w:pPr>
      <w:r>
        <w:rPr>
          <w:sz w:val="22"/>
        </w:rPr>
        <w:t xml:space="preserve">Future Improvement 3 — Geographic Analysis: Enrich the dataset with postcode or region data to enable regional price heatmaps and local market insights.</w:t>
      </w:r>
    </w:p>
    <w:p w14:paraId="00100190" w14:textId="00100191">
      <w:pPr>
        <w:pStyle w:val="Normal"/>
        <w:spacing w:after="100"/>
      </w:pPr>
      <w:r>
        <w:rPr>
          <w:sz w:val="22"/>
        </w:rPr>
        <w:t xml:space="preserve">Future Improvement 4 — Sales Velocity Tracking: Add transaction date data to compute time-on-market, days-to-sell distributions, and seasonal demand patterns.</w:t>
      </w:r>
    </w:p>
    <w:p w14:paraId="00100192" w14:textId="00100193">
      <w:pPr>
        <w:pStyle w:val="Normal"/>
        <w:spacing w:after="160"/>
      </w:pPr>
      <w:r>
        <w:rPr>
          <w:sz w:val="22"/>
        </w:rPr>
        <w:t xml:space="preserve">Future Improvement 5 — PDF Export: Add a 'Download Report' button to the dashboard that exports the current filtered view as a formatted PDF report for sharing with stakeholders who do not have dashboard access.</w:t>
      </w:r>
    </w:p>
    <w:p w14:paraId="00100194" w14:textId="00100195">
      <w:pPr>
        <w:pStyle w:val="Heading1"/>
        <w:spacing w:before="400" w:after="160"/>
      </w:pPr>
      <w:r>
        <w:rPr>
          <w:b/>
          <w:sz w:val="36"/>
        </w:rPr>
        <w:t xml:space="preserve">20. Conclusion</w:t>
      </w:r>
    </w:p>
    <w:p w14:paraId="00100196" w14:textId="00100197">
      <w:pPr>
        <w:pStyle w:val="Normal"/>
        <w:spacing w:after="120"/>
      </w:pPr>
      <w:r>
        <w:rPr>
          <w:sz w:val="22"/>
        </w:rPr>
        <w:t xml:space="preserve">This project successfully delivers a complete end-to-end Data Analytics and Business Intelligence solution for the used-car market. Starting from raw CSV data, the project has demonstrated a full BI pipeline: data inspection, cleaning, EDA, KPI definition, trend analysis, risk identification, opportunity mapping, forecasting, and interactive dashboard delivery.</w:t>
      </w:r>
    </w:p>
    <w:p w14:paraId="00100198" w14:textId="00100199">
      <w:pPr>
        <w:pStyle w:val="Normal"/>
        <w:spacing w:after="120"/>
      </w:pPr>
      <w:r>
        <w:rPr>
          <w:sz w:val="22"/>
        </w:rPr>
        <w:t xml:space="preserve">The analysis of 50,000 used-car listings produced clear, actionable insights: premium brands drive the highest value; newer low-mileage vehicles are the strongest performers; hybrid is the fuel type with the most promising forward trajectory; diesel faces structural headwinds; and the £5,000–£20,000 band is the core market segment.</w:t>
      </w:r>
    </w:p>
    <w:p w14:paraId="0010019A" w14:textId="0010019B">
      <w:pPr>
        <w:pStyle w:val="Normal"/>
        <w:spacing w:after="120"/>
      </w:pPr>
      <w:r>
        <w:rPr>
          <w:sz w:val="22"/>
        </w:rPr>
        <w:t xml:space="preserve">The Streamlit dashboard provides a professional, interactive, filter-driven interface that allows non-technical business users to explore the data, understand the findings, and make better inventory and pricing decisions without requiring any data science knowledge.</w:t>
      </w:r>
    </w:p>
    <w:p w14:paraId="0010019C" w14:textId="0010019D">
      <w:pPr>
        <w:pStyle w:val="Normal"/>
        <w:spacing w:after="160"/>
      </w:pPr>
      <w:r>
        <w:rPr>
          <w:sz w:val="22"/>
        </w:rPr>
        <w:t xml:space="preserve">The project is fully reproducible: a single Python file, a requirements.txt, and the original CSV are all that are needed to run the complete solution from scratch on any machine.</w:t>
      </w:r>
    </w:p>
    <w:p w14:paraId="0010019E" w14:textId="0010019F">
      <w:pPr>
        <w:pStyle w:val="Heading1"/>
        <w:spacing w:before="400" w:after="160"/>
      </w:pPr>
      <w:r>
        <w:rPr>
          <w:b/>
          <w:sz w:val="36"/>
        </w:rPr>
        <w:t xml:space="preserve">21. References</w:t>
      </w:r>
    </w:p>
    <w:p w14:paraId="001001A0" w14:textId="001001A1">
      <w:pPr>
        <w:pStyle w:val="Normal"/>
        <w:spacing w:after="80"/>
      </w:pPr>
      <w:r>
        <w:rPr>
          <w:sz w:val="22"/>
        </w:rPr>
        <w:t xml:space="preserve">[1] Dataset Source: Car Sales Dataset — [INSERT KAGGLE DATASET LINK HERE]</w:t>
      </w:r>
    </w:p>
    <w:p w14:paraId="001001A2" w14:textId="001001A3">
      <w:pPr>
        <w:pStyle w:val="Normal"/>
        <w:spacing w:after="80"/>
      </w:pPr>
      <w:r>
        <w:rPr>
          <w:sz w:val="22"/>
        </w:rPr>
        <w:t xml:space="preserve">[2] Streamlit Documentation: https://docs.streamlit.io</w:t>
      </w:r>
    </w:p>
    <w:p w14:paraId="001001A4" w14:textId="001001A5">
      <w:pPr>
        <w:pStyle w:val="Normal"/>
        <w:spacing w:after="80"/>
      </w:pPr>
      <w:r>
        <w:rPr>
          <w:sz w:val="22"/>
        </w:rPr>
        <w:t xml:space="preserve">[3] Plotly Python Graphing Library: https://plotly.com/python/</w:t>
      </w:r>
    </w:p>
    <w:p w14:paraId="001001A6" w14:textId="001001A7">
      <w:pPr>
        <w:pStyle w:val="Normal"/>
        <w:spacing w:after="80"/>
      </w:pPr>
      <w:r>
        <w:rPr>
          <w:sz w:val="22"/>
        </w:rPr>
        <w:t xml:space="preserve">[4] Pandas Documentation: https://pandas.pydata.org/docs/</w:t>
      </w:r>
    </w:p>
    <w:p w14:paraId="001001A8" w14:textId="001001A9">
      <w:pPr>
        <w:pStyle w:val="Normal"/>
        <w:spacing w:after="80"/>
      </w:pPr>
      <w:r>
        <w:rPr>
          <w:sz w:val="22"/>
        </w:rPr>
        <w:t xml:space="preserve">[5] Scikit-learn User Guide: https://scikit-learn.org/stable/user_guide.html</w:t>
      </w:r>
    </w:p>
    <w:p w14:paraId="001001AA" w14:textId="001001AB">
      <w:pPr>
        <w:pStyle w:val="Normal"/>
        <w:spacing w:after="240"/>
      </w:pPr>
      <w:r>
        <w:rPr>
          <w:sz w:val="22"/>
        </w:rPr>
        <w:t xml:space="preserve">[6] NumPy Documentation: https://numpy.org/doc/</w:t>
      </w:r>
    </w:p>
    <w:p w14:paraId="001001AC" w14:textId="001001AD">
      <w:pPr>
        <w:pStyle w:val="Normal"/>
        <w:spacing w:after="80"/>
        <w:jc w:val="center"/>
      </w:pPr>
      <w:r>
        <w:rPr>
          <w:sz w:val="22"/>
        </w:rPr>
        <w:t xml:space="preserve">— End of Report —</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s>
</file>

<file path=word/_rels/document.xml.rels>&#65279;<?xml version="1.0" encoding="utf-8"?><Relationships xmlns="http://schemas.openxmlformats.org/package/2006/relationships"><Relationship Type="http://schemas.openxmlformats.org/officeDocument/2006/relationships/settings" Target="/word/settings.xml" Id="R0b8e2c0de48043b6" /><Relationship Type="http://schemas.openxmlformats.org/officeDocument/2006/relationships/styles" Target="/word/styles.xml" Id="R18aa2a0104cc4fb8" /><Relationship Type="http://schemas.openxmlformats.org/officeDocument/2006/relationships/theme" Target="/word/theme/theme1.xml" Id="R17175e882afe4f64" /><Relationship Type="http://schemas.openxmlformats.org/officeDocument/2006/relationships/numbering" Target="/word/numbering.xml" Id="R7d542d01a65349c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2026-09-24T02:57:09Z</dcterms:created>
  <cp:lastModifiedBy>OfficeCLI</cp:lastModifiedBy>
  <dcterms:modified xsi:type="dcterms:W3CDTF">2026-09-24T02:57:09Z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2026-09-24T03:06:20Z</vt:lpwstr>
  </op:property>
</op:Properties>
</file>