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AA22C" w14:textId="77777777" w:rsidR="00270F51" w:rsidRDefault="00000000" w:rsidP="004B0FCA">
      <w:pPr>
        <w:pStyle w:val="Heading1"/>
        <w:jc w:val="center"/>
      </w:pPr>
      <w:r>
        <w:t>Section 1: Dimensionality Reduction for Collaborative Filtering</w:t>
      </w:r>
    </w:p>
    <w:p w14:paraId="3E1C3FAF" w14:textId="77777777" w:rsidR="00270F51" w:rsidRDefault="00000000">
      <w:r>
        <w:br/>
        <w:t>Introduction</w:t>
      </w:r>
      <w:r>
        <w:br/>
        <w:t>Collaborative filtering systems aim to predict missing user–item ratings by leveraging historical user behavior. In large-scale recommender datasets, such as MovieLens, the rating matrix is typically high-dimensional and highly sparse. This sparsity makes direct similarity computation unreliable and computationally expensive. Dimensionality reduction techniques address this challenge by projecting the original data into a lower-dimensional space that captures the most informative patterns while reducing noise and redundancy.</w:t>
      </w:r>
    </w:p>
    <w:p w14:paraId="5CC40446" w14:textId="77777777" w:rsidR="00270F51" w:rsidRDefault="00000000">
      <w:r>
        <w:t>In this section, three dimensionality reduction approaches are examined: Principal Component Analysis (PCA) with mean-filling, PCA with Maximum Likelihood Estimation (MLE), and Singular Value Decomposition (SVD). All experiments are conducted on a subset of the MovieLens 20M dataset that satisfies the project’s minimum requirements in terms of users, items, and ratings. Only the raw rating data were used; no outputs from previous assignments were reused.</w:t>
      </w:r>
    </w:p>
    <w:p w14:paraId="66E4DA41" w14:textId="77777777" w:rsidR="00270F51" w:rsidRDefault="00000000">
      <w:r>
        <w:t>Dataset Preparation</w:t>
      </w:r>
      <w:r>
        <w:br/>
        <w:t>A user–item rating matrix was constructed from the MovieLens dataset, with users represented as rows and items as columns. Ratings follow the standard MovieLens scale ranging from 0.5 to 5.0. Due to the inherent sparsity of the data, many ratings were missing. Two target items, denoted I1 and I2, were selected based on popularity to ensure sufficient available ratings for evaluation. For prediction experiments, a subset of ratings for each target item was withheld and used as ground truth.</w:t>
      </w:r>
    </w:p>
    <w:p w14:paraId="7495CDDF" w14:textId="77777777" w:rsidR="00270F51" w:rsidRDefault="00000000">
      <w:r>
        <w:t>PCA with Mean-Filling</w:t>
      </w:r>
      <w:r>
        <w:br/>
        <w:t>In the first approach, missing ratings were replaced using item-level mean-filling. Each unrated entry was filled with the average rating of the corresponding item, resulting in a complete matrix. An item–item covariance matrix was then computed, and PCA was applied to extract principal components. Using the transformed representation, the top-5 and top-10 most similar peers were identified for each target item. Users were projected into a reduced-dimensional space, and missing ratings were reconstructed accordingly.</w:t>
      </w:r>
    </w:p>
    <w:p w14:paraId="3207D12F" w14:textId="77777777" w:rsidR="00270F51" w:rsidRDefault="00000000">
      <w:r>
        <w:t>Prediction accuracy was evaluated using Mean Absolute Error (MAE) and Root Mean Squared Error (RMSE). Runtime and memory usage were also recorded. The results indicate that PCA with mean-filling performs reasonably well for a small number of peers. However, increasing the number of peers led to a slight degradation in accuracy, likely due to noise introduced by the artificially filled values.</w:t>
      </w:r>
    </w:p>
    <w:p w14:paraId="70F0C493" w14:textId="77777777" w:rsidR="00270F51" w:rsidRDefault="00000000">
      <w:r>
        <w:t>PCA with Maximum Likelihood Estimation</w:t>
      </w:r>
      <w:r>
        <w:br/>
        <w:t xml:space="preserve">To mitigate the limitations of mean-filling, PCA with Maximum Likelihood Estimation was implemented. In this approach, the covariance between item pairs was computed using only </w:t>
      </w:r>
      <w:r>
        <w:lastRenderedPageBreak/>
        <w:t>users who rated both items. If no overlapping users existed, the covariance was set to zero. PCA was then applied to the resulting covariance matrix.</w:t>
      </w:r>
    </w:p>
    <w:p w14:paraId="5FB226B3" w14:textId="77777777" w:rsidR="00270F51" w:rsidRDefault="00000000">
      <w:r>
        <w:t>Compared to mean-filling, PCA with MLE achieved improved prediction accuracy, particularly when using a larger number of peers. This improvement can be attributed to more reliable covariance estimates based solely on observed ratings. However, this method incurred significantly higher computational cost due to repeated overlap checks during covariance estimation.</w:t>
      </w:r>
    </w:p>
    <w:p w14:paraId="50837F10" w14:textId="77777777" w:rsidR="00270F51" w:rsidRDefault="00000000">
      <w:r>
        <w:t>Singular Value Decomposition</w:t>
      </w:r>
      <w:r>
        <w:br/>
        <w:t>Singular Value Decomposition was applied to the completed rating matrix following mean-filling. The matrix was decomposed into three components representing user factors, item factors, and singular values. Orthogonality of the resulting matrices was verified numerically.</w:t>
      </w:r>
    </w:p>
    <w:p w14:paraId="5FAE6114" w14:textId="77777777" w:rsidR="00270F51" w:rsidRDefault="00000000">
      <w:r>
        <w:t>A scree plot of the singular values revealed a dominant first component followed by a gradual decay, indicating that much of the variance is captured by a small number of latent factors. Truncated SVD was then performed using different values of k (5, 20, 50, and 100). For each value of k, the matrix was reconstructed and evaluated using MAE and RMSE.</w:t>
      </w:r>
    </w:p>
    <w:p w14:paraId="3FCF150E" w14:textId="77777777" w:rsidR="00270F51" w:rsidRDefault="00000000">
      <w:r>
        <w:t>The reconstruction error remained relatively stable across increasing values of k, suggesting early saturation of the captured structure. While SVD provided strong global reconstruction, it was less effective than PCA-based methods for target-item prediction.</w:t>
      </w:r>
    </w:p>
    <w:p w14:paraId="06679D4B" w14:textId="77777777" w:rsidR="00270F51" w:rsidRDefault="00000000">
      <w:r>
        <w:t>Comparative Analysis</w:t>
      </w:r>
      <w:r>
        <w:br/>
        <w:t>Overall, PCA with mean-filling offered the fastest and most memory-efficient solution but suffered from reduced accuracy as the number of peers increased. PCA with MLE achieved the highest prediction accuracy but required substantially more computation. SVD provided a balanced approach for global approximation but was less specialized for predicting individual target items.</w:t>
      </w:r>
    </w:p>
    <w:p w14:paraId="500A0C9A" w14:textId="77777777" w:rsidR="00270F51" w:rsidRDefault="00000000">
      <w:r>
        <w:t>Conclusion</w:t>
      </w:r>
      <w:r>
        <w:br/>
        <w:t>This section demonstrated how different dimensionality reduction techniques address sparsity in collaborative filtering. PCA with MLE showed the strongest predictive performance when sufficient overlapping data were available, highlighting the importance of accurate covariance estimation. The experiments emphasize that method selection should consider dataset characteristics, computational constraints, and the specific prediction objective.</w:t>
      </w:r>
    </w:p>
    <w:p w14:paraId="4E0942F7" w14:textId="77777777" w:rsidR="004B0FCA" w:rsidRDefault="00000000">
      <w:r>
        <w:t>Lessons Learned</w:t>
      </w:r>
      <w:r>
        <w:br/>
        <w:t>Key challenges encountered included handling sparsity and balancing accuracy with efficiency. These challenges were addressed through careful data preparation, controlled evaluation, and systematic comparison. The results provide practical insight into the behavior of matrix factorization techniques in real-world recommender systems.</w:t>
      </w:r>
    </w:p>
    <w:p w14:paraId="3C408B62" w14:textId="77777777" w:rsidR="004B0FCA" w:rsidRDefault="004B0FCA"/>
    <w:p w14:paraId="2C925F4A" w14:textId="4E944A90" w:rsidR="004B0FCA" w:rsidRDefault="004B0FCA">
      <w:r>
        <w:rPr>
          <w:noProof/>
        </w:rPr>
        <w:lastRenderedPageBreak/>
        <w:drawing>
          <wp:inline distT="0" distB="0" distL="0" distR="0" wp14:anchorId="36283849" wp14:editId="51747050">
            <wp:extent cx="5486400" cy="4114800"/>
            <wp:effectExtent l="0" t="0" r="0" b="0"/>
            <wp:docPr id="1"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and orange lines&#10;&#10;Description automatically generated"/>
                    <pic:cNvPicPr/>
                  </pic:nvPicPr>
                  <pic:blipFill>
                    <a:blip r:embed="rId6"/>
                    <a:stretch>
                      <a:fillRect/>
                    </a:stretch>
                  </pic:blipFill>
                  <pic:spPr>
                    <a:xfrm>
                      <a:off x="0" y="0"/>
                      <a:ext cx="5486400" cy="4114800"/>
                    </a:xfrm>
                    <a:prstGeom prst="rect">
                      <a:avLst/>
                    </a:prstGeom>
                  </pic:spPr>
                </pic:pic>
              </a:graphicData>
            </a:graphic>
          </wp:inline>
        </w:drawing>
      </w:r>
      <w:r w:rsidR="00000000">
        <w:br/>
      </w:r>
    </w:p>
    <w:p w14:paraId="1DFE5AC5" w14:textId="4F10D173" w:rsidR="004B0FCA" w:rsidRDefault="004B0FCA">
      <w:r>
        <w:br w:type="page"/>
      </w:r>
      <w:r>
        <w:rPr>
          <w:noProof/>
        </w:rPr>
        <w:lastRenderedPageBreak/>
        <w:drawing>
          <wp:inline distT="0" distB="0" distL="0" distR="0" wp14:anchorId="53401354" wp14:editId="0603CD3B">
            <wp:extent cx="5486400" cy="4114800"/>
            <wp:effectExtent l="0" t="0" r="0" b="0"/>
            <wp:docPr id="2"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a line&#10;&#10;Description automatically generated"/>
                    <pic:cNvPicPr/>
                  </pic:nvPicPr>
                  <pic:blipFill>
                    <a:blip r:embed="rId7"/>
                    <a:stretch>
                      <a:fillRect/>
                    </a:stretch>
                  </pic:blipFill>
                  <pic:spPr>
                    <a:xfrm>
                      <a:off x="0" y="0"/>
                      <a:ext cx="5486400" cy="4114800"/>
                    </a:xfrm>
                    <a:prstGeom prst="rect">
                      <a:avLst/>
                    </a:prstGeom>
                  </pic:spPr>
                </pic:pic>
              </a:graphicData>
            </a:graphic>
          </wp:inline>
        </w:drawing>
      </w:r>
    </w:p>
    <w:p w14:paraId="58546A70" w14:textId="7CB5EFA2" w:rsidR="004B0FCA" w:rsidRDefault="004B0FCA"/>
    <w:p w14:paraId="44A6EFAE" w14:textId="671C2E66" w:rsidR="004B0FCA" w:rsidRDefault="004B0FCA">
      <w:r>
        <w:br w:type="page"/>
      </w:r>
      <w:r>
        <w:rPr>
          <w:noProof/>
        </w:rPr>
        <w:lastRenderedPageBreak/>
        <w:drawing>
          <wp:inline distT="0" distB="0" distL="0" distR="0" wp14:anchorId="3F2CE70E" wp14:editId="2B148566">
            <wp:extent cx="5486400" cy="4114800"/>
            <wp:effectExtent l="0" t="0" r="0" b="0"/>
            <wp:docPr id="3" name="Picture 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blue lines&#10;&#10;Description automatically generated"/>
                    <pic:cNvPicPr/>
                  </pic:nvPicPr>
                  <pic:blipFill>
                    <a:blip r:embed="rId8"/>
                    <a:stretch>
                      <a:fillRect/>
                    </a:stretch>
                  </pic:blipFill>
                  <pic:spPr>
                    <a:xfrm>
                      <a:off x="0" y="0"/>
                      <a:ext cx="5486400" cy="4114800"/>
                    </a:xfrm>
                    <a:prstGeom prst="rect">
                      <a:avLst/>
                    </a:prstGeom>
                  </pic:spPr>
                </pic:pic>
              </a:graphicData>
            </a:graphic>
          </wp:inline>
        </w:drawing>
      </w:r>
    </w:p>
    <w:p w14:paraId="3946D391" w14:textId="77777777" w:rsidR="00270F51" w:rsidRDefault="00270F51"/>
    <w:sectPr w:rsidR="00270F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774672">
    <w:abstractNumId w:val="8"/>
  </w:num>
  <w:num w:numId="2" w16cid:durableId="234978532">
    <w:abstractNumId w:val="6"/>
  </w:num>
  <w:num w:numId="3" w16cid:durableId="1371566586">
    <w:abstractNumId w:val="5"/>
  </w:num>
  <w:num w:numId="4" w16cid:durableId="1307709839">
    <w:abstractNumId w:val="4"/>
  </w:num>
  <w:num w:numId="5" w16cid:durableId="861868974">
    <w:abstractNumId w:val="7"/>
  </w:num>
  <w:num w:numId="6" w16cid:durableId="1773743243">
    <w:abstractNumId w:val="3"/>
  </w:num>
  <w:num w:numId="7" w16cid:durableId="1587495378">
    <w:abstractNumId w:val="2"/>
  </w:num>
  <w:num w:numId="8" w16cid:durableId="199975131">
    <w:abstractNumId w:val="1"/>
  </w:num>
  <w:num w:numId="9" w16cid:durableId="14833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F51"/>
    <w:rsid w:val="0029639D"/>
    <w:rsid w:val="00326F90"/>
    <w:rsid w:val="004B0F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1974F"/>
  <w14:defaultImageDpi w14:val="300"/>
  <w15:docId w15:val="{F52261A8-C826-0E4F-BBE5-3AE63BEB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Nasr Mohamed Ahmed</cp:lastModifiedBy>
  <cp:revision>2</cp:revision>
  <dcterms:created xsi:type="dcterms:W3CDTF">2013-12-23T23:15:00Z</dcterms:created>
  <dcterms:modified xsi:type="dcterms:W3CDTF">2026-01-05T08:37:00Z</dcterms:modified>
  <cp:category/>
</cp:coreProperties>
</file>