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9808"/>
      </w:tblGrid>
      <w:tr>
        <w:tc>
          <w:tcPr>
            <w:tcW w:type="dxa" w:w="10092"/>
            <w:shd w:fill="155E75"/>
            <w:tcMar>
              <w:top w:w="360" w:type="dxa"/>
              <w:start w:w="280" w:type="dxa"/>
              <w:bottom w:w="320" w:type="dxa"/>
              <w:end w:w="280" w:type="dxa"/>
            </w:tcMar>
          </w:tcPr>
          <w:p>
            <w:pPr>
              <w:spacing w:after="160" w:before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A5F3FC"/>
                <w:sz w:val="20"/>
              </w:rPr>
              <w:t>راهنمای 08</w:t>
            </w:r>
          </w:p>
          <w:p>
            <w:pPr>
              <w:spacing w:after="140" w:before="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40"/>
              </w:rPr>
              <w:t>Environment و Application Config</w:t>
            </w:r>
          </w:p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CFFAFE"/>
                <w:sz w:val="21"/>
              </w:rPr>
              <w:t>مدیریت آدرس API، Timeout و تفاوت محیط‌ها بدون Hard-code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142"/>
        <w:gridCol w:w="9411"/>
      </w:tblGrid>
      <w:tr>
        <w:tc>
          <w:tcPr>
            <w:tcW w:type="dxa" w:w="5046"/>
            <w:shd w:fill="155E7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46"/>
            <w:shd w:fill="ECFE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 w:before="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55E75"/>
                <w:sz w:val="21"/>
              </w:rPr>
              <w:t>هدف این سند</w:t>
            </w:r>
          </w:p>
          <w:p>
            <w:pPr>
              <w:spacing w:after="0" w:before="0" w:line="312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9"/>
              </w:rPr>
              <w:t>این سند برای استفاده مجدد در ادامه توسعه RWMS تهیه شده است؛ تمرکز آن روی نحوه استفاده، حدود مسئولیت، امکانات، قواعد و نکات مهم است و وارد جزئیات پیاده‌سازی داخلی نمی‌شود.</w:t>
            </w:r>
          </w:p>
        </w:tc>
      </w:tr>
    </w:tbl>
    <w:p>
      <w:pPr>
        <w:spacing w:after="20"/>
      </w:pP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این بخش چه کاری انجام می‌دهد؟</w:t>
      </w:r>
    </w:p>
    <w:p>
      <w:pPr>
        <w:spacing w:after="120" w:before="0" w:line="324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E293B"/>
          <w:sz w:val="21"/>
        </w:rPr>
        <w:t>این بخش تنظیمات وابسته به محیط را متمرکز می‌کند تا توسعه، تست و Production بدون ویرایش Componentها قابل تغییر باشند. Frontend فقط تنظیمات عمومی و قابل مشاهده را از Vite Environment می‌خواند.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امکانات و خروجی قابل استفاده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نام برنامه، Base URL API و Timeout از Environment خوانده می‌شوند.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پشتیبانی طبیعی از development و production mode.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حذف اسلش اضافی انتهای Base URL برای جلوگیری از URL ناسالم.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Default امن برای Timeout در صورت نبود مقدار اختیاری.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نحوه استفاده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URL Backend فقط در فایل Environment تنظیم شود، نه داخل Page یا API Feature.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.env.example باید فهرست متغیرهای لازم را برای توسعه‌دهنده بعدی نشان دهد.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بعد از تغییر فایل Environment، Dev Server یک بار Restart 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برای Production فایل Environment مناسب Deploy تعریف شود.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قواعد و نکات مهم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هر متغیر VITE_ قابل مشاهده در Browser است؛ Secret در Frontend قرار نگیرد.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Database Password، JWT Secret و Private API Key فقط Backend هستند.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متغیر جدید Environment باید در Config مرکزی خوانده و اعتبارسنجی شود.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در ادامه پروژه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هنگام آماده‌سازی سرور مشتری فقط Base URL و تنظیمات محیطی تغییر می‌کنند؛ Featureها نباید نیاز به ویرایش داشته باشند.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 w:val="1"/>
    </w:pPr>
    <w:r>
      <w:rPr>
        <w:rFonts w:ascii="Noto Sans Arabic" w:hAnsi="Noto Sans Arabic" w:eastAsia="Noto Sans Arabic" w:cs="Noto Sans Arabic"/>
        <w:b w:val="0"/>
        <w:color w:val="64748B"/>
        <w:sz w:val="16"/>
      </w:rPr>
      <w:t>راهنمای کاربردی توسعه و نگهداری — فاز پایه فرانت‌اند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 w:eastAsia="Noto Sans Arabic" w:cs="Noto Sans Arabic"/>
        <w:b/>
        <w:color w:val="155E75"/>
        <w:sz w:val="17"/>
      </w:rPr>
      <w:t>RWMS  |  Frontend Foundation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