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9808"/>
      </w:tblGrid>
      <w:tr>
        <w:tc>
          <w:tcPr>
            <w:tcW w:type="dxa" w:w="10092"/>
            <w:shd w:fill="155E75"/>
            <w:tcMar>
              <w:top w:w="360" w:type="dxa"/>
              <w:start w:w="280" w:type="dxa"/>
              <w:bottom w:w="320" w:type="dxa"/>
              <w:end w:w="280" w:type="dxa"/>
            </w:tcMar>
          </w:tcPr>
          <w:p>
            <w:pPr>
              <w:spacing w:after="160" w:before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A5F3FC"/>
                <w:sz w:val="20"/>
              </w:rPr>
              <w:t>راهنمای 00</w:t>
            </w:r>
          </w:p>
          <w:p>
            <w:pPr>
              <w:spacing w:after="1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40"/>
              </w:rPr>
              <w:t>فهرست مستندات Foundation فرانت‌اند RWMS</w:t>
            </w:r>
          </w:p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CFFAFE"/>
                <w:sz w:val="21"/>
              </w:rPr>
              <w:t>نقشه سریع برای یافتن راهنمای هر زیرسیستم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142"/>
        <w:gridCol w:w="9411"/>
      </w:tblGrid>
      <w:tr>
        <w:tc>
          <w:tcPr>
            <w:tcW w:type="dxa" w:w="5046"/>
            <w:shd w:fill="155E7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6"/>
            <w:shd w:fill="ECF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55E75"/>
                <w:sz w:val="21"/>
              </w:rPr>
              <w:t>هدف این سند</w:t>
            </w:r>
          </w:p>
          <w:p>
            <w:pPr>
              <w:spacing w:after="0" w:before="0" w:line="312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9"/>
              </w:rPr>
              <w:t>این سند برای استفاده مجدد در ادامه توسعه RWMS تهیه شده است؛ تمرکز آن روی نحوه استفاده، حدود مسئولیت، امکانات، قواعد و نکات مهم است و وارد جزئیات پیاده‌سازی داخلی نمی‌شود.</w:t>
            </w:r>
          </w:p>
        </w:tc>
      </w:tr>
    </w:tbl>
    <w:p>
      <w:pPr>
        <w:spacing w:after="20"/>
      </w:pP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هدف مجموعه</w:t>
      </w:r>
    </w:p>
    <w:p>
      <w:pPr>
        <w:spacing w:after="120" w:before="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E293B"/>
          <w:sz w:val="21"/>
        </w:rPr>
        <w:t>این مجموعه برای انتقال دانش Foundation به توسعه‌دهنده یا AI دیگر تهیه شده است. هر فایل روی نحوه استفاده، قابلیت‌ها، قواعد و نقاط توسعه تمرکز دارد و از توضیح جزئیات پیاده‌سازی داخلی خودداری می‌کند.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فهرست اسناد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2494"/>
        <w:gridCol w:w="6973"/>
      </w:tblGrid>
      <w:tr>
        <w:tc>
          <w:tcPr>
            <w:tcW w:type="dxa" w:w="5046"/>
            <w:shd w:fill="155E7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9"/>
              </w:rPr>
              <w:t>موضوع</w:t>
            </w:r>
          </w:p>
        </w:tc>
        <w:tc>
          <w:tcPr>
            <w:tcW w:type="dxa" w:w="5046"/>
            <w:shd w:fill="155E7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19"/>
              </w:rPr>
              <w:t>راهنمای کاربردی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1F5F9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01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BFDFF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Project Setup and Baseline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02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Modular Architecture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1F5F9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03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BFDFF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Visual Theme RTL DarkMode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04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Routing and Responsive AppShell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1F5F9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05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BFDFF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UI Foundation Core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06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Common UI States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1F5F9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07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BFDFF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Routing Safety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08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Environment and App Config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1F5F9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09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BFDFF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API Infrastructure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10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TanStack Query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1F5F9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11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BFDFF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Form Foundation and Validation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12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Base Form Controls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1F5F9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13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BFDFF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Notification Toast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14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Dialog and Confirm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1F5F9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15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BFDFF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DataTable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16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Pagination and FilterBar</w:t>
            </w:r>
          </w:p>
        </w:tc>
      </w:tr>
      <w:tr>
        <w:tc>
          <w:tcPr>
            <w:tcW w:type="dxa" w:w="249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1F5F9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64E63"/>
                <w:sz w:val="18"/>
              </w:rPr>
              <w:t>17</w:t>
            </w:r>
          </w:p>
        </w:tc>
        <w:tc>
          <w:tcPr>
            <w:tcW w:type="dxa" w:w="697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BFDFF"/>
          </w:tcPr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8"/>
              </w:rPr>
              <w:t>Foundation Handover</w:t>
            </w:r>
          </w:p>
        </w:tc>
      </w:tr>
    </w:tbl>
    <w:p>
      <w:pPr>
        <w:spacing w:after="20"/>
      </w:pP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روش پیشنهادی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برای ادامه یک Feature، ابتدا سند مرتبط با Foundation آن Feature مطالعه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اگر AI یا توسعه‌دهنده جدید وارد پروژه شد، ابتدا سند معماری ماژولار و سپس راهنمای Handover خوانده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برای تغییر در رفتار عمومی سیستم، سند همان زیرسیستم به‌عنوان قرارداد فعلی در نظر گرفته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در صورت تغییر رسمی معماری یا قواعد، این مجموعه نیز نسخه‌گذاری و به‌روزرسانی شود.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Noto Sans Arabic" w:hAnsi="Noto Sans Arabic" w:eastAsia="Noto Sans Arabic" w:cs="Noto Sans Arabic"/>
        <w:b w:val="0"/>
        <w:color w:val="64748B"/>
        <w:sz w:val="16"/>
      </w:rPr>
      <w:t>راهنمای کاربردی توسعه و نگهداری — فاز پایه فرانت‌اند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eastAsia="Noto Sans Arabic" w:cs="Noto Sans Arabic"/>
        <w:b/>
        <w:color w:val="155E75"/>
        <w:sz w:val="17"/>
      </w:rPr>
      <w:t>RWMS  |  Frontend Foundation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