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9808"/>
      </w:tblGrid>
      <w:tr>
        <w:tc>
          <w:tcPr>
            <w:tcW w:type="dxa" w:w="10092"/>
            <w:shd w:fill="155E75"/>
            <w:tcMar>
              <w:top w:w="360" w:type="dxa"/>
              <w:start w:w="280" w:type="dxa"/>
              <w:bottom w:w="320" w:type="dxa"/>
              <w:end w:w="280" w:type="dxa"/>
            </w:tcMar>
          </w:tcPr>
          <w:p>
            <w:pPr>
              <w:spacing w:after="160" w:before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A5F3FC"/>
                <w:sz w:val="20"/>
              </w:rPr>
              <w:t>راهنمای 17</w:t>
            </w:r>
          </w:p>
          <w:p>
            <w:pPr>
              <w:spacing w:after="1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40"/>
              </w:rPr>
              <w:t>راهنمای تحویل Foundation و شروع ماژول‌های فاز ۱</w:t>
            </w:r>
          </w:p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CFFAFE"/>
                <w:sz w:val="21"/>
              </w:rPr>
              <w:t>چک‌لیست استفاده از بیس سیستم قبل از ورود به Category، Item و Waybill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142"/>
        <w:gridCol w:w="9411"/>
      </w:tblGrid>
      <w:tr>
        <w:tc>
          <w:tcPr>
            <w:tcW w:type="dxa" w:w="5046"/>
            <w:shd w:fill="155E7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6"/>
            <w:shd w:fill="ECFE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55E75"/>
                <w:sz w:val="21"/>
              </w:rPr>
              <w:t>هدف این سند</w:t>
            </w:r>
          </w:p>
          <w:p>
            <w:pPr>
              <w:spacing w:after="0" w:before="0" w:line="312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9"/>
              </w:rPr>
              <w:t>این سند برای استفاده مجدد در ادامه توسعه RWMS تهیه شده است؛ تمرکز آن روی نحوه استفاده، حدود مسئولیت، امکانات، قواعد و نکات مهم است و وارد جزئیات پیاده‌سازی داخلی نمی‌شود.</w:t>
            </w:r>
          </w:p>
        </w:tc>
      </w:tr>
    </w:tbl>
    <w:p>
      <w:pPr>
        <w:spacing w:after="20"/>
      </w:pP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این بخش چه کاری انجام می‌دهد؟</w:t>
      </w:r>
    </w:p>
    <w:p>
      <w:pPr>
        <w:spacing w:after="120" w:before="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E293B"/>
          <w:sz w:val="21"/>
        </w:rPr>
        <w:t>این سند وضعیت نهایی Foundation را برای ادامه کار در یک Chat یا AI دیگر خلاصه می‌کند. احراز هویت و RBAC عمداً جزو فاز فعلی نیستند. هدف این است که توسعه ماژول‌های فاز ۱ بدون بازسازی زیرساخت اصلی آغاز شود.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امکانات و خروجی قابل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Build تولیدی پروژه موفق است و Foundation قابل استفاده است.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تمام Featureهای جدید باید روی Router، App Shell، UI Kit، API Client، TanStack Query و Form Foundation موجود سوار شوند.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Auth/RBAC فعلاً فعال نیست اما API Layer نقطه توسعه لازم را برای آینده دارد.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برای Presentation فاز ۱، تمرکز روی ماژول‌های واقعی کسب‌وکار و تجربه کاربری است.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وضعیت آماده‌به‌کار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2948"/>
        <w:gridCol w:w="1757"/>
        <w:gridCol w:w="4762"/>
      </w:tblGrid>
      <w:tr>
        <w:tc>
          <w:tcPr>
            <w:tcW w:type="dxa" w:w="3364"/>
            <w:shd w:fill="155E7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قابلیت</w:t>
            </w:r>
          </w:p>
        </w:tc>
        <w:tc>
          <w:tcPr>
            <w:tcW w:type="dxa" w:w="3364"/>
            <w:shd w:fill="155E7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وضعیت</w:t>
            </w:r>
          </w:p>
        </w:tc>
        <w:tc>
          <w:tcPr>
            <w:tcW w:type="dxa" w:w="3364"/>
            <w:shd w:fill="155E7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8"/>
              </w:rPr>
              <w:t>نکته</w:t>
            </w:r>
          </w:p>
        </w:tc>
      </w:tr>
      <w:t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shd w:fill="FBFDFF"/>
          </w:tcPr>
          <w:p>
            <w:pPr>
              <w:spacing w:after="0" w:before="0" w:line="288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معماری و Tooling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shd w:fill="FBFDFF"/>
          </w:tcPr>
          <w:p>
            <w:pPr>
              <w:spacing w:after="0" w:before="0" w:line="288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A34A"/>
                <w:sz w:val="18"/>
              </w:rPr>
              <w:t>آماده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shd w:fill="FBFDFF"/>
          </w:tcPr>
          <w:p>
            <w:pPr>
              <w:spacing w:after="0" w:before="0" w:line="288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React/TypeScript/Vite/Tailwind و ساختار ماژولار</w:t>
            </w:r>
          </w:p>
        </w:tc>
      </w:tr>
      <w:t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88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UI و Theme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88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A34A"/>
                <w:sz w:val="18"/>
              </w:rPr>
              <w:t>آماده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88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RTL، Light/Dark، اجزای پایه و Responsive Shell</w:t>
            </w:r>
          </w:p>
        </w:tc>
      </w:tr>
      <w:t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shd w:fill="FBFDFF"/>
          </w:tcPr>
          <w:p>
            <w:pPr>
              <w:spacing w:after="0" w:before="0" w:line="288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Routing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shd w:fill="FBFDFF"/>
          </w:tcPr>
          <w:p>
            <w:pPr>
              <w:spacing w:after="0" w:before="0" w:line="288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A34A"/>
                <w:sz w:val="18"/>
              </w:rPr>
              <w:t>آماده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shd w:fill="FBFDFF"/>
          </w:tcPr>
          <w:p>
            <w:pPr>
              <w:spacing w:after="0" w:before="0" w:line="288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Data Router، 404 و Route Error</w:t>
            </w:r>
          </w:p>
        </w:tc>
      </w:tr>
      <w:t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88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Data Access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88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A34A"/>
                <w:sz w:val="18"/>
              </w:rPr>
              <w:t>آماده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88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Environment، API Client و TanStack Query</w:t>
            </w:r>
          </w:p>
        </w:tc>
      </w:tr>
      <w:t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shd w:fill="FBFDFF"/>
          </w:tcPr>
          <w:p>
            <w:pPr>
              <w:spacing w:after="0" w:before="0" w:line="288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Forms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shd w:fill="FBFDFF"/>
          </w:tcPr>
          <w:p>
            <w:pPr>
              <w:spacing w:after="0" w:before="0" w:line="288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A34A"/>
                <w:sz w:val="18"/>
              </w:rPr>
              <w:t>آماده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shd w:fill="FBFDFF"/>
          </w:tcPr>
          <w:p>
            <w:pPr>
              <w:spacing w:after="0" w:before="0" w:line="288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RHF/Zod، 422 Mapping و Controls پایه</w:t>
            </w:r>
          </w:p>
        </w:tc>
      </w:tr>
      <w:t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88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Feedback UI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88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A34A"/>
                <w:sz w:val="18"/>
              </w:rPr>
              <w:t>آماده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88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Toast، Dialog و Confirm</w:t>
            </w:r>
          </w:p>
        </w:tc>
      </w:tr>
      <w:t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shd w:fill="FBFDFF"/>
          </w:tcPr>
          <w:p>
            <w:pPr>
              <w:spacing w:after="0" w:before="0" w:line="288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List Pages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shd w:fill="FBFDFF"/>
          </w:tcPr>
          <w:p>
            <w:pPr>
              <w:spacing w:after="0" w:before="0" w:line="288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A34A"/>
                <w:sz w:val="18"/>
              </w:rPr>
              <w:t>آماده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shd w:fill="FBFDFF"/>
          </w:tcPr>
          <w:p>
            <w:pPr>
              <w:spacing w:after="0" w:before="0" w:line="288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DataTable، Pagination و FilterBar</w:t>
            </w:r>
          </w:p>
        </w:tc>
      </w:tr>
      <w:t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88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Authentication / RBAC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88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E293B"/>
                <w:sz w:val="18"/>
              </w:rPr>
              <w:t>خارج از فاز ۱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88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برای Presentation فعلی عمداً پیاده‌سازی نشده است</w:t>
            </w:r>
          </w:p>
        </w:tc>
      </w:tr>
    </w:tbl>
    <w:p>
      <w:pPr>
        <w:spacing w:after="20"/>
      </w:pP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نحوه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قبل از شروع هر Feature، قرارداد API Backend و مدل داده همان Feature بررسی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Feature از shared/ui و shared/api استفاده کند و Component عمومی جدید فقط در صورت تکرار واقعی به shared اضافه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هر مرحله با npm run build کنترل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برای List Page از الگوی PageHeader + FilterBar + DataTable + Pagination استفاده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برای Form Page از FormField + Controls + React Hook Form/Zod و 422 Mapping استفاده شود.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قواعد و نکات مهم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فعلاً Login، Permission و RBAC به پروژه اضافه نشوند مگر تصمیم جدید کارفرما یا فاز بعدی.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پیاده‌سازی Dynamic Form Engine باید پس از بررسی دقیق مدل Category/Dynamic Field Backend انجام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Foundation نباید برای یک Feature خاص تغییرات Domain-specific بگیرد.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در ادامه پروژه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ترتیب پیشنهادی شروع فاز ۱: Categories → Dynamic Fields → Dynamic Form Engine → Items → Waybill Template → Waybill.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Noto Sans Arabic" w:hAnsi="Noto Sans Arabic" w:eastAsia="Noto Sans Arabic" w:cs="Noto Sans Arabic"/>
        <w:b w:val="0"/>
        <w:color w:val="64748B"/>
        <w:sz w:val="16"/>
      </w:rPr>
      <w:t>راهنمای کاربردی توسعه و نگهداری — فاز پایه فرانت‌اند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eastAsia="Noto Sans Arabic" w:cs="Noto Sans Arabic"/>
        <w:b/>
        <w:color w:val="155E75"/>
        <w:sz w:val="17"/>
      </w:rPr>
      <w:t>RWMS  |  Frontend Foundation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