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9808"/>
      </w:tblGrid>
      <w:tr>
        <w:tc>
          <w:tcPr>
            <w:tcW w:type="dxa" w:w="10092"/>
            <w:shd w:fill="155E75"/>
            <w:tcMar>
              <w:top w:w="360" w:type="dxa"/>
              <w:start w:w="280" w:type="dxa"/>
              <w:bottom w:w="320" w:type="dxa"/>
              <w:end w:w="280" w:type="dxa"/>
            </w:tcMar>
          </w:tcPr>
          <w:p>
            <w:pPr>
              <w:spacing w:after="160" w:before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A5F3FC"/>
                <w:sz w:val="20"/>
              </w:rPr>
              <w:t>راهنمای 10</w:t>
            </w:r>
          </w:p>
          <w:p>
            <w:pPr>
              <w:spacing w:after="1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40"/>
              </w:rPr>
              <w:t>TanStack Query Foundation</w:t>
            </w:r>
          </w:p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CFFAFE"/>
                <w:sz w:val="21"/>
              </w:rPr>
              <w:t>مدیریت Server State، Cache، Retry و Mutation در کل پروژه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142"/>
        <w:gridCol w:w="9411"/>
      </w:tblGrid>
      <w:tr>
        <w:tc>
          <w:tcPr>
            <w:tcW w:type="dxa" w:w="5046"/>
            <w:shd w:fill="155E7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6"/>
            <w:shd w:fill="ECFE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55E75"/>
                <w:sz w:val="21"/>
              </w:rPr>
              <w:t>هدف این سند</w:t>
            </w:r>
          </w:p>
          <w:p>
            <w:pPr>
              <w:spacing w:after="0" w:before="0" w:line="312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9"/>
              </w:rPr>
              <w:t>این سند برای استفاده مجدد در ادامه توسعه RWMS تهیه شده است؛ تمرکز آن روی نحوه استفاده، حدود مسئولیت، امکانات، قواعد و نکات مهم است و وارد جزئیات پیاده‌سازی داخلی نمی‌شود.</w:t>
            </w:r>
          </w:p>
        </w:tc>
      </w:tr>
    </w:tbl>
    <w:p>
      <w:pPr>
        <w:spacing w:after="20"/>
      </w:pP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این بخش چه کاری انجام می‌دهد؟</w:t>
      </w:r>
    </w:p>
    <w:p>
      <w:pPr>
        <w:spacing w:after="120" w:before="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E293B"/>
          <w:sz w:val="21"/>
        </w:rPr>
        <w:t>TanStack Query مسئول داده‌ای است که منبع اصلی آن Backend است. این لایه Cache، Freshness، Refetch و Mutation را استاندارد می‌کند تا هر Feature مدیریت Loading/Cache و Retry را از صفر پیاده‌سازی نکند.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امکانات و خروجی قابل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QueryClient مرکزی و Provider سراسری.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Stale Time پیش‌فرض ۳۰ ثانیه و نگهداری داده غیرفعال تا ۱۰ دقیقه.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عدم Refetch ناگهانی صرفاً با تغییر Tab مرورگر.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Refetch پس از بازگشت اتصال شبکه.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Retry محدود برای Network/408/5xx و عدم Retry برای 401/403/422.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Mutationها به‌صورت پیش‌فرض Retry نمی‌شوند.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نحوه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خواندن داده Backend با useQuery و عملیات تغییر با useMutation انجام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پس از Mutation موفق، Queryهای مرتبط invalidate یا update شوند.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Query Key هر Feature باید ساختار مشخص و قابل پیش‌بینی داشته باشد.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برای صفحه‌های خاص می‌توان staleTime را Override کرد؛ Default سراسری فقط نقطه شروع است.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قواعد و نکات مهم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Client State محلی با Server State اشتباه نشود؛ TanStack Query جای useState یا Form State نیست.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POST/PUT/PATCH/DELETE به‌صورت عمومی Auto-Retry نمی‌شوند تا ثبت تکراری ایجاد نشود.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401 باید توسط API/Auth Flow مدیریت شود، نه Retry خودکار Query.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در ادامه پروژه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هر ماژول Feature Hookهای Query و Mutation خودش را نزدیک همان ماژول نگه می‌دارد.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Noto Sans Arabic" w:hAnsi="Noto Sans Arabic" w:eastAsia="Noto Sans Arabic" w:cs="Noto Sans Arabic"/>
        <w:b w:val="0"/>
        <w:color w:val="64748B"/>
        <w:sz w:val="16"/>
      </w:rPr>
      <w:t>راهنمای کاربردی توسعه و نگهداری — فاز پایه فرانت‌اند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eastAsia="Noto Sans Arabic" w:cs="Noto Sans Arabic"/>
        <w:b/>
        <w:color w:val="155E75"/>
        <w:sz w:val="17"/>
      </w:rPr>
      <w:t>RWMS  |  Frontend Foundation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