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112年7月月報表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諮詢服務共3人。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教學服務－學齡20人/人次60次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成人1人/人次4次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　　　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聽力服務－學齡10人/人次11次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成人0人/人次0次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648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個別24人/人際31人/寶寶23人/多元11人/半日托4人 (含潭子15人/學齡20人)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3人(含成人1人)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432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(實際時數為扣除個別課不補課學生之時數)</w:t>
      </w:r>
      <w:r w:rsidDel="00000000" w:rsidR="00000000" w:rsidRPr="00000000">
        <w:rPr>
          <w:rtl w:val="0"/>
        </w:rPr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本月應達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廖浿岑等55人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25/35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30/40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55/75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7/28李沂辰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7/3許庭翌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7/7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柯喬譯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7/21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張倢語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7/24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林宥朋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4/4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4/4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29/39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31/41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60/80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林宥安等25人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8/19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17/25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25/44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7/6邱湘晴</w:t>
            </w:r>
          </w:p>
          <w:p w:rsidR="00000000" w:rsidDel="00000000" w:rsidP="00000000" w:rsidRDefault="00000000" w:rsidRPr="00000000" w14:paraId="000001E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7/10許莉莎</w:t>
            </w:r>
          </w:p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7/11陳淮騏</w:t>
            </w:r>
          </w:p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7/11賴恩妤</w:t>
            </w:r>
          </w:p>
          <w:p w:rsidR="00000000" w:rsidDel="00000000" w:rsidP="00000000" w:rsidRDefault="00000000" w:rsidRPr="00000000" w14:paraId="000001F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7/12林勝杰</w:t>
            </w:r>
          </w:p>
          <w:p w:rsidR="00000000" w:rsidDel="00000000" w:rsidP="00000000" w:rsidRDefault="00000000" w:rsidRPr="00000000" w14:paraId="000001F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7/24鄭旻皓</w:t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6/6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6/6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7/28林孟妡、吳承鈞、李沂辰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16/27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18/26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34/53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45/66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49/67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94/133</w:t>
            </w:r>
          </w:p>
        </w:tc>
      </w:tr>
    </w:tbl>
    <w:p w:rsidR="00000000" w:rsidDel="00000000" w:rsidP="00000000" w:rsidRDefault="00000000" w:rsidRPr="00000000" w14:paraId="0000020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志工謝采庭服務中。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(1)口語教室季報告(4-6月)-慕悠</w:t>
            </w:r>
          </w:p>
          <w:p w:rsidR="00000000" w:rsidDel="00000000" w:rsidP="00000000" w:rsidRDefault="00000000" w:rsidRPr="00000000" w14:paraId="0000021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(2)口語教室季核銷(4-6月)-慕悠</w:t>
            </w:r>
          </w:p>
          <w:p w:rsidR="00000000" w:rsidDel="00000000" w:rsidP="00000000" w:rsidRDefault="00000000" w:rsidRPr="00000000" w14:paraId="0000021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(3)第一梯次口語教室聽損成長團體小學生場舉辦完畢(共4場)-慕悠</w:t>
              <w:br w:type="textWrapping"/>
              <w:t xml:space="preserve">(4)行銷分析報告7/3.10.17.24.31</w:t>
            </w:r>
          </w:p>
          <w:p w:rsidR="00000000" w:rsidDel="00000000" w:rsidP="00000000" w:rsidRDefault="00000000" w:rsidRPr="00000000" w14:paraId="0000021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(5)東海英文夏令營共2場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1A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147</w:t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7/11王昀蓉</w:t>
              <w:br w:type="textWrapping"/>
              <w:t xml:space="preserve">7/17陳鈺佑</w:t>
              <w:br w:type="textWrapping"/>
              <w:t xml:space="preserve">7/18江旅芳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7/31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行銷會議7/11、18、25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更換濾心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電子公佈欄7/1-7/31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7/1-7/31社工聯繫家長用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193260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其他-7.8月停車費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9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C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240" w:before="240" w:line="120" w:lineRule="auto"/>
              <w:jc w:val="both"/>
              <w:rPr>
                <w:rFonts w:ascii="BiauKai" w:cs="BiauKai" w:eastAsia="BiauKai" w:hAnsi="BiauKai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7/31畢業典禮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after="0" w:before="0"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中心管理會議(4)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完成ISP達成率統計、評估報告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更換濾心及水質檢測(3)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寄發中心ISP會議公文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BiauKai" w:cs="BiauKai" w:eastAsia="BiauKai" w:hAnsi="BiauKai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完成下學期排課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完成上半年度員工會外研習學分審查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辦理學費專案補助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240" w:before="240" w:line="120" w:lineRule="auto"/>
              <w:ind w:left="0" w:firstLine="0"/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電腦資料備份(3)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120" w:lineRule="auto"/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環境消毒(3)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120" w:lineRule="auto"/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pacing w:line="120" w:lineRule="auto"/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12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45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47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48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總服務人數為96人，達到目標。</w:t>
      </w:r>
    </w:p>
    <w:p w:rsidR="00000000" w:rsidDel="00000000" w:rsidP="00000000" w:rsidRDefault="00000000" w:rsidRPr="00000000" w14:paraId="00000449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4A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：皆達成目標。</w:t>
      </w:r>
    </w:p>
    <w:p w:rsidR="00000000" w:rsidDel="00000000" w:rsidP="00000000" w:rsidRDefault="00000000" w:rsidRPr="00000000" w14:paraId="0000044B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(2)社工（65人次）：雅雯66  人次，慕悠  67人次，皆達到標準。</w:t>
      </w:r>
    </w:p>
    <w:p w:rsidR="00000000" w:rsidDel="00000000" w:rsidP="00000000" w:rsidRDefault="00000000" w:rsidRPr="00000000" w14:paraId="0000044C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聽力師：83人次（其他業務：支援高雄至德聽力服務、資料庫聽力服務務內容、CAPD meeting）。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